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36"/>
          <w:szCs w:val="36"/>
        </w:rPr>
        <w:t xml:space="preserve">Applied Software Project Report</w:t>
      </w:r>
    </w:p>
    <w:p>
      <w:pPr>
        <w:spacing w:after="300" w:line="360"/>
        <w:jc w:val="center"/>
      </w:pPr>
      <w:r>
        <w:rPr>
          <w:rFonts w:ascii="Times New Roman" w:cs="Times New Roman" w:eastAsia="Times New Roman" w:hAnsi="Times New Roman"/>
          <w:color w:val="000000"/>
          <w:sz w:val="24"/>
          <w:szCs w:val="24"/>
        </w:rPr>
        <w:t xml:space="preserve">By</w:t>
      </w:r>
    </w:p>
    <w:p>
      <w:pPr>
        <w:spacing w:after="500" w:line="360"/>
        <w:jc w:val="center"/>
      </w:pPr>
      <w:r>
        <w:rPr>
          <w:rFonts w:ascii="Times New Roman" w:cs="Times New Roman" w:eastAsia="Times New Roman" w:hAnsi="Times New Roman"/>
          <w:b/>
          <w:bCs/>
          <w:color w:val="000000"/>
          <w:sz w:val="30"/>
          <w:szCs w:val="30"/>
        </w:rPr>
        <w:t xml:space="preserve">Sai Kumaresh</w:t>
      </w:r>
    </w:p>
    <w:p>
      <w:pPr>
        <w:spacing w:after="50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600" w:line="360"/>
        <w:jc w:val="center"/>
      </w:pPr>
      <w:r>
        <w:rPr>
          <w:rFonts w:ascii="Times New Roman" w:cs="Times New Roman" w:eastAsia="Times New Roman" w:hAnsi="Times New Roman"/>
          <w:b/>
          <w:bCs/>
          <w:color w:val="000000"/>
          <w:sz w:val="24"/>
          <w:szCs w:val="24"/>
        </w:rPr>
        <w:t xml:space="preserve">⟨Month, Year⟩</w:t>
      </w:r>
    </w:p>
    <w:p>
      <w:pPr>
        <w:spacing w:after="140" w:line="360"/>
        <w:jc w:val="center"/>
      </w:pPr>
      <w:r>
        <w:rPr>
          <w:rFonts w:ascii="Times New Roman" w:cs="Times New Roman" w:eastAsia="Times New Roman" w:hAnsi="Times New Roman"/>
          <w:color w:val="000000"/>
          <w:sz w:val="24"/>
          <w:szCs w:val="24"/>
        </w:rPr>
        <w:t xml:space="preserve">Scaler Mentee Email ID : ⟨Registered Scaler Email ID⟩</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⟨DD/MM/YYYY⟩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⟨Module start date⟩ to ⟨Module end date⟩,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77 automated tests with JaCoCo-measured coverage of 49.4%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46"/>
        <w:gridCol w:w="6620"/>
        <w:gridCol w:w="1134"/>
      </w:tblGrid>
      <w:tr>
        <w:trPr>
          <w:tblHeader/>
        </w:trPr>
        <w:tc>
          <w:tcPr>
            <w:tcW w:type="dxa" w:w="9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62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13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35"/>
        <w:gridCol w:w="1891"/>
        <w:gridCol w:w="5674"/>
      </w:tblGrid>
      <w:tr>
        <w:trPr>
          <w:tblHeader/>
        </w:trPr>
        <w:tc>
          <w:tcPr>
            <w:tcW w:type="dxa" w:w="11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9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67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036"/>
        <w:gridCol w:w="5553"/>
        <w:gridCol w:w="1111"/>
      </w:tblGrid>
      <w:tr>
        <w:trPr>
          <w:tblHeader/>
        </w:trPr>
        <w:tc>
          <w:tcPr>
            <w:tcW w:type="dxa" w:w="203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55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11"/>
        <w:gridCol w:w="5090"/>
        <w:gridCol w:w="1296"/>
        <w:gridCol w:w="1203"/>
      </w:tblGrid>
      <w:tr>
        <w:trPr>
          <w:tblHeader/>
        </w:trPr>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5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29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2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89"/>
        <w:gridCol w:w="6411"/>
      </w:tblGrid>
      <w:tr>
        <w:trPr>
          <w:tblHeader/>
        </w:trPr>
        <w:tc>
          <w:tcPr>
            <w:tcW w:type="dxa" w:w="228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037"/>
        <w:gridCol w:w="3663"/>
      </w:tblGrid>
      <w:tr>
        <w:trPr>
          <w:tblHeader/>
        </w:trPr>
        <w:tc>
          <w:tcPr>
            <w:tcW w:type="dxa" w:w="503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66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800"/>
        <w:gridCol w:w="2900"/>
      </w:tblGrid>
      <w:tr>
        <w:trPr>
          <w:tblHeader/>
        </w:trPr>
        <w:tc>
          <w:tcPr>
            <w:tcW w:type="dxa" w:w="58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164"/>
        <w:gridCol w:w="1582"/>
        <w:gridCol w:w="1582"/>
        <w:gridCol w:w="2372"/>
      </w:tblGrid>
      <w:tr>
        <w:trPr>
          <w:tblHeader/>
        </w:trPr>
        <w:tc>
          <w:tcPr>
            <w:tcW w:type="dxa" w:w="31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37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Testing and quality tooling</w:t>
      </w:r>
    </w:p>
    <w:p>
      <w:pPr>
        <w:spacing w:after="120" w:line="360"/>
        <w:jc w:val="both"/>
      </w:pPr>
      <w:r>
        <w:rPr>
          <w:rFonts w:ascii="Times New Roman" w:cs="Times New Roman" w:eastAsia="Times New Roman" w:hAnsi="Times New Roman"/>
          <w:color w:val="000000"/>
          <w:sz w:val="24"/>
          <w:szCs w:val="24"/>
        </w:rPr>
        <w:t xml:space="preserve">JUnit 5 provides the test framework, Spring Boot Test provides context and MockMvc support for driving the HTTP layer without a running server, and JaCoCo measures coverage by instrumenting bytecode during the test run. The choice to measure coverage rather than estimate it is deliberate: an earlier version of the project documentation asserted a coverage figure that was not measured and was wrong by an order of magnitude.</w:t>
      </w:r>
    </w:p>
    <w:p>
      <w:pPr>
        <w:spacing w:after="90" w:before="220" w:line="240"/>
        <w:jc w:val="left"/>
      </w:pPr>
      <w:r>
        <w:rPr>
          <w:rFonts w:ascii="Times New Roman" w:cs="Times New Roman" w:eastAsia="Times New Roman" w:hAnsi="Times New Roman"/>
          <w:b/>
          <w:bCs/>
          <w:color w:val="000000"/>
          <w:sz w:val="22"/>
          <w:szCs w:val="22"/>
        </w:rPr>
        <w:t xml:space="preserve">Table 8.01: Technology selection and rationale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175"/>
        <w:gridCol w:w="2610"/>
        <w:gridCol w:w="3915"/>
      </w:tblGrid>
      <w:tr>
        <w:trPr>
          <w:tblHeader/>
        </w:trPr>
        <w:tc>
          <w:tcPr>
            <w:tcW w:type="dxa" w:w="21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9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10"/>
        <w:gridCol w:w="6090"/>
      </w:tblGrid>
      <w:tr>
        <w:trPr>
          <w:tblHeader/>
        </w:trPr>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6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gateway is not on the request path</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It routes the resume paths but has no authentication route, so login cannot traverse it and the client calls the resume service directly. Remedied by adding the route and repointing the client.</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circuit breaker is inert</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Resilience4j annotation is on a private method invoked by self-invocation, so the Spring AOP proxy never applies it. Remedied by moving the annotation to a proxied method.</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 timeout on the model client</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unresponsive endpoint can hold a thread indefinitely. Remedied by setting connect and read timeouts.</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failure yields a placeholder</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failed call currently produces placeholder content marked COMPLETED rather than FAILED. Remedied by correcting the failure path.</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49.4% of lines on the resume service; the worker and gateway have no test suite.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Set timeouts on the model clients and repair the circuit breaker so that a slow dependency degrades rather than exhausts the thread pool.</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Route authentication through the gateway so it is genuinely on the request path.</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d35fdec68d28be9a96de2e38edb3aeeb6be701f.png"/><Relationship Id="rId9" Type="http://schemas.openxmlformats.org/officeDocument/2006/relationships/image" Target="media/09ed0b1fba42017bf6a8df636736fa9871800258.png"/><Relationship Id="rId10" Type="http://schemas.openxmlformats.org/officeDocument/2006/relationships/image" Target="media/e00e3d50e1a6c563d92db81f1386dbeffbb5cdb6.png"/><Relationship Id="rId11" Type="http://schemas.openxmlformats.org/officeDocument/2006/relationships/image" Target="media/76e28bcdadde643699a83c6ae39de294f6cda25f.png"/><Relationship Id="rId12" Type="http://schemas.openxmlformats.org/officeDocument/2006/relationships/image" Target="media/bda1f91d7dd58361ddc36f8f15b951cf7ec88101.png"/><Relationship Id="rId13" Type="http://schemas.openxmlformats.org/officeDocument/2006/relationships/image" Target="media/298fda58429c6dab705ca9c45142beb82d664be9.png"/><Relationship Id="rId14" Type="http://schemas.openxmlformats.org/officeDocument/2006/relationships/image" Target="media/76493557457a9894af8d713bfe1cde7a822f4e30.png"/><Relationship Id="rId15" Type="http://schemas.openxmlformats.org/officeDocument/2006/relationships/image" Target="media/badd0a5af6735e2c396b9196776ebc2585e3f535.png"/><Relationship Id="rId16" Type="http://schemas.openxmlformats.org/officeDocument/2006/relationships/image" Target="media/dcd983203812abf7365e1aded7600e73d68bb53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2026-08-08T19:50:38.951Z</dcterms:created>
  <dcterms:modified xsi:type="dcterms:W3CDTF">2026-08-08T19:50:38.953Z</dcterms:modified>
</cp:coreProperties>
</file>

<file path=docProps/custom.xml><?xml version="1.0" encoding="utf-8"?>
<Properties xmlns="http://schemas.openxmlformats.org/officeDocument/2006/custom-properties" xmlns:vt="http://schemas.openxmlformats.org/officeDocument/2006/docPropsVTypes"/>
</file>