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8EE" w:rsidRDefault="00B348EE" w:rsidP="00B348EE">
      <w:r w:rsidRPr="00B348EE">
        <w:rPr>
          <w:b/>
        </w:rPr>
        <w:t xml:space="preserve">8 </w:t>
      </w:r>
      <w:r w:rsidR="00282152">
        <w:rPr>
          <w:b/>
        </w:rPr>
        <w:t xml:space="preserve">Money Laundering </w:t>
      </w:r>
      <w:r w:rsidRPr="00B348EE">
        <w:rPr>
          <w:b/>
        </w:rPr>
        <w:t>patterns</w:t>
      </w:r>
      <w:r>
        <w:t xml:space="preserve"> are illustrated in </w:t>
      </w:r>
      <w:proofErr w:type="gramStart"/>
      <w:r>
        <w:t xml:space="preserve">Figure </w:t>
      </w:r>
      <w:r w:rsidR="00282152">
        <w:t>:</w:t>
      </w:r>
      <w:proofErr w:type="gramEnd"/>
      <w:r>
        <w:t xml:space="preserve"> </w:t>
      </w:r>
    </w:p>
    <w:p w:rsidR="00282152" w:rsidRDefault="00282152" w:rsidP="00B348EE">
      <w:r w:rsidRPr="00282152">
        <w:rPr>
          <w:noProof/>
        </w:rPr>
        <w:drawing>
          <wp:inline distT="0" distB="0" distL="0" distR="0">
            <wp:extent cx="6145981" cy="146972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2" t="16480" r="8171" b="12900"/>
                    <a:stretch/>
                  </pic:blipFill>
                  <pic:spPr bwMode="auto">
                    <a:xfrm>
                      <a:off x="0" y="0"/>
                      <a:ext cx="6224640" cy="148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2152" w:rsidRDefault="00282152" w:rsidP="00B348EE"/>
    <w:p w:rsidR="00282152" w:rsidRDefault="00B348EE" w:rsidP="00282152">
      <w:pPr>
        <w:jc w:val="both"/>
      </w:pPr>
      <w:r>
        <w:t xml:space="preserve">To be more precise, a </w:t>
      </w:r>
      <w:r w:rsidRPr="0055021D">
        <w:rPr>
          <w:b/>
        </w:rPr>
        <w:t>fan-out pattern</w:t>
      </w:r>
      <w:r>
        <w:t xml:space="preserve"> of vertex v, shown in Figure 2a, is defined by the outgoing edges</w:t>
      </w:r>
      <w:r w:rsidR="00282152">
        <w:t xml:space="preserve"> </w:t>
      </w:r>
      <w:r>
        <w:t>of v connecting v to at least k ≥ 2 different vertices [58]. Analogously,</w:t>
      </w:r>
    </w:p>
    <w:p w:rsidR="00282152" w:rsidRDefault="00B348EE" w:rsidP="00282152">
      <w:pPr>
        <w:jc w:val="both"/>
      </w:pPr>
      <w:r>
        <w:t xml:space="preserve">for a </w:t>
      </w:r>
      <w:r w:rsidRPr="0055021D">
        <w:rPr>
          <w:b/>
        </w:rPr>
        <w:t>fan-in pattern</w:t>
      </w:r>
      <w:r>
        <w:t>, shown in</w:t>
      </w:r>
      <w:r w:rsidR="00282152">
        <w:t xml:space="preserve"> </w:t>
      </w:r>
      <w:r>
        <w:t xml:space="preserve">Figure 2b, v is connected to k ≥ 2 different vertices via incoming edges. </w:t>
      </w:r>
    </w:p>
    <w:p w:rsidR="00282152" w:rsidRDefault="00B348EE" w:rsidP="00282152">
      <w:pPr>
        <w:jc w:val="both"/>
      </w:pPr>
      <w:r>
        <w:t xml:space="preserve">A </w:t>
      </w:r>
      <w:r w:rsidRPr="0055021D">
        <w:rPr>
          <w:b/>
        </w:rPr>
        <w:t>gather-scatter pattern</w:t>
      </w:r>
      <w:r w:rsidR="00282152">
        <w:t xml:space="preserve"> </w:t>
      </w:r>
      <w:r>
        <w:t xml:space="preserve">combines a fan-in pattern with a fan-out pattern of the same vertex, as illustrated in Figure 2c [55]. </w:t>
      </w:r>
    </w:p>
    <w:p w:rsidR="00B348EE" w:rsidRDefault="00B348EE" w:rsidP="00282152">
      <w:pPr>
        <w:jc w:val="both"/>
      </w:pPr>
      <w:r>
        <w:t>A</w:t>
      </w:r>
      <w:r w:rsidR="00282152">
        <w:t xml:space="preserve"> </w:t>
      </w:r>
      <w:r>
        <w:t xml:space="preserve">fan-out pattern of a vertex v and a fan-in pattern of a vertex u form a </w:t>
      </w:r>
      <w:r w:rsidRPr="0055021D">
        <w:rPr>
          <w:b/>
        </w:rPr>
        <w:t>scatter-gather pattern</w:t>
      </w:r>
      <w:r>
        <w:t xml:space="preserve"> if the</w:t>
      </w:r>
      <w:r w:rsidR="00170C4E">
        <w:t xml:space="preserve"> </w:t>
      </w:r>
      <w:r>
        <w:t>fan-out and the fan-in patterns connect vertices v and u, respectively, to the same set of intermediate</w:t>
      </w:r>
      <w:r w:rsidR="00282152">
        <w:t xml:space="preserve"> </w:t>
      </w:r>
      <w:r>
        <w:t>vertices [55]. Figure 2d shows an example of a scatter-gather pattern with four intermediate vertices.</w:t>
      </w:r>
    </w:p>
    <w:p w:rsidR="005F669B" w:rsidRDefault="00B348EE" w:rsidP="00282152">
      <w:pPr>
        <w:jc w:val="both"/>
      </w:pPr>
      <w:r>
        <w:t xml:space="preserve">A </w:t>
      </w:r>
      <w:r w:rsidRPr="0055021D">
        <w:rPr>
          <w:b/>
        </w:rPr>
        <w:t>simple cycle pattern</w:t>
      </w:r>
      <w:r>
        <w:t>, shown in Figure 2e, is a sequence of edges that starts and ends with the</w:t>
      </w:r>
      <w:r w:rsidR="005F669B">
        <w:t xml:space="preserve"> </w:t>
      </w:r>
      <w:r>
        <w:t>same vertex and visits other vertices at most once [27, 12]. Figure 1 shows a cycle in the financial</w:t>
      </w:r>
      <w:r w:rsidR="005F669B">
        <w:t xml:space="preserve"> </w:t>
      </w:r>
      <w:r>
        <w:t>transaction graph, in which node A launders money through nodes C and D.</w:t>
      </w:r>
    </w:p>
    <w:p w:rsidR="0055021D" w:rsidRDefault="00B348EE" w:rsidP="00282152">
      <w:pPr>
        <w:jc w:val="both"/>
      </w:pPr>
      <w:r>
        <w:t xml:space="preserve">A </w:t>
      </w:r>
      <w:r w:rsidRPr="0055021D">
        <w:rPr>
          <w:b/>
        </w:rPr>
        <w:t>Random pattern</w:t>
      </w:r>
      <w:r>
        <w:t>,</w:t>
      </w:r>
      <w:r w:rsidR="005F669B">
        <w:t xml:space="preserve"> </w:t>
      </w:r>
      <w:r>
        <w:t xml:space="preserve">depicted in Figure 2f, is </w:t>
      </w:r>
      <w:r w:rsidR="00282152">
        <w:t>like</w:t>
      </w:r>
      <w:r>
        <w:t xml:space="preserve"> the cycle pattern in Figure 2e – except with random funds are not</w:t>
      </w:r>
      <w:r w:rsidR="005F669B">
        <w:t xml:space="preserve"> </w:t>
      </w:r>
      <w:r>
        <w:t>returned to their original account. As such, random can be viewed as a random walk among accounts</w:t>
      </w:r>
      <w:r w:rsidR="00282152">
        <w:t xml:space="preserve"> </w:t>
      </w:r>
      <w:r>
        <w:t xml:space="preserve">owned or controlled (e.g. through shell companies). </w:t>
      </w:r>
    </w:p>
    <w:p w:rsidR="001A41D8" w:rsidRDefault="00B348EE" w:rsidP="00282152">
      <w:pPr>
        <w:jc w:val="both"/>
      </w:pPr>
      <w:r>
        <w:t xml:space="preserve">A </w:t>
      </w:r>
      <w:r w:rsidRPr="0055021D">
        <w:rPr>
          <w:b/>
        </w:rPr>
        <w:t>bipartite pattern</w:t>
      </w:r>
      <w:r>
        <w:t xml:space="preserve"> in Figure 2g moves funds</w:t>
      </w:r>
      <w:r w:rsidR="00282152">
        <w:t xml:space="preserve"> </w:t>
      </w:r>
      <w:r>
        <w:t xml:space="preserve">from a set of input accounts to a set of output accounts. </w:t>
      </w:r>
    </w:p>
    <w:p w:rsidR="00B348EE" w:rsidRDefault="00B348EE" w:rsidP="00282152">
      <w:pPr>
        <w:jc w:val="both"/>
      </w:pPr>
      <w:r>
        <w:t xml:space="preserve">Finally, a </w:t>
      </w:r>
      <w:r w:rsidRPr="001A41D8">
        <w:rPr>
          <w:b/>
        </w:rPr>
        <w:t>stack pattern</w:t>
      </w:r>
      <w:r>
        <w:t xml:space="preserve"> in Figure 2h extends</w:t>
      </w:r>
      <w:r w:rsidR="00282152">
        <w:t xml:space="preserve"> </w:t>
      </w:r>
      <w:r>
        <w:t>the bipartite pattern by adding an additional bipartite layer.</w:t>
      </w:r>
    </w:p>
    <w:p w:rsidR="00B348EE" w:rsidRDefault="00B348EE" w:rsidP="00282152">
      <w:pPr>
        <w:jc w:val="both"/>
      </w:pPr>
      <w:r>
        <w:t>In these cases, as with all the laundering patterns, the laundering entity owns or controls all accounts</w:t>
      </w:r>
      <w:r w:rsidR="00282152">
        <w:t xml:space="preserve"> </w:t>
      </w:r>
      <w:r>
        <w:t>(nodes) used. For example, an entity may “control” shell companies, that appear to “own” an account.</w:t>
      </w:r>
    </w:p>
    <w:p w:rsidR="00D92E7D" w:rsidRDefault="00B348EE" w:rsidP="00282152">
      <w:pPr>
        <w:jc w:val="both"/>
      </w:pPr>
      <w:r>
        <w:t xml:space="preserve">Over the years, rules have become stricter about who is the </w:t>
      </w:r>
      <w:r w:rsidRPr="00BE0E66">
        <w:rPr>
          <w:b/>
        </w:rPr>
        <w:t>Ultimate Beneficial Owner (UBO)</w:t>
      </w:r>
      <w:r>
        <w:t xml:space="preserve"> of</w:t>
      </w:r>
      <w:r w:rsidR="00282152">
        <w:t xml:space="preserve"> </w:t>
      </w:r>
      <w:r>
        <w:t>an account. However, accurate UBO designations can be difficult to enforce or detect. Note also</w:t>
      </w:r>
      <w:r w:rsidR="00282152">
        <w:t xml:space="preserve"> </w:t>
      </w:r>
      <w:r>
        <w:t>that some entities own or control more nodes than others, and thus can have larger patterns or more</w:t>
      </w:r>
      <w:r w:rsidR="00282152">
        <w:t xml:space="preserve"> </w:t>
      </w:r>
      <w:r>
        <w:t>variation in their node selection.</w:t>
      </w:r>
    </w:p>
    <w:p w:rsidR="00282152" w:rsidRDefault="00282152" w:rsidP="00E46868">
      <w:pPr>
        <w:jc w:val="both"/>
      </w:pPr>
      <w:r w:rsidRPr="00C351C1">
        <w:rPr>
          <w:b/>
        </w:rPr>
        <w:t>Overall 1 in 1,750 transactions</w:t>
      </w:r>
      <w:r>
        <w:t xml:space="preserve"> is laundering in LI-Large. For comparison, </w:t>
      </w:r>
      <w:proofErr w:type="spellStart"/>
      <w:r w:rsidRPr="00036084">
        <w:rPr>
          <w:b/>
        </w:rPr>
        <w:t>Starnini</w:t>
      </w:r>
      <w:proofErr w:type="spellEnd"/>
      <w:r w:rsidRPr="00036084">
        <w:rPr>
          <w:b/>
        </w:rPr>
        <w:t xml:space="preserve"> et al. [56] report on</w:t>
      </w:r>
      <w:r w:rsidRPr="00036084">
        <w:rPr>
          <w:b/>
        </w:rPr>
        <w:t xml:space="preserve"> </w:t>
      </w:r>
      <w:r w:rsidRPr="00036084">
        <w:rPr>
          <w:b/>
        </w:rPr>
        <w:t>real data with 180M transactions over 6 months from a major Italian bank</w:t>
      </w:r>
      <w:r>
        <w:t>. They find 855 laundering</w:t>
      </w:r>
      <w:r w:rsidR="00E46868">
        <w:t xml:space="preserve"> </w:t>
      </w:r>
      <w:r>
        <w:t>motifs (equivalent to our Gather-Scatter and Scatter-Gather patterns), each with “less than 20 [nodes]</w:t>
      </w:r>
      <w:r>
        <w:t xml:space="preserve"> </w:t>
      </w:r>
      <w:r>
        <w:t>total”. This amounts to around 1 laundering transaction per 21,000. By comparison Appendix Table 7</w:t>
      </w:r>
      <w:r>
        <w:t xml:space="preserve"> </w:t>
      </w:r>
      <w:r>
        <w:t xml:space="preserve">indicates </w:t>
      </w:r>
      <w:r w:rsidRPr="00036084">
        <w:rPr>
          <w:b/>
        </w:rPr>
        <w:t>LI-Large has 8,212 combined Gather-Scatter and Scatter-Gather transactions</w:t>
      </w:r>
      <w:r>
        <w:t xml:space="preserve"> – yielding a</w:t>
      </w:r>
      <w:r>
        <w:t xml:space="preserve"> </w:t>
      </w:r>
      <w:r>
        <w:t>very similar 1 laundering transaction per 21,440 transactions f</w:t>
      </w:r>
      <w:bookmarkStart w:id="0" w:name="_GoBack"/>
      <w:bookmarkEnd w:id="0"/>
      <w:r>
        <w:t>rom these patterns.</w:t>
      </w:r>
    </w:p>
    <w:sectPr w:rsidR="00282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7D"/>
    <w:rsid w:val="00036084"/>
    <w:rsid w:val="00170C4E"/>
    <w:rsid w:val="00172426"/>
    <w:rsid w:val="001A41D8"/>
    <w:rsid w:val="00282152"/>
    <w:rsid w:val="00410216"/>
    <w:rsid w:val="0055021D"/>
    <w:rsid w:val="005F669B"/>
    <w:rsid w:val="006603A1"/>
    <w:rsid w:val="00B348EE"/>
    <w:rsid w:val="00BE0E66"/>
    <w:rsid w:val="00C351C1"/>
    <w:rsid w:val="00D92E7D"/>
    <w:rsid w:val="00E4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8CC8"/>
  <w15:chartTrackingRefBased/>
  <w15:docId w15:val="{A223096C-9D9E-4CE6-B3C3-2BBD8CBF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2E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ISEA CDAC Noida</dc:creator>
  <cp:keywords/>
  <dc:description/>
  <cp:lastModifiedBy>ISEA CDAC Noida</cp:lastModifiedBy>
  <cp:revision>9</cp:revision>
  <dcterms:created xsi:type="dcterms:W3CDTF">2026-08-06T08:52:00Z</dcterms:created>
  <dcterms:modified xsi:type="dcterms:W3CDTF">2026-08-06T12:20:00Z</dcterms:modified>
</cp:coreProperties>
</file>