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Postmortem: auth-gateway Outage (2026-03-14) — DRAFT</w:t>
      </w:r>
    </w:p>
    <w:p>
      <w:r>
        <w:rPr>
          <w:b/>
        </w:rPr>
        <w:t>RESTRICTED — see policy_access_and_clearance.docx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postmortem_auth_gateway_outage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/ SUPERSEDED -- see v2.0 FINAL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2026-03-10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Security</w:t>
            </w:r>
          </w:p>
        </w:tc>
      </w:tr>
    </w:tbl>
    <w:p/>
    <w:p>
      <w:pPr>
        <w:pStyle w:val="Heading1"/>
      </w:pPr>
      <w:r>
        <w:t>1. Summary</w:t>
      </w:r>
    </w:p>
    <w:p>
      <w:r>
        <w:t>Preliminary write-up circulated during active investigation, before root cause was confirmed. Retained for audit history; superseded by the FINAL postmortem once investigation concluded.</w:t>
      </w:r>
    </w:p>
    <w:p>
      <w:pPr>
        <w:pStyle w:val="Heading1"/>
      </w:pPr>
      <w:r>
        <w:t>2. Impact</w:t>
      </w:r>
    </w:p>
    <w:p>
      <w:r>
        <w:t>Impact figures not yet finalized at draft time; see FINAL postmortem for confirmed impact.</w:t>
      </w:r>
    </w:p>
    <w:p>
      <w:pPr>
        <w:pStyle w:val="Heading1"/>
      </w:pPr>
      <w:r>
        <w:t>3. Root cause</w:t>
      </w:r>
    </w:p>
    <w:p>
      <w:r>
        <w:t>Preliminary hypothesis: a sudden spike in inbound traffic was misidentified by auth-gateway as a DDoS event, triggering rate-limiter logic that began rejecting legitimate requests. This hypothesis was under active verification at the time of this draft.</w:t>
      </w:r>
    </w:p>
    <w:p>
      <w:pPr>
        <w:pStyle w:val="Heading1"/>
      </w:pPr>
      <w:r>
        <w:t>4. Root cause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Root cause category</w:t>
            </w:r>
          </w:p>
        </w:tc>
        <w:tc>
          <w:tcPr>
            <w:tcW w:type="dxa" w:w="4320"/>
          </w:tcPr>
          <w:p>
            <w:r>
              <w:t>Preliminary hypothesis: traffic-spike-triggered rate-limiter failure (UNCONFIRMED -- see FINAL postmortem, which disproves this).</w:t>
            </w:r>
          </w:p>
        </w:tc>
      </w:tr>
    </w:tbl>
    <w:p/>
    <w:p>
      <w:pPr>
        <w:pStyle w:val="Heading1"/>
      </w:pPr>
      <w:r>
        <w:t>5. Roles &amp; responsibilities</w:t>
      </w:r>
    </w:p>
    <w:p>
      <w:r>
        <w:t>Incident commander: on-call SRE. Communications: owning team lead. Follow-up owner: owning team engineering manager.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