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Postmortem: billing-worker Duplicate Settlement Charges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postmortem_billing_worker_duplicate_charges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FINAL / APPROVED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07/22/2026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Billing</w:t>
            </w:r>
          </w:p>
        </w:tc>
      </w:tr>
    </w:tbl>
    <w:p/>
    <w:p>
      <w:pPr>
        <w:pStyle w:val="Heading1"/>
      </w:pPr>
      <w:r>
        <w:t>1. Summary</w:t>
      </w:r>
    </w:p>
    <w:p>
      <w:r>
        <w:t>A batch of invoice settlements was submitted twice for 41 invoices after a network timeout caused the billing-worker's retry logic to resubmit the same settlement request.</w:t>
      </w:r>
    </w:p>
    <w:p>
      <w:pPr>
        <w:pStyle w:val="Heading1"/>
      </w:pPr>
      <w:r>
        <w:t>2. Impact</w:t>
      </w:r>
    </w:p>
    <w:p>
      <w:r>
        <w:t>41 invoices were double-charged; all were identified and refunded within 24 hours of detection.</w:t>
      </w:r>
    </w:p>
    <w:p>
      <w:pPr>
        <w:pStyle w:val="Heading1"/>
      </w:pPr>
      <w:r>
        <w:t>3. Root cause</w:t>
      </w:r>
    </w:p>
    <w:p>
      <w:r>
        <w:t>The retry was issued without an idempotency key, so the downstream payment processor treated the retried request as a new charge rather than recognizing it as a duplicate of the original attempt.</w:t>
      </w:r>
    </w:p>
    <w:p>
      <w:pPr>
        <w:pStyle w:val="Heading1"/>
      </w:pPr>
      <w:r>
        <w:t>4. Root cause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Root cause category</w:t>
            </w:r>
          </w:p>
        </w:tc>
        <w:tc>
          <w:tcPr>
            <w:tcW w:type="dxa" w:w="4320"/>
          </w:tcPr>
          <w:p>
            <w:r>
              <w:t>Retry issued without an idempotency key on a network-timeout path.</w:t>
            </w:r>
          </w:p>
        </w:tc>
      </w:tr>
    </w:tbl>
    <w:p/>
    <w:p>
      <w:pPr>
        <w:pStyle w:val="Heading1"/>
      </w:pPr>
      <w:r>
        <w:t>5. Roles &amp; responsibilities</w:t>
      </w:r>
    </w:p>
    <w:p>
      <w:r>
        <w:t>Incident commander: on-call SRE. Communications: owning team lead. Follow-up owner: owning team engineering manager.</w:t>
      </w:r>
    </w:p>
    <w:p>
      <w:r>
        <w:rPr>
          <w:sz w:val="16"/>
        </w:rPr>
        <w:t>Internal use only — Fenwick Cloud Engineering. This document is maintained by the owning team and reviewed on incident close-out or quarterly, whichever comes first. Report inaccuracies to the owning team's on-call channel.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