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On-Call Escalation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runbook_oncall_escalation</w:t>
            </w:r>
          </w:p>
        </w:tc>
      </w:tr>
      <w:tr>
        <w:tc>
          <w:tcPr>
            <w:tcW w:type="dxa" w:w="4320"/>
          </w:tcPr>
          <w:p>
            <w:r>
              <w:t>Owning team</w:t>
            </w:r>
          </w:p>
        </w:tc>
        <w:tc>
          <w:tcPr>
            <w:tcW w:type="dxa" w:w="4320"/>
          </w:tcPr>
          <w:p>
            <w:r>
              <w:t>Platform / SRE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2026-06-02</w:t>
            </w:r>
          </w:p>
        </w:tc>
      </w:tr>
    </w:tbl>
    <w:p/>
    <w:p>
      <w:pPr>
        <w:pStyle w:val="Heading1"/>
      </w:pPr>
      <w:r>
        <w:t>1. When to escalate</w:t>
      </w:r>
    </w:p>
    <w:p>
      <w:r>
        <w:t>Escalate any incident that a runbook's own escalation section points to, or any SEV1/SEV2 incident where the assigned on-call engineer has not acknowledged within 10 minutes.</w:t>
      </w:r>
    </w:p>
    <w:p>
      <w:pPr>
        <w:pStyle w:val="Heading1"/>
      </w:pPr>
      <w:r>
        <w:t>2. How to escalate</w:t>
      </w:r>
    </w:p>
    <w:p>
      <w:r>
        <w:t>File a ticket in the Ops Escalation queue, tagged with the incident severity and the affected service. Include a link to the relevant runbook and a one-line statement of current impact.</w:t>
      </w:r>
    </w:p>
    <w:p>
      <w:pPr>
        <w:pStyle w:val="Heading1"/>
      </w:pPr>
      <w:r>
        <w:t>3. After escalation</w:t>
      </w:r>
    </w:p>
    <w:p>
      <w:r>
        <w:t>The Ops Escalation queue pages the secondary on-call automatically for SEV1 tickets. SEV2/SEV3 tickets route to the team's normal queue.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