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checkout-service Rollback &amp; Latency Triage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runbook_rollback_checkout_service</w:t>
            </w:r>
          </w:p>
        </w:tc>
      </w:tr>
      <w:tr>
        <w:tc>
          <w:tcPr>
            <w:tcW w:type="dxa" w:w="4320"/>
          </w:tcPr>
          <w:p>
            <w:r>
              <w:t>Owning team</w:t>
            </w:r>
          </w:p>
        </w:tc>
        <w:tc>
          <w:tcPr>
            <w:tcW w:type="dxa" w:w="4320"/>
          </w:tcPr>
          <w:p>
            <w:r>
              <w:t>Payments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2026-08-20</w:t>
            </w:r>
          </w:p>
        </w:tc>
      </w:tr>
    </w:tbl>
    <w:p/>
    <w:p>
      <w:pPr>
        <w:pStyle w:val="Heading1"/>
      </w:pPr>
      <w:r>
        <w:t>1. Purpose</w:t>
      </w:r>
    </w:p>
    <w:p>
      <w:r>
        <w:t>Covers the standard rollback and latency-triage procedure for checkout-service, the customer-facing checkout API that calls payments-api for authorization.</w:t>
      </w:r>
    </w:p>
    <w:p>
      <w:pPr>
        <w:pStyle w:val="Heading1"/>
      </w:pPr>
      <w:r>
        <w:t>2. First steps on a latency report</w:t>
      </w:r>
    </w:p>
    <w:p>
      <w:r>
        <w:t>Check whether payments-api or a downstream dependency (fraud-detection-worker, primary-db) is elevated first -- checkout-service latency reports are more often a downstream symptom than a checkout-service-local problem.</w:t>
      </w:r>
    </w:p>
    <w:p>
      <w:pPr>
        <w:pStyle w:val="Heading1"/>
      </w:pPr>
      <w:r>
        <w:t>3. Rollback procedure</w:t>
      </w:r>
    </w:p>
    <w:p>
      <w:r>
        <w:t>Run: fenctl rollback checkout-service --to-last-stable.</w:t>
      </w:r>
    </w:p>
    <w:p>
      <w:pPr>
        <w:pStyle w:val="Heading1"/>
      </w:pPr>
      <w:r>
        <w:t>4. Escalation</w:t>
      </w:r>
    </w:p>
    <w:p>
      <w:r>
        <w:t>Escalate to the Payments on-call engineer if latency has not returned to baseline within 10 minutes of ruling out a downstream cause.</w:t>
      </w:r>
    </w:p>
    <w:p>
      <w:r>
        <w:rPr>
          <w:sz w:val="16"/>
        </w:rPr>
        <w:t>Internal use only — Fenwick Cloud Engineering. This document is maintained by the owning team and reviewed on incident close-out or quarterly, whichever comes first. Report inaccuracies to the owning team's on-call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