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Times New Roman" w:cs="Times New Roman" w:eastAsia="Times New Roman" w:hAnsi="Times New Roman"/>
          <w:b/>
          <w:bCs/>
          <w:color w:val="1D4ED8"/>
          <w:sz w:val="34"/>
          <w:szCs w:val="34"/>
        </w:rPr>
        <w:t xml:space="preserve">Define Problem Statements</w:t>
      </w: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2400"/>
        <w:gridCol w:w="7100"/>
      </w:tblGrid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05 July 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AIML-HDI-2026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Comprehensive Measure of Well-Being</w:t>
            </w:r>
          </w:p>
        </w:tc>
      </w:tr>
      <w:tr>
        <w:tc>
          <w:tcPr>
            <w:tcW w:type="dxa" w:w="2400"/>
            <w:shd w:fill="E5ED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20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Define Problem Statements (Customer Problem Statement Template)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Create a problem statement to understand your customer's point of view. The Customer Problem Statement template helps focus on what matters to create experiences people will love. A well-articulated problem statement allows the team to find the ideal solution for the customers' challenges, while empathizing with how they perceive the product or service.</w:t>
      </w:r>
    </w:p>
    <w:p>
      <w:pPr>
        <w:spacing w:after="120"/>
      </w:pPr>
    </w:p>
    <w:tbl>
      <w:tblPr>
        <w:tblW w:type="dxa" w:w="9500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D1D5DB" w:sz="2"/>
          <w:insideV w:val="single" w:color="D1D5DB" w:sz="2"/>
        </w:tblBorders>
      </w:tblPr>
      <w:tblGrid>
        <w:gridCol w:w="900"/>
        <w:gridCol w:w="1900"/>
        <w:gridCol w:w="1900"/>
        <w:gridCol w:w="1600"/>
        <w:gridCol w:w="1900"/>
        <w:gridCol w:w="1300"/>
      </w:tblGrid>
      <w:tr>
        <w:trPr>
          <w:tblHeader/>
        </w:trPr>
        <w:tc>
          <w:tcPr>
            <w:tcW w:type="dxa" w:w="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PS</w:t>
            </w:r>
          </w:p>
        </w:tc>
        <w:tc>
          <w:tcPr>
            <w:tcW w:type="dxa" w:w="1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6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But</w:t>
            </w:r>
          </w:p>
        </w:tc>
        <w:tc>
          <w:tcPr>
            <w:tcW w:type="dxa" w:w="19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Because</w:t>
            </w:r>
          </w:p>
        </w:tc>
        <w:tc>
          <w:tcPr>
            <w:tcW w:type="dxa" w:w="1300"/>
            <w:shd w:fill="1D4ED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government policy analyst / development-studies researcher</w:t>
            </w:r>
          </w:p>
        </w:tc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Quickly estimate a country's HDI score and development tier from a handful of indicators</w:t>
            </w:r>
          </w:p>
        </w:tc>
        <w:tc>
          <w:tcPr>
            <w:tcW w:type="dxa" w:w="16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 rely on slow, manual application of the UNDP geometric-mean formula across normalized sub-indices</w:t>
            </w:r>
          </w:p>
        </w:tc>
        <w:tc>
          <w:tcPr>
            <w:tcW w:type="dxa" w:w="19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there is no interactive tool that learns the indicator-to-HDI relationship directly from historical data</w:t>
            </w:r>
          </w:p>
        </w:tc>
        <w:tc>
          <w:tcPr>
            <w:tcW w:type="dxa" w:w="1300"/>
            <w:shd w:fill="F3F4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frustrated and unsure about exploring “what-if” policy scenarios</w:t>
            </w:r>
          </w:p>
        </w:tc>
      </w:tr>
      <w:tr>
        <w:tc>
          <w:tcPr>
            <w:tcW w:type="dxa" w:w="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student or journalist researching national development trends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Compare countries and understand which socio-economic factors drive HDI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spreadsheet-based comparisons are fragmented across multiple data sources</w:t>
            </w:r>
          </w:p>
        </w:tc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there is no single, browser-accessible dashboard combining prediction and classification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overwhelmed by disconnected tools and inconsistent data</w:t>
            </w:r>
          </w:p>
        </w:tc>
      </w:tr>
    </w:tbl>
    <w:p>
      <w:pPr>
        <w:spacing w:after="160"/>
      </w:pPr>
    </w:p>
    <w:p>
      <w:pPr>
        <w:pStyle w:val="Heading2"/>
        <w:spacing w:after="140" w:before="240"/>
      </w:pPr>
      <w:r>
        <w:rPr>
          <w:rFonts w:ascii="Times New Roman" w:cs="Times New Roman" w:eastAsia="Times New Roman" w:hAnsi="Times New Roman"/>
          <w:b/>
          <w:bCs/>
          <w:color w:val="1F2937"/>
          <w:sz w:val="24"/>
          <w:szCs w:val="24"/>
        </w:rPr>
        <w:t xml:space="preserve">Root Cause Summary</w:t>
      </w:r>
    </w:p>
    <w:p>
      <w:pPr>
        <w:spacing w:after="180" w:before="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Both problem statements converge on the same root cause: official HDI computation requires combining normalized health, education, and income sub-indices through a fixed formula that is not accessible for rapid, exploratory, or predictive use. This motivated the team to design a hybrid deep-learning model that reproduces the indicator-to-HDI relationship and exposes it through an interactive web dashboard.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2026-07-13T16:00:08.648Z</dcterms:created>
  <dcterms:modified xsi:type="dcterms:W3CDTF">2026-07-13T16:00:08.662Z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