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Technology Stack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Define Your Technology Stack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Identify the programming languages, frameworks, databases, front-end tools, back-end tools, and APIs used to build the solution. Fill out the table below to detail the specific technologies chosen for each component of the architecture and a brief justification for the choice.</w:t>
      </w:r>
    </w:p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Technology Stack Details</w:t>
      </w:r>
    </w:p>
    <w:tbl>
      <w:tblPr>
        <w:tblW w:type="dxa" w:w="92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700"/>
        <w:gridCol w:w="2600"/>
        <w:gridCol w:w="3200"/>
        <w:gridCol w:w="2700"/>
      </w:tblGrid>
      <w:tr>
        <w:trPr>
          <w:tblHeader/>
        </w:trPr>
        <w:tc>
          <w:tcPr>
            <w:tcW w:type="dxa" w:w="7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6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Architecture Component / Layer</w:t>
            </w:r>
          </w:p>
        </w:tc>
        <w:tc>
          <w:tcPr>
            <w:tcW w:type="dxa" w:w="32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Technology Chosen</w:t>
            </w:r>
          </w:p>
        </w:tc>
        <w:tc>
          <w:tcPr>
            <w:tcW w:type="dxa" w:w="27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Justification / Purpose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 / Client-Side</w:t>
            </w:r>
          </w:p>
        </w:tc>
        <w:tc>
          <w:tcPr>
            <w:tcW w:type="dxa" w:w="3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HTML5, CSS3 (Jinja2 templating)</w:t>
            </w:r>
          </w:p>
        </w:tc>
        <w:tc>
          <w:tcPr>
            <w:tcW w:type="dxa" w:w="2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Provides a lightweight, responsive interface that loads quickly for end-users without extra dependencies.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/ Server-Side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 (Flask)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Excellent integration with the PyTorch model for real-time inference and serving the HTML dashboard.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Database / Data Storage</w:t>
            </w:r>
          </w:p>
        </w:tc>
        <w:tc>
          <w:tcPr>
            <w:tcW w:type="dxa" w:w="3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cuDF (RAPIDS GPU DataFrame) / Pandas, CSV-based</w:t>
            </w:r>
          </w:p>
        </w:tc>
        <w:tc>
          <w:tcPr>
            <w:tcW w:type="dxa" w:w="2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GPU-accelerated handling of large, structured, multi-year socio-economic datasets.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Cloud / Hosting / Deployment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LocalTunnel (via npx), Kaggle Notebook GPU runtime (Tesla T4)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Enables free, on-demand public access to the Flask app directly from the training environment.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Version Control &amp; CI/CD</w:t>
            </w:r>
          </w:p>
        </w:tc>
        <w:tc>
          <w:tcPr>
            <w:tcW w:type="dxa" w:w="3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2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Essential for team collaboration, version tracking, and documenting each project phase.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Third-Party APIs / Other Tools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PyTorch, scikit-learn, Matplotlib, Seaborn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Used for model development (hybrid neural network), evaluation metrics, and visualization of results.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2026-07-13T16:00:09.226Z</dcterms:created>
  <dcterms:modified xsi:type="dcterms:W3CDTF">2026-07-13T16:00:09.226Z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