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Times New Roman" w:cs="Times New Roman" w:eastAsia="Times New Roman" w:hAnsi="Times New Roman"/>
          <w:b/>
          <w:bCs/>
          <w:color w:val="1D4ED8"/>
          <w:sz w:val="34"/>
          <w:szCs w:val="34"/>
        </w:rPr>
        <w:t xml:space="preserve">Problem – Solution Fit</w:t>
      </w:r>
    </w:p>
    <w:tbl>
      <w:tblPr>
        <w:tblW w:type="dxa" w:w="9500"/>
        <w:tblBorders>
          <w:top w:val="single" w:color="9CA3AF" w:sz="4"/>
          <w:left w:val="single" w:color="9CA3AF" w:sz="4"/>
          <w:bottom w:val="single" w:color="9CA3AF" w:sz="4"/>
          <w:right w:val="single" w:color="9CA3AF" w:sz="4"/>
          <w:insideH w:val="single" w:color="D1D5DB" w:sz="2"/>
          <w:insideV w:val="single" w:color="D1D5DB" w:sz="2"/>
        </w:tblBorders>
      </w:tblPr>
      <w:tblGrid>
        <w:gridCol w:w="2400"/>
        <w:gridCol w:w="7100"/>
      </w:tblGrid>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Date</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09 July 2026</w:t>
            </w:r>
          </w:p>
        </w:tc>
      </w:tr>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Team ID</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AIML-HDI-2026</w:t>
            </w:r>
          </w:p>
        </w:tc>
      </w:tr>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Project Name</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 Comprehensive Measure of Well-Being</w:t>
            </w:r>
          </w:p>
        </w:tc>
      </w:tr>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Maximum Marks</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 Marks</w:t>
            </w:r>
          </w:p>
        </w:tc>
      </w:tr>
    </w:tbl>
    <w:p>
      <w:pPr>
        <w:spacing w:after="200"/>
      </w:pPr>
    </w:p>
    <w:p>
      <w:pPr>
        <w:pStyle w:val="Heading2"/>
        <w:spacing w:after="140" w:before="240"/>
      </w:pPr>
      <w:r>
        <w:rPr>
          <w:rFonts w:ascii="Times New Roman" w:cs="Times New Roman" w:eastAsia="Times New Roman" w:hAnsi="Times New Roman"/>
          <w:b/>
          <w:bCs/>
          <w:color w:val="1F2937"/>
          <w:sz w:val="24"/>
          <w:szCs w:val="24"/>
        </w:rPr>
        <w:t xml:space="preserve">Problem-Solution Fit Canvas</w:t>
      </w:r>
    </w:p>
    <w:p>
      <w:pPr>
        <w:spacing w:after="180" w:before="0" w:line="300"/>
        <w:jc w:val="both"/>
      </w:pPr>
      <w:r>
        <w:rPr>
          <w:rFonts w:ascii="Times New Roman" w:cs="Times New Roman" w:eastAsia="Times New Roman" w:hAnsi="Times New Roman"/>
          <w:b w:val="false"/>
          <w:bCs w:val="false"/>
          <w:i w:val="false"/>
          <w:iCs w:val="false"/>
          <w:sz w:val="22"/>
          <w:szCs w:val="22"/>
        </w:rPr>
        <w:t xml:space="preserve">Use the framework below to ensure the proposed solution accurately addresses the root causes, behaviors, and limitations of the target audience. The canvas is filled out in the respective boxes just like the original visual template.</w:t>
      </w:r>
    </w:p>
    <w:p>
      <w:pPr>
        <w:spacing w:after="140"/>
      </w:pPr>
    </w:p>
    <w:tbl>
      <w:tblPr>
        <w:tblW w:type="dxa" w:w="9500"/>
        <w:tblBorders>
          <w:top w:val="single" w:color="9CA3AF" w:sz="4"/>
          <w:left w:val="single" w:color="9CA3AF" w:sz="4"/>
          <w:bottom w:val="single" w:color="9CA3AF" w:sz="4"/>
          <w:right w:val="single" w:color="9CA3AF" w:sz="4"/>
          <w:insideH w:val="single" w:color="D1D5DB" w:sz="2"/>
          <w:insideV w:val="single" w:color="D1D5DB" w:sz="2"/>
        </w:tblBorders>
      </w:tblPr>
      <w:tblGrid>
        <w:gridCol w:w="3300"/>
        <w:gridCol w:w="3000"/>
        <w:gridCol w:w="3200"/>
      </w:tblGrid>
      <w:tr>
        <w:tc>
          <w:tcPr>
            <w:tcW w:type="dxa" w:w="33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Government Policy Analysts, Socio-economic Researchers, Students, and International Development Agencies (e.g., UNDP).</w:t>
            </w:r>
          </w:p>
        </w:tc>
        <w:tc>
          <w:tcPr>
            <w:tcW w:type="dxa" w:w="30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Limited time for manual analysis; no budget for proprietary forecasting software; reliance on standard office hardware/browsers.</w:t>
            </w:r>
          </w:p>
        </w:tc>
        <w:tc>
          <w:tcPr>
            <w:tcW w:type="dxa" w:w="32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Pros: Manual spreadsheets allow custom formulas.</w:t>
            </w:r>
          </w:p>
          <w:p>
            <w:pPr>
              <w:spacing w:after="60"/>
            </w:pPr>
            <w:r>
              <w:rPr>
                <w:rFonts w:ascii="Times New Roman" w:cs="Times New Roman" w:eastAsia="Times New Roman" w:hAnsi="Times New Roman"/>
                <w:sz w:val="19"/>
                <w:szCs w:val="19"/>
              </w:rPr>
              <w:t xml:space="preserve">Cons: Time-consuming, error-prone, cannot perform predictive modeling or what-if exploration.</w:t>
            </w:r>
          </w:p>
        </w:tc>
      </w:tr>
      <w:tr>
        <w:tc>
          <w:tcPr>
            <w:tcW w:type="dxa" w:w="33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Difficulty forecasting development trends; reliance on static historical reports; manual formula errors.</w:t>
            </w:r>
          </w:p>
          <w:p>
            <w:pPr>
              <w:spacing w:after="60"/>
            </w:pPr>
            <w:r>
              <w:rPr>
                <w:rFonts w:ascii="Times New Roman" w:cs="Times New Roman" w:eastAsia="Times New Roman" w:hAnsi="Times New Roman"/>
                <w:sz w:val="19"/>
                <w:szCs w:val="19"/>
              </w:rPr>
              <w:t xml:space="preserve">(High Frequency / High Intensity).</w:t>
            </w:r>
          </w:p>
        </w:tc>
        <w:tc>
          <w:tcPr>
            <w:tcW w:type="dxa" w:w="30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Lack of an integrated predictive tool combining regression and tier classification for socio-economic indicators; inability to handle multi-year, high-dimensional data.</w:t>
            </w:r>
          </w:p>
        </w:tc>
        <w:tc>
          <w:tcPr>
            <w:tcW w:type="dxa" w:w="32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Manual data collection from global databases; static presentation-building; reliance on intuition for long-term planning.</w:t>
            </w:r>
          </w:p>
        </w:tc>
      </w:tr>
      <w:tr>
        <w:tc>
          <w:tcPr>
            <w:tcW w:type="dxa" w:w="33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Upcoming budget/policy cycles requiring quick, data-backed estimates for presentations.</w:t>
            </w:r>
          </w:p>
        </w:tc>
        <w:tc>
          <w:tcPr>
            <w:tcW w:type="dxa" w:w="30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A hybrid neural network-powered web dashboard that predicts HDI score and development tier from key socio-economic input metrics.</w:t>
            </w:r>
          </w:p>
        </w:tc>
        <w:tc>
          <w:tcPr>
            <w:tcW w:type="dxa" w:w="32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Online: Kaggle datasets, UNDP Open Data Portal, academic literature.</w:t>
            </w:r>
          </w:p>
        </w:tc>
      </w:tr>
      <w:tr>
        <w:tc>
          <w:tcPr>
            <w:tcW w:type="dxa" w:w="33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Before: Frustrated, anxious, overwhelmed.</w:t>
            </w:r>
          </w:p>
          <w:p>
            <w:pPr>
              <w:spacing w:after="60"/>
            </w:pPr>
            <w:r>
              <w:rPr>
                <w:rFonts w:ascii="Times New Roman" w:cs="Times New Roman" w:eastAsia="Times New Roman" w:hAnsi="Times New Roman"/>
                <w:sz w:val="19"/>
                <w:szCs w:val="19"/>
              </w:rPr>
              <w:t xml:space="preserve">After: Empowered, confident, relieved.</w:t>
            </w:r>
          </w:p>
        </w:tc>
        <w:tc>
          <w:tcPr>
            <w:tcW w:type="dxa" w:w="30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
            </w:r>
          </w:p>
        </w:tc>
        <w:tc>
          <w:tcPr>
            <w:tcW w:type="dxa" w:w="3200"/>
            <w:shd w:fill="FFFFFF" w:val="clear"/>
            <w:tcMar>
              <w:top w:type="dxa" w:w="140"/>
              <w:left w:type="dxa" w:w="140"/>
              <w:bottom w:type="dxa" w:w="140"/>
              <w:right w:type="dxa" w:w="140"/>
            </w:tcMar>
            <w:vAlign w:val="top"/>
          </w:tcPr>
          <w:p>
            <w:pPr>
              <w:spacing w:after="0"/>
            </w:pPr>
            <w:r>
              <w:rPr>
                <w:rFonts w:ascii="Times New Roman" w:cs="Times New Roman" w:eastAsia="Times New Roman" w:hAnsi="Times New Roman"/>
                <w:sz w:val="19"/>
                <w:szCs w:val="19"/>
              </w:rPr>
              <w:t xml:space="preserve">Offline: Government meetings, academic conferences, inter-departmental workshops.</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2026-07-13T16:00:09.263Z</dcterms:created>
  <dcterms:modified xsi:type="dcterms:W3CDTF">2026-07-13T16:00:09.264Z</dcterms:modified>
</cp:coreProperties>
</file>

<file path=docProps/custom.xml><?xml version="1.0" encoding="utf-8"?>
<Properties xmlns="http://schemas.openxmlformats.org/officeDocument/2006/custom-properties" xmlns:vt="http://schemas.openxmlformats.org/officeDocument/2006/docPropsVTypes"/>
</file>