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Times New Roman" w:cs="Times New Roman" w:eastAsia="Times New Roman" w:hAnsi="Times New Roman"/>
        </w:rPr>
        <w:t xml:space="preserve"/>
      </w:r>
    </w:p>
    <w:p>
      <w:pPr>
        <w:spacing w:after="300"/>
        <w:jc w:val="center"/>
      </w:pPr>
      <w:r>
        <w:rPr>
          <w:rFonts w:ascii="Times New Roman" w:cs="Times New Roman" w:eastAsia="Times New Roman" w:hAnsi="Times New Roman"/>
          <w:b/>
          <w:bCs/>
          <w:color w:val="1D4ED8"/>
          <w:sz w:val="44"/>
          <w:szCs w:val="44"/>
        </w:rPr>
        <w:t xml:space="preserve">PROJECT REPORT</w:t>
      </w:r>
    </w:p>
    <w:p>
      <w:pPr>
        <w:spacing w:after="600"/>
        <w:jc w:val="center"/>
      </w:pPr>
      <w:r>
        <w:rPr>
          <w:rFonts w:ascii="Times New Roman" w:cs="Times New Roman" w:eastAsia="Times New Roman" w:hAnsi="Times New Roman"/>
          <w:b/>
          <w:bCs/>
          <w:sz w:val="32"/>
          <w:szCs w:val="32"/>
        </w:rPr>
        <w:t xml:space="preserve">Global Human Development Index (HDI) Intelligence Engine</w:t>
      </w:r>
    </w:p>
    <w:p>
      <w:pPr>
        <w:spacing w:after="200"/>
        <w:jc w:val="center"/>
      </w:pPr>
      <w:r>
        <w:rPr>
          <w:rFonts w:ascii="Times New Roman" w:cs="Times New Roman" w:eastAsia="Times New Roman" w:hAnsi="Times New Roman"/>
          <w:i/>
          <w:iCs/>
          <w:sz w:val="24"/>
          <w:szCs w:val="24"/>
        </w:rPr>
        <w:t xml:space="preserve">A Hybrid Deep Learning Approach for Predicting and Classifying</w:t>
      </w:r>
    </w:p>
    <w:p>
      <w:pPr>
        <w:spacing w:after="800"/>
        <w:jc w:val="center"/>
      </w:pPr>
      <w:r>
        <w:rPr>
          <w:rFonts w:ascii="Times New Roman" w:cs="Times New Roman" w:eastAsia="Times New Roman" w:hAnsi="Times New Roman"/>
          <w:i/>
          <w:iCs/>
          <w:sz w:val="24"/>
          <w:szCs w:val="24"/>
        </w:rPr>
        <w:t xml:space="preserve">National Human Development Index Scores</w:t>
      </w:r>
    </w:p>
    <w:p>
      <w:pPr>
        <w:spacing w:after="100" w:before="1400"/>
        <w:jc w:val="center"/>
      </w:pPr>
      <w:r>
        <w:rPr>
          <w:rFonts w:ascii="Times New Roman" w:cs="Times New Roman" w:eastAsia="Times New Roman" w:hAnsi="Times New Roman"/>
          <w:b/>
          <w:bCs/>
          <w:sz w:val="24"/>
          <w:szCs w:val="24"/>
        </w:rPr>
        <w:t xml:space="preserve">Prepared by (Group Members):</w:t>
      </w:r>
    </w:p>
    <w:p>
      <w:pPr>
        <w:spacing w:after="60"/>
        <w:jc w:val="center"/>
      </w:pPr>
      <w:r>
        <w:rPr>
          <w:rFonts w:ascii="Times New Roman" w:cs="Times New Roman" w:eastAsia="Times New Roman" w:hAnsi="Times New Roman"/>
          <w:sz w:val="22"/>
          <w:szCs w:val="22"/>
        </w:rPr>
        <w:t xml:space="preserve">1. Nimmakayala Venkata Satheesh Kumar (Team Lead)</w:t>
      </w:r>
    </w:p>
    <w:p>
      <w:pPr>
        <w:spacing w:after="100"/>
        <w:jc w:val="center"/>
      </w:pPr>
      <w:r>
        <w:rPr>
          <w:rFonts w:ascii="Times New Roman" w:cs="Times New Roman" w:eastAsia="Times New Roman" w:hAnsi="Times New Roman"/>
          <w:sz w:val="22"/>
          <w:szCs w:val="22"/>
        </w:rPr>
        <w:t xml:space="preserve">2. Cherukuri Sailaja Kiranmai (Group Member)</w:t>
      </w:r>
    </w:p>
    <w:p>
      <w:pPr>
        <w:spacing w:after="100"/>
        <w:jc w:val="center"/>
      </w:pPr>
      <w:r>
        <w:rPr>
          <w:rFonts w:ascii="Times New Roman" w:cs="Times New Roman" w:eastAsia="Times New Roman" w:hAnsi="Times New Roman"/>
          <w:sz w:val="22"/>
          <w:szCs w:val="22"/>
        </w:rPr>
        <w:t xml:space="preserve">Platform: Kaggle Notebook (Dual Tesla T4 GPU Environment)</w:t>
      </w:r>
    </w:p>
    <w:p>
      <w:pPr>
        <w:spacing w:after="100"/>
        <w:jc w:val="center"/>
      </w:pPr>
      <w:r>
        <w:rPr>
          <w:rFonts w:ascii="Times New Roman" w:cs="Times New Roman" w:eastAsia="Times New Roman" w:hAnsi="Times New Roman"/>
          <w:sz w:val="22"/>
          <w:szCs w:val="22"/>
        </w:rPr>
        <w:t xml:space="preserve">Date: July 2026</w:t>
      </w:r>
    </w:p>
    <w:p>
      <w:r>
        <w:br w:type="page"/>
      </w:r>
    </w:p>
    <w:p>
      <w:pPr>
        <w:spacing w:after="300"/>
      </w:pPr>
      <w:r>
        <w:rPr>
          <w:rFonts w:ascii="Times New Roman" w:cs="Times New Roman" w:eastAsia="Times New Roman" w:hAnsi="Times New Roman"/>
          <w:b/>
          <w:bCs/>
          <w:color w:val="1D4ED8"/>
          <w:sz w:val="32"/>
          <w:szCs w:val="32"/>
        </w:rPr>
        <w:t xml:space="preserve">TABLE OF CONTENTS</w:t>
      </w:r>
    </w:p>
    <w:p>
      <w:pPr>
        <w:spacing w:after="100"/>
      </w:pPr>
      <w:r>
        <w:rPr>
          <w:rFonts w:ascii="Times New Roman" w:cs="Times New Roman" w:eastAsia="Times New Roman" w:hAnsi="Times New Roman"/>
          <w:b/>
          <w:bCs/>
          <w:sz w:val="22"/>
          <w:szCs w:val="22"/>
        </w:rPr>
        <w:t xml:space="preserve">1. Introduction</w:t>
      </w:r>
    </w:p>
    <w:p>
      <w:pPr>
        <w:spacing w:after="100"/>
      </w:pPr>
      <w:r>
        <w:rPr>
          <w:rFonts w:ascii="Times New Roman" w:cs="Times New Roman" w:eastAsia="Times New Roman" w:hAnsi="Times New Roman"/>
          <w:b w:val="false"/>
          <w:bCs w:val="false"/>
          <w:sz w:val="22"/>
          <w:szCs w:val="22"/>
        </w:rPr>
        <w:t xml:space="preserve">     1.1 Project Overview</w:t>
      </w:r>
    </w:p>
    <w:p>
      <w:pPr>
        <w:spacing w:after="100"/>
      </w:pPr>
      <w:r>
        <w:rPr>
          <w:rFonts w:ascii="Times New Roman" w:cs="Times New Roman" w:eastAsia="Times New Roman" w:hAnsi="Times New Roman"/>
          <w:b w:val="false"/>
          <w:bCs w:val="false"/>
          <w:sz w:val="22"/>
          <w:szCs w:val="22"/>
        </w:rPr>
        <w:t xml:space="preserve">     1.2 Purpose</w:t>
      </w:r>
    </w:p>
    <w:p>
      <w:pPr>
        <w:spacing w:after="100"/>
      </w:pPr>
      <w:r>
        <w:rPr>
          <w:rFonts w:ascii="Times New Roman" w:cs="Times New Roman" w:eastAsia="Times New Roman" w:hAnsi="Times New Roman"/>
          <w:b/>
          <w:bCs/>
          <w:sz w:val="22"/>
          <w:szCs w:val="22"/>
        </w:rPr>
        <w:t xml:space="preserve">2. Ideation Phase</w:t>
      </w:r>
    </w:p>
    <w:p>
      <w:pPr>
        <w:spacing w:after="100"/>
      </w:pPr>
      <w:r>
        <w:rPr>
          <w:rFonts w:ascii="Times New Roman" w:cs="Times New Roman" w:eastAsia="Times New Roman" w:hAnsi="Times New Roman"/>
          <w:b w:val="false"/>
          <w:bCs w:val="false"/>
          <w:sz w:val="22"/>
          <w:szCs w:val="22"/>
        </w:rPr>
        <w:t xml:space="preserve">     2.1 Problem Statement</w:t>
      </w:r>
    </w:p>
    <w:p>
      <w:pPr>
        <w:spacing w:after="100"/>
      </w:pPr>
      <w:r>
        <w:rPr>
          <w:rFonts w:ascii="Times New Roman" w:cs="Times New Roman" w:eastAsia="Times New Roman" w:hAnsi="Times New Roman"/>
          <w:b w:val="false"/>
          <w:bCs w:val="false"/>
          <w:sz w:val="22"/>
          <w:szCs w:val="22"/>
        </w:rPr>
        <w:t xml:space="preserve">     2.2 Empathy Map Canvas</w:t>
      </w:r>
    </w:p>
    <w:p>
      <w:pPr>
        <w:spacing w:after="100"/>
      </w:pPr>
      <w:r>
        <w:rPr>
          <w:rFonts w:ascii="Times New Roman" w:cs="Times New Roman" w:eastAsia="Times New Roman" w:hAnsi="Times New Roman"/>
          <w:b w:val="false"/>
          <w:bCs w:val="false"/>
          <w:sz w:val="22"/>
          <w:szCs w:val="22"/>
        </w:rPr>
        <w:t xml:space="preserve">     2.3 Brainstorming</w:t>
      </w:r>
    </w:p>
    <w:p>
      <w:pPr>
        <w:spacing w:after="100"/>
      </w:pPr>
      <w:r>
        <w:rPr>
          <w:rFonts w:ascii="Times New Roman" w:cs="Times New Roman" w:eastAsia="Times New Roman" w:hAnsi="Times New Roman"/>
          <w:b/>
          <w:bCs/>
          <w:sz w:val="22"/>
          <w:szCs w:val="22"/>
        </w:rPr>
        <w:t xml:space="preserve">3. Requirement Analysis</w:t>
      </w:r>
    </w:p>
    <w:p>
      <w:pPr>
        <w:spacing w:after="100"/>
      </w:pPr>
      <w:r>
        <w:rPr>
          <w:rFonts w:ascii="Times New Roman" w:cs="Times New Roman" w:eastAsia="Times New Roman" w:hAnsi="Times New Roman"/>
          <w:b w:val="false"/>
          <w:bCs w:val="false"/>
          <w:sz w:val="22"/>
          <w:szCs w:val="22"/>
        </w:rPr>
        <w:t xml:space="preserve">     3.1 Customer Journey Map</w:t>
      </w:r>
    </w:p>
    <w:p>
      <w:pPr>
        <w:spacing w:after="100"/>
      </w:pPr>
      <w:r>
        <w:rPr>
          <w:rFonts w:ascii="Times New Roman" w:cs="Times New Roman" w:eastAsia="Times New Roman" w:hAnsi="Times New Roman"/>
          <w:b w:val="false"/>
          <w:bCs w:val="false"/>
          <w:sz w:val="22"/>
          <w:szCs w:val="22"/>
        </w:rPr>
        <w:t xml:space="preserve">     3.2 Solution Requirement</w:t>
      </w:r>
    </w:p>
    <w:p>
      <w:pPr>
        <w:spacing w:after="100"/>
      </w:pPr>
      <w:r>
        <w:rPr>
          <w:rFonts w:ascii="Times New Roman" w:cs="Times New Roman" w:eastAsia="Times New Roman" w:hAnsi="Times New Roman"/>
          <w:b w:val="false"/>
          <w:bCs w:val="false"/>
          <w:sz w:val="22"/>
          <w:szCs w:val="22"/>
        </w:rPr>
        <w:t xml:space="preserve">     3.3 Data Flow Diagram</w:t>
      </w:r>
    </w:p>
    <w:p>
      <w:pPr>
        <w:spacing w:after="100"/>
      </w:pPr>
      <w:r>
        <w:rPr>
          <w:rFonts w:ascii="Times New Roman" w:cs="Times New Roman" w:eastAsia="Times New Roman" w:hAnsi="Times New Roman"/>
          <w:b w:val="false"/>
          <w:bCs w:val="false"/>
          <w:sz w:val="22"/>
          <w:szCs w:val="22"/>
        </w:rPr>
        <w:t xml:space="preserve">     3.4 Technology Stack</w:t>
      </w:r>
    </w:p>
    <w:p>
      <w:pPr>
        <w:spacing w:after="100"/>
      </w:pPr>
      <w:r>
        <w:rPr>
          <w:rFonts w:ascii="Times New Roman" w:cs="Times New Roman" w:eastAsia="Times New Roman" w:hAnsi="Times New Roman"/>
          <w:b/>
          <w:bCs/>
          <w:sz w:val="22"/>
          <w:szCs w:val="22"/>
        </w:rPr>
        <w:t xml:space="preserve">4. Project Design</w:t>
      </w:r>
    </w:p>
    <w:p>
      <w:pPr>
        <w:spacing w:after="100"/>
      </w:pPr>
      <w:r>
        <w:rPr>
          <w:rFonts w:ascii="Times New Roman" w:cs="Times New Roman" w:eastAsia="Times New Roman" w:hAnsi="Times New Roman"/>
          <w:b w:val="false"/>
          <w:bCs w:val="false"/>
          <w:sz w:val="22"/>
          <w:szCs w:val="22"/>
        </w:rPr>
        <w:t xml:space="preserve">     4.1 Problem – Solution Fit</w:t>
      </w:r>
    </w:p>
    <w:p>
      <w:pPr>
        <w:spacing w:after="100"/>
      </w:pPr>
      <w:r>
        <w:rPr>
          <w:rFonts w:ascii="Times New Roman" w:cs="Times New Roman" w:eastAsia="Times New Roman" w:hAnsi="Times New Roman"/>
          <w:b w:val="false"/>
          <w:bCs w:val="false"/>
          <w:sz w:val="22"/>
          <w:szCs w:val="22"/>
        </w:rPr>
        <w:t xml:space="preserve">     4.2 Proposed Solution</w:t>
      </w:r>
    </w:p>
    <w:p>
      <w:pPr>
        <w:spacing w:after="100"/>
      </w:pPr>
      <w:r>
        <w:rPr>
          <w:rFonts w:ascii="Times New Roman" w:cs="Times New Roman" w:eastAsia="Times New Roman" w:hAnsi="Times New Roman"/>
          <w:b w:val="false"/>
          <w:bCs w:val="false"/>
          <w:sz w:val="22"/>
          <w:szCs w:val="22"/>
        </w:rPr>
        <w:t xml:space="preserve">     4.3 Solution Architecture</w:t>
      </w:r>
    </w:p>
    <w:p>
      <w:pPr>
        <w:spacing w:after="100"/>
      </w:pPr>
      <w:r>
        <w:rPr>
          <w:rFonts w:ascii="Times New Roman" w:cs="Times New Roman" w:eastAsia="Times New Roman" w:hAnsi="Times New Roman"/>
          <w:b/>
          <w:bCs/>
          <w:sz w:val="22"/>
          <w:szCs w:val="22"/>
        </w:rPr>
        <w:t xml:space="preserve">5. Project Planning &amp; Scheduling</w:t>
      </w:r>
    </w:p>
    <w:p>
      <w:pPr>
        <w:spacing w:after="100"/>
      </w:pPr>
      <w:r>
        <w:rPr>
          <w:rFonts w:ascii="Times New Roman" w:cs="Times New Roman" w:eastAsia="Times New Roman" w:hAnsi="Times New Roman"/>
          <w:b w:val="false"/>
          <w:bCs w:val="false"/>
          <w:sz w:val="22"/>
          <w:szCs w:val="22"/>
        </w:rPr>
        <w:t xml:space="preserve">     5.1 Project Planning</w:t>
      </w:r>
    </w:p>
    <w:p>
      <w:pPr>
        <w:spacing w:after="100"/>
      </w:pPr>
      <w:r>
        <w:rPr>
          <w:rFonts w:ascii="Times New Roman" w:cs="Times New Roman" w:eastAsia="Times New Roman" w:hAnsi="Times New Roman"/>
          <w:b/>
          <w:bCs/>
          <w:sz w:val="22"/>
          <w:szCs w:val="22"/>
        </w:rPr>
        <w:t xml:space="preserve">6. Functional and Performance Testing</w:t>
      </w:r>
    </w:p>
    <w:p>
      <w:pPr>
        <w:spacing w:after="100"/>
      </w:pPr>
      <w:r>
        <w:rPr>
          <w:rFonts w:ascii="Times New Roman" w:cs="Times New Roman" w:eastAsia="Times New Roman" w:hAnsi="Times New Roman"/>
          <w:b w:val="false"/>
          <w:bCs w:val="false"/>
          <w:sz w:val="22"/>
          <w:szCs w:val="22"/>
        </w:rPr>
        <w:t xml:space="preserve">     6.1 Performance Testing</w:t>
      </w:r>
    </w:p>
    <w:p>
      <w:pPr>
        <w:spacing w:after="100"/>
      </w:pPr>
      <w:r>
        <w:rPr>
          <w:rFonts w:ascii="Times New Roman" w:cs="Times New Roman" w:eastAsia="Times New Roman" w:hAnsi="Times New Roman"/>
          <w:b/>
          <w:bCs/>
          <w:sz w:val="22"/>
          <w:szCs w:val="22"/>
        </w:rPr>
        <w:t xml:space="preserve">7. Results</w:t>
      </w:r>
    </w:p>
    <w:p>
      <w:pPr>
        <w:spacing w:after="100"/>
      </w:pPr>
      <w:r>
        <w:rPr>
          <w:rFonts w:ascii="Times New Roman" w:cs="Times New Roman" w:eastAsia="Times New Roman" w:hAnsi="Times New Roman"/>
          <w:b w:val="false"/>
          <w:bCs w:val="false"/>
          <w:sz w:val="22"/>
          <w:szCs w:val="22"/>
        </w:rPr>
        <w:t xml:space="preserve">     7.1 Output Screenshots</w:t>
      </w:r>
    </w:p>
    <w:p>
      <w:pPr>
        <w:spacing w:after="100"/>
      </w:pPr>
      <w:r>
        <w:rPr>
          <w:rFonts w:ascii="Times New Roman" w:cs="Times New Roman" w:eastAsia="Times New Roman" w:hAnsi="Times New Roman"/>
          <w:b/>
          <w:bCs/>
          <w:sz w:val="22"/>
          <w:szCs w:val="22"/>
        </w:rPr>
        <w:t xml:space="preserve">8. Advantages &amp; Disadvantages</w:t>
      </w:r>
    </w:p>
    <w:p>
      <w:pPr>
        <w:spacing w:after="100"/>
      </w:pPr>
      <w:r>
        <w:rPr>
          <w:rFonts w:ascii="Times New Roman" w:cs="Times New Roman" w:eastAsia="Times New Roman" w:hAnsi="Times New Roman"/>
          <w:b/>
          <w:bCs/>
          <w:sz w:val="22"/>
          <w:szCs w:val="22"/>
        </w:rPr>
        <w:t xml:space="preserve">9. Conclusion</w:t>
      </w:r>
    </w:p>
    <w:p>
      <w:pPr>
        <w:spacing w:after="100"/>
      </w:pPr>
      <w:r>
        <w:rPr>
          <w:rFonts w:ascii="Times New Roman" w:cs="Times New Roman" w:eastAsia="Times New Roman" w:hAnsi="Times New Roman"/>
          <w:b/>
          <w:bCs/>
          <w:sz w:val="22"/>
          <w:szCs w:val="22"/>
        </w:rPr>
        <w:t xml:space="preserve">10. Future Scope</w:t>
      </w:r>
    </w:p>
    <w:p>
      <w:pPr>
        <w:spacing w:after="100"/>
      </w:pPr>
      <w:r>
        <w:rPr>
          <w:rFonts w:ascii="Times New Roman" w:cs="Times New Roman" w:eastAsia="Times New Roman" w:hAnsi="Times New Roman"/>
          <w:b/>
          <w:bCs/>
          <w:sz w:val="22"/>
          <w:szCs w:val="22"/>
        </w:rPr>
        <w:t xml:space="preserve">11. Appendix</w:t>
      </w:r>
    </w:p>
    <w:p>
      <w:r>
        <w:br w:type="page"/>
      </w:r>
    </w:p>
    <w:p>
      <w:pPr>
        <w:pStyle w:val="Heading1"/>
        <w:spacing w:after="200" w:before="400"/>
      </w:pPr>
      <w:r>
        <w:rPr>
          <w:rFonts w:ascii="Times New Roman" w:cs="Times New Roman" w:eastAsia="Times New Roman" w:hAnsi="Times New Roman"/>
          <w:b/>
          <w:bCs/>
          <w:color w:val="1D4ED8"/>
          <w:sz w:val="32"/>
          <w:szCs w:val="32"/>
        </w:rPr>
        <w:t xml:space="preserve">1. INTRODUCTION</w:t>
      </w:r>
    </w:p>
    <w:p>
      <w:pPr>
        <w:pStyle w:val="Heading2"/>
        <w:spacing w:after="160" w:before="300"/>
      </w:pPr>
      <w:r>
        <w:rPr>
          <w:rFonts w:ascii="Times New Roman" w:cs="Times New Roman" w:eastAsia="Times New Roman" w:hAnsi="Times New Roman"/>
          <w:b/>
          <w:bCs/>
          <w:color w:val="1F2937"/>
          <w:sz w:val="26"/>
          <w:szCs w:val="26"/>
        </w:rPr>
        <w:t xml:space="preserve">1.1 Project Overview</w:t>
      </w:r>
    </w:p>
    <w:p>
      <w:pPr>
        <w:spacing w:after="200" w:line="300"/>
        <w:jc w:val="both"/>
      </w:pPr>
      <w:r>
        <w:rPr>
          <w:rFonts w:ascii="Times New Roman" w:cs="Times New Roman" w:eastAsia="Times New Roman" w:hAnsi="Times New Roman"/>
          <w:b w:val="false"/>
          <w:bCs w:val="false"/>
          <w:i w:val="false"/>
          <w:iCs w:val="false"/>
          <w:sz w:val="22"/>
          <w:szCs w:val="22"/>
        </w:rPr>
        <w:t xml:space="preserve">The Global Human Development Index (HDI) Intelligence Engine is a hybrid deep learning system designed to predict a country's Human Development Index score and classify it into a development tier — Low, Medium, High, or Very High — using key socio-economic indicators such as life expectancy, expected years of schooling, and gross national income (GNI) per capita. The project was developed and iteratively refined inside a Kaggle notebook environment leveraging GPU-accelerated data processing (cuDF/RAPIDS) for preprocessing and PyTorch for model training.</w:t>
      </w:r>
    </w:p>
    <w:p>
      <w:pPr>
        <w:spacing w:after="200" w:line="300"/>
        <w:jc w:val="both"/>
      </w:pPr>
      <w:r>
        <w:rPr>
          <w:rFonts w:ascii="Times New Roman" w:cs="Times New Roman" w:eastAsia="Times New Roman" w:hAnsi="Times New Roman"/>
          <w:b w:val="false"/>
          <w:bCs w:val="false"/>
          <w:i w:val="false"/>
          <w:iCs w:val="false"/>
          <w:sz w:val="22"/>
          <w:szCs w:val="22"/>
        </w:rPr>
        <w:t xml:space="preserve">The system combines a dual-branch neural network architecture with a lightweight Flask-based web application, allowing end users to interactively enter development indicators and instantly receive a predicted HDI score and tier classification through a browser-accessible dashboard, publicly exposed using LocalTunnel during the notebook session.</w:t>
      </w:r>
    </w:p>
    <w:p>
      <w:pPr>
        <w:pStyle w:val="Heading2"/>
        <w:spacing w:after="160" w:before="300"/>
      </w:pPr>
      <w:r>
        <w:rPr>
          <w:rFonts w:ascii="Times New Roman" w:cs="Times New Roman" w:eastAsia="Times New Roman" w:hAnsi="Times New Roman"/>
          <w:b/>
          <w:bCs/>
          <w:color w:val="1F2937"/>
          <w:sz w:val="26"/>
          <w:szCs w:val="26"/>
        </w:rPr>
        <w:t xml:space="preserve">1.2 Purpose</w:t>
      </w:r>
    </w:p>
    <w:p>
      <w:pPr>
        <w:spacing w:after="200" w:line="300"/>
        <w:jc w:val="both"/>
      </w:pPr>
      <w:r>
        <w:rPr>
          <w:rFonts w:ascii="Times New Roman" w:cs="Times New Roman" w:eastAsia="Times New Roman" w:hAnsi="Times New Roman"/>
          <w:b w:val="false"/>
          <w:bCs w:val="false"/>
          <w:i w:val="false"/>
          <w:iCs w:val="false"/>
          <w:sz w:val="22"/>
          <w:szCs w:val="22"/>
        </w:rPr>
        <w:t xml:space="preserve">The purpose of this project is to demonstrate an end-to-end applied machine learning pipeline — from raw dataset ingestion and GPU-accelerated cleaning, through hybrid neural network design and training, to deployment as an interactive web tool — that can assist researchers, policy analysts, and students in understanding and estimating a nation's human development standing from a small set of measurable indicators. It also serves as a practical demonstration of combining regression and classification objectives within a single predictive model.</w:t>
      </w:r>
    </w:p>
    <w:p>
      <w:pPr>
        <w:pStyle w:val="Heading1"/>
        <w:spacing w:after="200" w:before="400"/>
      </w:pPr>
      <w:r>
        <w:rPr>
          <w:rFonts w:ascii="Times New Roman" w:cs="Times New Roman" w:eastAsia="Times New Roman" w:hAnsi="Times New Roman"/>
          <w:b/>
          <w:bCs/>
          <w:color w:val="1D4ED8"/>
          <w:sz w:val="32"/>
          <w:szCs w:val="32"/>
        </w:rPr>
        <w:t xml:space="preserve">2. IDEATION PHASE</w:t>
      </w:r>
    </w:p>
    <w:p>
      <w:pPr>
        <w:pStyle w:val="Heading2"/>
        <w:spacing w:after="160" w:before="300"/>
      </w:pPr>
      <w:r>
        <w:rPr>
          <w:rFonts w:ascii="Times New Roman" w:cs="Times New Roman" w:eastAsia="Times New Roman" w:hAnsi="Times New Roman"/>
          <w:b/>
          <w:bCs/>
          <w:color w:val="1F2937"/>
          <w:sz w:val="26"/>
          <w:szCs w:val="26"/>
        </w:rPr>
        <w:t xml:space="preserve">2.1 Problem Statement</w:t>
      </w:r>
    </w:p>
    <w:p>
      <w:pPr>
        <w:spacing w:after="200" w:line="300"/>
        <w:jc w:val="both"/>
      </w:pPr>
      <w:r>
        <w:rPr>
          <w:rFonts w:ascii="Times New Roman" w:cs="Times New Roman" w:eastAsia="Times New Roman" w:hAnsi="Times New Roman"/>
          <w:b w:val="false"/>
          <w:bCs w:val="false"/>
          <w:i w:val="false"/>
          <w:iCs w:val="false"/>
          <w:sz w:val="22"/>
          <w:szCs w:val="22"/>
        </w:rPr>
        <w:t xml:space="preserve">Human Development Index computation officially requires combining normalized indices of health, education, and income dimensions through a fixed geometric-mean formula published annually by the UNDP. This makes it difficult for a non-specialist — a student, journalist, or regional planner — to quickly estimate or explore “what-if” scenarios (e.g., “what would our HDI look like if schooling improved by two years?”) without manually performing the UNDP calculation across multiple normalized sub-indices. There is a need for a fast, approximate, and interactive tool that can learn the underlying relationship between core indicators and the final HDI score/tier directly from historical data.</w:t>
      </w:r>
    </w:p>
    <w:p>
      <w:pPr>
        <w:pStyle w:val="Heading2"/>
        <w:spacing w:after="160" w:before="300"/>
      </w:pPr>
      <w:r>
        <w:rPr>
          <w:rFonts w:ascii="Times New Roman" w:cs="Times New Roman" w:eastAsia="Times New Roman" w:hAnsi="Times New Roman"/>
          <w:b/>
          <w:bCs/>
          <w:color w:val="1F2937"/>
          <w:sz w:val="26"/>
          <w:szCs w:val="26"/>
        </w:rPr>
        <w:t xml:space="preserve">2.2 Empathy Map Canvas</w:t>
      </w:r>
    </w:p>
    <w:p>
      <w:pPr>
        <w:spacing w:after="160" w:line="300"/>
        <w:jc w:val="both"/>
      </w:pPr>
      <w:r>
        <w:rPr>
          <w:rFonts w:ascii="Times New Roman" w:cs="Times New Roman" w:eastAsia="Times New Roman" w:hAnsi="Times New Roman"/>
          <w:b w:val="false"/>
          <w:bCs w:val="false"/>
          <w:i w:val="false"/>
          <w:iCs w:val="false"/>
          <w:sz w:val="22"/>
          <w:szCs w:val="22"/>
        </w:rPr>
        <w:t xml:space="preserve">The empathy map below captures the perspective of the primary user persona: a policy researcher / development-studies student exploring HDI trends.</w:t>
      </w:r>
    </w:p>
    <w:tbl>
      <w:tblPr>
        <w:tblW w:type="dxa" w:w="10000"/>
        <w:tblBorders>
          <w:top w:val="single" w:color="9CA3AF" w:sz="4"/>
          <w:left w:val="single" w:color="9CA3AF" w:sz="4"/>
          <w:bottom w:val="single" w:color="9CA3AF" w:sz="4"/>
          <w:right w:val="single" w:color="9CA3AF" w:sz="4"/>
          <w:insideH w:val="single" w:color="D1D5DB" w:sz="2"/>
          <w:insideV w:val="single" w:color="D1D5DB" w:sz="2"/>
        </w:tblBorders>
      </w:tblPr>
      <w:tblGrid>
        <w:gridCol w:w="2600"/>
        <w:gridCol w:w="7400"/>
      </w:tblGrid>
      <w:tr>
        <w:trPr>
          <w:tblHeader/>
        </w:trPr>
        <w:tc>
          <w:tcPr>
            <w:tcW w:type="dxa" w:w="26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Dimension</w:t>
            </w:r>
          </w:p>
        </w:tc>
        <w:tc>
          <w:tcPr>
            <w:tcW w:type="dxa" w:w="74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Insights</w:t>
            </w:r>
          </w:p>
        </w:tc>
      </w:tr>
      <w:tr>
        <w:tc>
          <w:tcPr>
            <w:tcW w:type="dxa" w:w="2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Says</w:t>
            </w:r>
          </w:p>
        </w:tc>
        <w:tc>
          <w:tcPr>
            <w:tcW w:type="dxa" w:w="7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“I need a quick way to estimate HDI without redoing the UNDP formula manually.”</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Thinks</w:t>
            </w:r>
          </w:p>
        </w:tc>
        <w:tc>
          <w:tcPr>
            <w:tcW w:type="dxa" w:w="7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“Which indicators matter most? Can small policy changes shift a country's tier?”</w:t>
            </w:r>
          </w:p>
        </w:tc>
      </w:tr>
      <w:tr>
        <w:tc>
          <w:tcPr>
            <w:tcW w:type="dxa" w:w="2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Does</w:t>
            </w:r>
          </w:p>
        </w:tc>
        <w:tc>
          <w:tcPr>
            <w:tcW w:type="dxa" w:w="7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Searches datasets, compares countries in spreadsheets, cross-checks UNDP reports.</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Feels</w:t>
            </w:r>
          </w:p>
        </w:tc>
        <w:tc>
          <w:tcPr>
            <w:tcW w:type="dxa" w:w="7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Frustrated by fragmented tools; motivated by clear, visual, instant feedback.</w:t>
            </w:r>
          </w:p>
        </w:tc>
      </w:tr>
      <w:tr>
        <w:tc>
          <w:tcPr>
            <w:tcW w:type="dxa" w:w="2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Pain Points</w:t>
            </w:r>
          </w:p>
        </w:tc>
        <w:tc>
          <w:tcPr>
            <w:tcW w:type="dxa" w:w="7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Manual computation, inconsistent data sources, no interactive “what-if” exploration.</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Gains Expected</w:t>
            </w:r>
          </w:p>
        </w:tc>
        <w:tc>
          <w:tcPr>
            <w:tcW w:type="dxa" w:w="7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Fast predictions, visual tier classification, ability to test hypothetical indicator values.</w:t>
            </w:r>
          </w:p>
        </w:tc>
      </w:tr>
    </w:tbl>
    <w:p>
      <w:pPr>
        <w:pStyle w:val="Heading2"/>
        <w:spacing w:after="160" w:before="300"/>
      </w:pPr>
      <w:r>
        <w:rPr>
          <w:rFonts w:ascii="Times New Roman" w:cs="Times New Roman" w:eastAsia="Times New Roman" w:hAnsi="Times New Roman"/>
          <w:b/>
          <w:bCs/>
          <w:color w:val="1F2937"/>
          <w:sz w:val="26"/>
          <w:szCs w:val="26"/>
        </w:rPr>
        <w:t xml:space="preserve">2.3 Brainstorming</w:t>
      </w:r>
    </w:p>
    <w:p>
      <w:pPr>
        <w:spacing w:after="120" w:line="300"/>
        <w:jc w:val="both"/>
      </w:pPr>
      <w:r>
        <w:rPr>
          <w:rFonts w:ascii="Times New Roman" w:cs="Times New Roman" w:eastAsia="Times New Roman" w:hAnsi="Times New Roman"/>
          <w:b w:val="false"/>
          <w:bCs w:val="false"/>
          <w:i w:val="false"/>
          <w:iCs w:val="false"/>
          <w:sz w:val="22"/>
          <w:szCs w:val="22"/>
        </w:rPr>
        <w:t xml:space="preserve">Candidate ideas generated and evaluated before finalizing the solution approach:</w:t>
      </w:r>
    </w:p>
    <w:p>
      <w:pPr>
        <w:pStyle w:val="ListParagraph"/>
        <w:numPr>
          <w:ilvl w:val="0"/>
          <w:numId w:val="2"/>
        </w:numPr>
        <w:spacing w:after="100" w:line="280"/>
      </w:pPr>
      <w:r>
        <w:rPr>
          <w:rFonts w:ascii="Times New Roman" w:cs="Times New Roman" w:eastAsia="Times New Roman" w:hAnsi="Times New Roman"/>
          <w:sz w:val="22"/>
          <w:szCs w:val="22"/>
        </w:rPr>
        <w:t xml:space="preserve">Train a single-branch regression network on all raw indicators (rejected — treats core and auxiliary indicators with equal weight, diluting signal).</w:t>
      </w:r>
    </w:p>
    <w:p>
      <w:pPr>
        <w:pStyle w:val="ListParagraph"/>
        <w:numPr>
          <w:ilvl w:val="0"/>
          <w:numId w:val="2"/>
        </w:numPr>
        <w:spacing w:after="100" w:line="280"/>
      </w:pPr>
      <w:r>
        <w:rPr>
          <w:rFonts w:ascii="Times New Roman" w:cs="Times New Roman" w:eastAsia="Times New Roman" w:hAnsi="Times New Roman"/>
          <w:sz w:val="22"/>
          <w:szCs w:val="22"/>
        </w:rPr>
        <w:t xml:space="preserve">Use classical regression (Linear/Random Forest) instead of a neural network (considered as baseline; deep hybrid model chosen for extensibility).</w:t>
      </w:r>
    </w:p>
    <w:p>
      <w:pPr>
        <w:pStyle w:val="ListParagraph"/>
        <w:numPr>
          <w:ilvl w:val="0"/>
          <w:numId w:val="2"/>
        </w:numPr>
        <w:spacing w:after="100" w:line="280"/>
      </w:pPr>
      <w:r>
        <w:rPr>
          <w:rFonts w:ascii="Times New Roman" w:cs="Times New Roman" w:eastAsia="Times New Roman" w:hAnsi="Times New Roman"/>
          <w:sz w:val="22"/>
          <w:szCs w:val="22"/>
        </w:rPr>
        <w:t xml:space="preserve">Build a dual-branch hybrid network separating primary UNDP-aligned indicators (life expectancy, schooling, income) from secondary auxiliary indicators — selected as the final approach.</w:t>
      </w:r>
    </w:p>
    <w:p>
      <w:pPr>
        <w:pStyle w:val="ListParagraph"/>
        <w:numPr>
          <w:ilvl w:val="0"/>
          <w:numId w:val="2"/>
        </w:numPr>
        <w:spacing w:after="100" w:line="280"/>
      </w:pPr>
      <w:r>
        <w:rPr>
          <w:rFonts w:ascii="Times New Roman" w:cs="Times New Roman" w:eastAsia="Times New Roman" w:hAnsi="Times New Roman"/>
          <w:sz w:val="22"/>
          <w:szCs w:val="22"/>
        </w:rPr>
        <w:t xml:space="preserve">Expose the trained model only as a static notebook output (rejected — reduces accessibility for non-technical users).</w:t>
      </w:r>
    </w:p>
    <w:p>
      <w:pPr>
        <w:pStyle w:val="ListParagraph"/>
        <w:numPr>
          <w:ilvl w:val="0"/>
          <w:numId w:val="2"/>
        </w:numPr>
        <w:spacing w:after="100" w:line="280"/>
      </w:pPr>
      <w:r>
        <w:rPr>
          <w:rFonts w:ascii="Times New Roman" w:cs="Times New Roman" w:eastAsia="Times New Roman" w:hAnsi="Times New Roman"/>
          <w:sz w:val="22"/>
          <w:szCs w:val="22"/>
        </w:rPr>
        <w:t xml:space="preserve">Deploy a lightweight Flask + HTML dashboard tunneled via LocalTunnel for live, interactive access — selected as the final deployment approach.</w:t>
      </w:r>
    </w:p>
    <w:p>
      <w:pPr>
        <w:pStyle w:val="Heading1"/>
        <w:spacing w:after="200" w:before="400"/>
      </w:pPr>
      <w:r>
        <w:rPr>
          <w:rFonts w:ascii="Times New Roman" w:cs="Times New Roman" w:eastAsia="Times New Roman" w:hAnsi="Times New Roman"/>
          <w:b/>
          <w:bCs/>
          <w:color w:val="1D4ED8"/>
          <w:sz w:val="32"/>
          <w:szCs w:val="32"/>
        </w:rPr>
        <w:t xml:space="preserve">3. REQUIREMENT ANALYSIS</w:t>
      </w:r>
    </w:p>
    <w:p>
      <w:pPr>
        <w:pStyle w:val="Heading2"/>
        <w:spacing w:after="160" w:before="300"/>
      </w:pPr>
      <w:r>
        <w:rPr>
          <w:rFonts w:ascii="Times New Roman" w:cs="Times New Roman" w:eastAsia="Times New Roman" w:hAnsi="Times New Roman"/>
          <w:b/>
          <w:bCs/>
          <w:color w:val="1F2937"/>
          <w:sz w:val="26"/>
          <w:szCs w:val="26"/>
        </w:rPr>
        <w:t xml:space="preserve">3.1 Customer Journey Map</w:t>
      </w:r>
    </w:p>
    <w:tbl>
      <w:tblPr>
        <w:tblW w:type="dxa" w:w="9400"/>
        <w:tblBorders>
          <w:top w:val="single" w:color="9CA3AF" w:sz="4"/>
          <w:left w:val="single" w:color="9CA3AF" w:sz="4"/>
          <w:bottom w:val="single" w:color="9CA3AF" w:sz="4"/>
          <w:right w:val="single" w:color="9CA3AF" w:sz="4"/>
          <w:insideH w:val="single" w:color="D1D5DB" w:sz="2"/>
          <w:insideV w:val="single" w:color="D1D5DB" w:sz="2"/>
        </w:tblBorders>
      </w:tblPr>
      <w:tblGrid>
        <w:gridCol w:w="1800"/>
        <w:gridCol w:w="3700"/>
        <w:gridCol w:w="3900"/>
      </w:tblGrid>
      <w:tr>
        <w:trPr>
          <w:tblHeader/>
        </w:trPr>
        <w:tc>
          <w:tcPr>
            <w:tcW w:type="dxa" w:w="18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Stage</w:t>
            </w:r>
          </w:p>
        </w:tc>
        <w:tc>
          <w:tcPr>
            <w:tcW w:type="dxa" w:w="37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User Action</w:t>
            </w:r>
          </w:p>
        </w:tc>
        <w:tc>
          <w:tcPr>
            <w:tcW w:type="dxa" w:w="39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Experience</w:t>
            </w:r>
          </w:p>
        </w:tc>
      </w:tr>
      <w:tr>
        <w:tc>
          <w:tcPr>
            <w:tcW w:type="dxa" w:w="18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Discovery</w:t>
            </w:r>
          </w:p>
        </w:tc>
        <w:tc>
          <w:tcPr>
            <w:tcW w:type="dxa" w:w="37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User accesses the LocalTunnel-hosted web dashboard link.</w:t>
            </w:r>
          </w:p>
        </w:tc>
        <w:tc>
          <w:tcPr>
            <w:tcW w:type="dxa" w:w="39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Lands on a clean, single-page HDI prediction interface.</w:t>
            </w:r>
          </w:p>
        </w:tc>
      </w:tr>
      <w:tr>
        <w:tc>
          <w:tcPr>
            <w:tcW w:type="dxa" w:w="1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Input</w:t>
            </w:r>
          </w:p>
        </w:tc>
        <w:tc>
          <w:tcPr>
            <w:tcW w:type="dxa" w:w="37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Enters life expectancy, schooling, and income values.</w:t>
            </w:r>
          </w:p>
        </w:tc>
        <w:tc>
          <w:tcPr>
            <w:tcW w:type="dxa" w:w="39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Simple numeric form with validation ranges.</w:t>
            </w:r>
          </w:p>
        </w:tc>
      </w:tr>
      <w:tr>
        <w:tc>
          <w:tcPr>
            <w:tcW w:type="dxa" w:w="18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Prediction</w:t>
            </w:r>
          </w:p>
        </w:tc>
        <w:tc>
          <w:tcPr>
            <w:tcW w:type="dxa" w:w="37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Submits the form to trigger model inference.</w:t>
            </w:r>
          </w:p>
        </w:tc>
        <w:tc>
          <w:tcPr>
            <w:tcW w:type="dxa" w:w="39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Real-time HDI score and tier badge returned within seconds.</w:t>
            </w:r>
          </w:p>
        </w:tc>
      </w:tr>
      <w:tr>
        <w:tc>
          <w:tcPr>
            <w:tcW w:type="dxa" w:w="1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Interpretation</w:t>
            </w:r>
          </w:p>
        </w:tc>
        <w:tc>
          <w:tcPr>
            <w:tcW w:type="dxa" w:w="37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Reviews the predicted tier against benchmark table.</w:t>
            </w:r>
          </w:p>
        </w:tc>
        <w:tc>
          <w:tcPr>
            <w:tcW w:type="dxa" w:w="39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Colour-coded tier badge (red/amber/blue/green) aids quick understanding.</w:t>
            </w:r>
          </w:p>
        </w:tc>
      </w:tr>
      <w:tr>
        <w:tc>
          <w:tcPr>
            <w:tcW w:type="dxa" w:w="18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Iteration</w:t>
            </w:r>
          </w:p>
        </w:tc>
        <w:tc>
          <w:tcPr>
            <w:tcW w:type="dxa" w:w="37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Adjusts indicator values to explore what-if scenarios.</w:t>
            </w:r>
          </w:p>
        </w:tc>
        <w:tc>
          <w:tcPr>
            <w:tcW w:type="dxa" w:w="39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Instant recalculation without page reload delay.</w:t>
            </w:r>
          </w:p>
        </w:tc>
      </w:tr>
    </w:tbl>
    <w:p>
      <w:pPr>
        <w:pStyle w:val="Heading2"/>
        <w:spacing w:after="160" w:before="300"/>
      </w:pPr>
      <w:r>
        <w:rPr>
          <w:rFonts w:ascii="Times New Roman" w:cs="Times New Roman" w:eastAsia="Times New Roman" w:hAnsi="Times New Roman"/>
          <w:b/>
          <w:bCs/>
          <w:color w:val="1F2937"/>
          <w:sz w:val="26"/>
          <w:szCs w:val="26"/>
        </w:rPr>
        <w:t xml:space="preserve">3.2 Solution Requirement</w:t>
      </w:r>
    </w:p>
    <w:p>
      <w:pPr>
        <w:spacing w:after="120" w:line="300"/>
        <w:jc w:val="both"/>
      </w:pPr>
      <w:r>
        <w:rPr>
          <w:rFonts w:ascii="Times New Roman" w:cs="Times New Roman" w:eastAsia="Times New Roman" w:hAnsi="Times New Roman"/>
          <w:b w:val="false"/>
          <w:bCs w:val="false"/>
          <w:i w:val="false"/>
          <w:iCs w:val="false"/>
          <w:sz w:val="22"/>
          <w:szCs w:val="22"/>
        </w:rPr>
        <w:t xml:space="preserve">Functional and non-functional requirements identified for the system:</w:t>
      </w:r>
    </w:p>
    <w:p>
      <w:pPr>
        <w:pStyle w:val="ListParagraph"/>
        <w:numPr>
          <w:ilvl w:val="0"/>
          <w:numId w:val="2"/>
        </w:numPr>
        <w:spacing w:after="100" w:line="280"/>
      </w:pPr>
      <w:r>
        <w:rPr>
          <w:rFonts w:ascii="Times New Roman" w:cs="Times New Roman" w:eastAsia="Times New Roman" w:hAnsi="Times New Roman"/>
          <w:sz w:val="22"/>
          <w:szCs w:val="22"/>
        </w:rPr>
        <w:t xml:space="preserve">Ingest and clean HDI indicator datasets automatically, handling missing values on the GPU.</w:t>
      </w:r>
    </w:p>
    <w:p>
      <w:pPr>
        <w:pStyle w:val="ListParagraph"/>
        <w:numPr>
          <w:ilvl w:val="0"/>
          <w:numId w:val="2"/>
        </w:numPr>
        <w:spacing w:after="100" w:line="280"/>
      </w:pPr>
      <w:r>
        <w:rPr>
          <w:rFonts w:ascii="Times New Roman" w:cs="Times New Roman" w:eastAsia="Times New Roman" w:hAnsi="Times New Roman"/>
          <w:sz w:val="22"/>
          <w:szCs w:val="22"/>
        </w:rPr>
        <w:t xml:space="preserve">Dynamically detect relevant columns (life expectancy, schooling, income, HDI target) regardless of exact naming variations across dataset versions.</w:t>
      </w:r>
    </w:p>
    <w:p>
      <w:pPr>
        <w:pStyle w:val="ListParagraph"/>
        <w:numPr>
          <w:ilvl w:val="0"/>
          <w:numId w:val="2"/>
        </w:numPr>
        <w:spacing w:after="100" w:line="280"/>
      </w:pPr>
      <w:r>
        <w:rPr>
          <w:rFonts w:ascii="Times New Roman" w:cs="Times New Roman" w:eastAsia="Times New Roman" w:hAnsi="Times New Roman"/>
          <w:sz w:val="22"/>
          <w:szCs w:val="22"/>
        </w:rPr>
        <w:t xml:space="preserve">Train a hybrid neural network capable of both regression (HDI score) and derived classification (development tier).</w:t>
      </w:r>
    </w:p>
    <w:p>
      <w:pPr>
        <w:pStyle w:val="ListParagraph"/>
        <w:numPr>
          <w:ilvl w:val="0"/>
          <w:numId w:val="2"/>
        </w:numPr>
        <w:spacing w:after="100" w:line="280"/>
      </w:pPr>
      <w:r>
        <w:rPr>
          <w:rFonts w:ascii="Times New Roman" w:cs="Times New Roman" w:eastAsia="Times New Roman" w:hAnsi="Times New Roman"/>
          <w:sz w:val="22"/>
          <w:szCs w:val="22"/>
        </w:rPr>
        <w:t xml:space="preserve">Persist trained weights and feature-scaling parameters for reproducible inference.</w:t>
      </w:r>
    </w:p>
    <w:p>
      <w:pPr>
        <w:pStyle w:val="ListParagraph"/>
        <w:numPr>
          <w:ilvl w:val="0"/>
          <w:numId w:val="2"/>
        </w:numPr>
        <w:spacing w:after="100" w:line="280"/>
      </w:pPr>
      <w:r>
        <w:rPr>
          <w:rFonts w:ascii="Times New Roman" w:cs="Times New Roman" w:eastAsia="Times New Roman" w:hAnsi="Times New Roman"/>
          <w:sz w:val="22"/>
          <w:szCs w:val="22"/>
        </w:rPr>
        <w:t xml:space="preserve">Expose the trained model through a web-based interface accessible without local installation.</w:t>
      </w:r>
    </w:p>
    <w:p>
      <w:pPr>
        <w:pStyle w:val="ListParagraph"/>
        <w:numPr>
          <w:ilvl w:val="0"/>
          <w:numId w:val="2"/>
        </w:numPr>
        <w:spacing w:after="100" w:line="280"/>
      </w:pPr>
      <w:r>
        <w:rPr>
          <w:rFonts w:ascii="Times New Roman" w:cs="Times New Roman" w:eastAsia="Times New Roman" w:hAnsi="Times New Roman"/>
          <w:sz w:val="22"/>
          <w:szCs w:val="22"/>
        </w:rPr>
        <w:t xml:space="preserve">Achieve low regression error (MAE/RMSE) and acceptable classification accuracy across all four tiers.</w:t>
      </w:r>
    </w:p>
    <w:p>
      <w:pPr>
        <w:pStyle w:val="Heading2"/>
        <w:spacing w:after="160" w:before="300"/>
      </w:pPr>
      <w:r>
        <w:rPr>
          <w:rFonts w:ascii="Times New Roman" w:cs="Times New Roman" w:eastAsia="Times New Roman" w:hAnsi="Times New Roman"/>
          <w:b/>
          <w:bCs/>
          <w:color w:val="1F2937"/>
          <w:sz w:val="26"/>
          <w:szCs w:val="26"/>
        </w:rPr>
        <w:t xml:space="preserve">3.3 Data Flow Diagram</w:t>
      </w:r>
    </w:p>
    <w:p>
      <w:pPr>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4B5563"/>
          <w:sz w:val="20"/>
          <w:szCs w:val="20"/>
        </w:rPr>
        <w:t xml:space="preserve">Figure 3.1: Data Flow Diagram showing the flow from raw dataset to predicted HDI output.</w:t>
      </w:r>
    </w:p>
    <w:p>
      <w:pPr>
        <w:pStyle w:val="Heading2"/>
        <w:spacing w:after="160" w:before="300"/>
      </w:pPr>
      <w:r>
        <w:rPr>
          <w:rFonts w:ascii="Times New Roman" w:cs="Times New Roman" w:eastAsia="Times New Roman" w:hAnsi="Times New Roman"/>
          <w:b/>
          <w:bCs/>
          <w:color w:val="1F2937"/>
          <w:sz w:val="26"/>
          <w:szCs w:val="26"/>
        </w:rPr>
        <w:t xml:space="preserve">3.4 Technology Stack</w:t>
      </w:r>
    </w:p>
    <w:tbl>
      <w:tblPr>
        <w:tblW w:type="dxa" w:w="10000"/>
        <w:tblBorders>
          <w:top w:val="single" w:color="9CA3AF" w:sz="4"/>
          <w:left w:val="single" w:color="9CA3AF" w:sz="4"/>
          <w:bottom w:val="single" w:color="9CA3AF" w:sz="4"/>
          <w:right w:val="single" w:color="9CA3AF" w:sz="4"/>
          <w:insideH w:val="single" w:color="D1D5DB" w:sz="2"/>
          <w:insideV w:val="single" w:color="D1D5DB" w:sz="2"/>
        </w:tblBorders>
      </w:tblPr>
      <w:tblGrid>
        <w:gridCol w:w="2800"/>
        <w:gridCol w:w="7200"/>
      </w:tblGrid>
      <w:tr>
        <w:trPr>
          <w:tblHeader/>
        </w:trPr>
        <w:tc>
          <w:tcPr>
            <w:tcW w:type="dxa" w:w="28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Layer</w:t>
            </w:r>
          </w:p>
        </w:tc>
        <w:tc>
          <w:tcPr>
            <w:tcW w:type="dxa" w:w="72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Technology Used</w:t>
            </w:r>
          </w:p>
        </w:tc>
      </w:tr>
      <w:tr>
        <w:tc>
          <w:tcPr>
            <w:tcW w:type="dxa" w:w="28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Data Processing</w:t>
            </w:r>
          </w:p>
        </w:tc>
        <w:tc>
          <w:tcPr>
            <w:tcW w:type="dxa" w:w="72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cuDF (RAPIDS GPU DataFrame), Pandas, NumPy</w:t>
            </w:r>
          </w:p>
        </w:tc>
      </w:tr>
      <w:tr>
        <w:tc>
          <w:tcPr>
            <w:tcW w:type="dxa" w:w="2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Model Development</w:t>
            </w:r>
          </w:p>
        </w:tc>
        <w:tc>
          <w:tcPr>
            <w:tcW w:type="dxa" w:w="72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PyTorch (torch.nn, AdamW optimizer)</w:t>
            </w:r>
          </w:p>
        </w:tc>
      </w:tr>
      <w:tr>
        <w:tc>
          <w:tcPr>
            <w:tcW w:type="dxa" w:w="28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Evaluation &amp; Metrics</w:t>
            </w:r>
          </w:p>
        </w:tc>
        <w:tc>
          <w:tcPr>
            <w:tcW w:type="dxa" w:w="72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scikit-learn (classification_report, confusion_matrix, roc_curve, auc)</w:t>
            </w:r>
          </w:p>
        </w:tc>
      </w:tr>
      <w:tr>
        <w:tc>
          <w:tcPr>
            <w:tcW w:type="dxa" w:w="2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Visualization</w:t>
            </w:r>
          </w:p>
        </w:tc>
        <w:tc>
          <w:tcPr>
            <w:tcW w:type="dxa" w:w="72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Matplotlib, Seaborn</w:t>
            </w:r>
          </w:p>
        </w:tc>
      </w:tr>
      <w:tr>
        <w:tc>
          <w:tcPr>
            <w:tcW w:type="dxa" w:w="28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Backend / API</w:t>
            </w:r>
          </w:p>
        </w:tc>
        <w:tc>
          <w:tcPr>
            <w:tcW w:type="dxa" w:w="72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Flask (Python web framework)</w:t>
            </w:r>
          </w:p>
        </w:tc>
      </w:tr>
      <w:tr>
        <w:tc>
          <w:tcPr>
            <w:tcW w:type="dxa" w:w="2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Frontend</w:t>
            </w:r>
          </w:p>
        </w:tc>
        <w:tc>
          <w:tcPr>
            <w:tcW w:type="dxa" w:w="72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HTML5, CSS3 (Jinja2 templating), Google Fonts (Inter)</w:t>
            </w:r>
          </w:p>
        </w:tc>
      </w:tr>
      <w:tr>
        <w:tc>
          <w:tcPr>
            <w:tcW w:type="dxa" w:w="28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Deployment / Tunnelling</w:t>
            </w:r>
          </w:p>
        </w:tc>
        <w:tc>
          <w:tcPr>
            <w:tcW w:type="dxa" w:w="72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LocalTunnel (via npx), Kaggle Notebook GPU runtime (Tesla T4)</w:t>
            </w:r>
          </w:p>
        </w:tc>
      </w:tr>
      <w:tr>
        <w:tc>
          <w:tcPr>
            <w:tcW w:type="dxa" w:w="2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Packaging</w:t>
            </w:r>
          </w:p>
        </w:tc>
        <w:tc>
          <w:tcPr>
            <w:tcW w:type="dxa" w:w="72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Python zipfile module for artifact bundling</w:t>
            </w:r>
          </w:p>
        </w:tc>
      </w:tr>
    </w:tbl>
    <w:p>
      <w:pPr>
        <w:pStyle w:val="Heading1"/>
        <w:spacing w:after="200" w:before="400"/>
      </w:pPr>
      <w:r>
        <w:rPr>
          <w:rFonts w:ascii="Times New Roman" w:cs="Times New Roman" w:eastAsia="Times New Roman" w:hAnsi="Times New Roman"/>
          <w:b/>
          <w:bCs/>
          <w:color w:val="1D4ED8"/>
          <w:sz w:val="32"/>
          <w:szCs w:val="32"/>
        </w:rPr>
        <w:t xml:space="preserve">4. PROJECT DESIGN</w:t>
      </w:r>
    </w:p>
    <w:p>
      <w:pPr>
        <w:pStyle w:val="Heading2"/>
        <w:spacing w:after="160" w:before="300"/>
      </w:pPr>
      <w:r>
        <w:rPr>
          <w:rFonts w:ascii="Times New Roman" w:cs="Times New Roman" w:eastAsia="Times New Roman" w:hAnsi="Times New Roman"/>
          <w:b/>
          <w:bCs/>
          <w:color w:val="1F2937"/>
          <w:sz w:val="26"/>
          <w:szCs w:val="26"/>
        </w:rPr>
        <w:t xml:space="preserve">4.1 Problem – Solution Fit</w:t>
      </w:r>
    </w:p>
    <w:p>
      <w:pPr>
        <w:spacing w:after="200" w:line="300"/>
        <w:jc w:val="both"/>
      </w:pPr>
      <w:r>
        <w:rPr>
          <w:rFonts w:ascii="Times New Roman" w:cs="Times New Roman" w:eastAsia="Times New Roman" w:hAnsi="Times New Roman"/>
          <w:b w:val="false"/>
          <w:bCs w:val="false"/>
          <w:i w:val="false"/>
          <w:iCs w:val="false"/>
          <w:sz w:val="22"/>
          <w:szCs w:val="22"/>
        </w:rPr>
        <w:t xml:space="preserve">The problem of inaccessible, manually-computed HDI estimation is addressed by a solution that fits the target users' workflow closely: a trained model reproduces the relationship between core UNDP indicators and the final HDI score/tier with a Mean Absolute Error of 0.026 and 83% tier classification accuracy on held-out test data, while the web dashboard removes the need for any manual calculation or spreadsheet work, delivering results in real time through a browser.</w:t>
      </w:r>
    </w:p>
    <w:p>
      <w:pPr>
        <w:pStyle w:val="Heading2"/>
        <w:spacing w:after="160" w:before="300"/>
      </w:pPr>
      <w:r>
        <w:rPr>
          <w:rFonts w:ascii="Times New Roman" w:cs="Times New Roman" w:eastAsia="Times New Roman" w:hAnsi="Times New Roman"/>
          <w:b/>
          <w:bCs/>
          <w:color w:val="1F2937"/>
          <w:sz w:val="26"/>
          <w:szCs w:val="26"/>
        </w:rPr>
        <w:t xml:space="preserve">4.2 Proposed Solution</w:t>
      </w:r>
    </w:p>
    <w:tbl>
      <w:tblPr>
        <w:tblW w:type="dxa" w:w="10000"/>
        <w:tblBorders>
          <w:top w:val="single" w:color="9CA3AF" w:sz="4"/>
          <w:left w:val="single" w:color="9CA3AF" w:sz="4"/>
          <w:bottom w:val="single" w:color="9CA3AF" w:sz="4"/>
          <w:right w:val="single" w:color="9CA3AF" w:sz="4"/>
          <w:insideH w:val="single" w:color="D1D5DB" w:sz="2"/>
          <w:insideV w:val="single" w:color="D1D5DB" w:sz="2"/>
        </w:tblBorders>
      </w:tblPr>
      <w:tblGrid>
        <w:gridCol w:w="2400"/>
        <w:gridCol w:w="7600"/>
      </w:tblGrid>
      <w:tr>
        <w:trPr>
          <w:tblHeader/>
        </w:trPr>
        <w:tc>
          <w:tcPr>
            <w:tcW w:type="dxa" w:w="24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Parameter</w:t>
            </w:r>
          </w:p>
        </w:tc>
        <w:tc>
          <w:tcPr>
            <w:tcW w:type="dxa" w:w="76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Problem</w:t>
            </w:r>
          </w:p>
        </w:tc>
        <w:tc>
          <w:tcPr>
            <w:tcW w:type="dxa" w:w="7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Manual, formula-heavy HDI estimation with no interactive exploration tool.</w:t>
            </w:r>
          </w:p>
        </w:tc>
      </w:tr>
      <w:tr>
        <w:tc>
          <w:tcPr>
            <w:tcW w:type="dxa" w:w="2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Solution</w:t>
            </w:r>
          </w:p>
        </w:tc>
        <w:tc>
          <w:tcPr>
            <w:tcW w:type="dxa" w:w="7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Hybrid neural network trained on historical HDI data, served via a Flask web dashboard.</w:t>
            </w:r>
          </w:p>
        </w:tc>
      </w:tr>
      <w:tr>
        <w:tc>
          <w:tcPr>
            <w:tcW w:type="dxa" w:w="2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Novelty</w:t>
            </w:r>
          </w:p>
        </w:tc>
        <w:tc>
          <w:tcPr>
            <w:tcW w:type="dxa" w:w="7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Dual-branch architecture separating core UNDP indicators from auxiliary features; combined regression + tier classification.</w:t>
            </w:r>
          </w:p>
        </w:tc>
      </w:tr>
      <w:tr>
        <w:tc>
          <w:tcPr>
            <w:tcW w:type="dxa" w:w="2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Social Impact</w:t>
            </w:r>
          </w:p>
        </w:tc>
        <w:tc>
          <w:tcPr>
            <w:tcW w:type="dxa" w:w="7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Improves accessibility of development-indicator analysis for students, researchers, and policy communicators.</w:t>
            </w:r>
          </w:p>
        </w:tc>
      </w:tr>
      <w:tr>
        <w:tc>
          <w:tcPr>
            <w:tcW w:type="dxa" w:w="2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Scalability</w:t>
            </w:r>
          </w:p>
        </w:tc>
        <w:tc>
          <w:tcPr>
            <w:tcW w:type="dxa" w:w="7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Model and scaling parameters are serialized (.pt) and can be redeployed on any Flask-compatible host.</w:t>
            </w:r>
          </w:p>
        </w:tc>
      </w:tr>
    </w:tbl>
    <w:p>
      <w:pPr>
        <w:pStyle w:val="Heading2"/>
        <w:spacing w:after="160" w:before="300"/>
      </w:pPr>
      <w:r>
        <w:rPr>
          <w:rFonts w:ascii="Times New Roman" w:cs="Times New Roman" w:eastAsia="Times New Roman" w:hAnsi="Times New Roman"/>
          <w:b/>
          <w:bCs/>
          <w:color w:val="1F2937"/>
          <w:sz w:val="26"/>
          <w:szCs w:val="26"/>
        </w:rPr>
        <w:t xml:space="preserve">4.3 Solution Architecture</w:t>
      </w:r>
    </w:p>
    <w:p>
      <w:pPr>
        <w:spacing w:after="6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4B5563"/>
          <w:sz w:val="20"/>
          <w:szCs w:val="20"/>
        </w:rPr>
        <w:t xml:space="preserve">Figure 4.1: End-to-end solution architecture from dataset to deployed web dashboard.</w:t>
      </w:r>
    </w:p>
    <w:p>
      <w:pPr>
        <w:pStyle w:val="Heading1"/>
        <w:spacing w:after="200" w:before="400"/>
      </w:pPr>
      <w:r>
        <w:rPr>
          <w:rFonts w:ascii="Times New Roman" w:cs="Times New Roman" w:eastAsia="Times New Roman" w:hAnsi="Times New Roman"/>
          <w:b/>
          <w:bCs/>
          <w:color w:val="1D4ED8"/>
          <w:sz w:val="32"/>
          <w:szCs w:val="32"/>
        </w:rPr>
        <w:t xml:space="preserve">5. PROJECT PLANNING &amp; SCHEDULING</w:t>
      </w:r>
    </w:p>
    <w:p>
      <w:pPr>
        <w:pStyle w:val="Heading2"/>
        <w:spacing w:after="160" w:before="300"/>
      </w:pPr>
      <w:r>
        <w:rPr>
          <w:rFonts w:ascii="Times New Roman" w:cs="Times New Roman" w:eastAsia="Times New Roman" w:hAnsi="Times New Roman"/>
          <w:b/>
          <w:bCs/>
          <w:color w:val="1F2937"/>
          <w:sz w:val="26"/>
          <w:szCs w:val="26"/>
        </w:rPr>
        <w:t xml:space="preserve">5.1 Project Planning</w:t>
      </w:r>
    </w:p>
    <w:tbl>
      <w:tblPr>
        <w:tblW w:type="dxa" w:w="9600"/>
        <w:tblBorders>
          <w:top w:val="single" w:color="9CA3AF" w:sz="4"/>
          <w:left w:val="single" w:color="9CA3AF" w:sz="4"/>
          <w:bottom w:val="single" w:color="9CA3AF" w:sz="4"/>
          <w:right w:val="single" w:color="9CA3AF" w:sz="4"/>
          <w:insideH w:val="single" w:color="D1D5DB" w:sz="2"/>
          <w:insideV w:val="single" w:color="D1D5DB" w:sz="2"/>
        </w:tblBorders>
      </w:tblPr>
      <w:tblGrid>
        <w:gridCol w:w="2600"/>
        <w:gridCol w:w="4600"/>
        <w:gridCol w:w="2400"/>
      </w:tblGrid>
      <w:tr>
        <w:trPr>
          <w:tblHeader/>
        </w:trPr>
        <w:tc>
          <w:tcPr>
            <w:tcW w:type="dxa" w:w="26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Phase</w:t>
            </w:r>
          </w:p>
        </w:tc>
        <w:tc>
          <w:tcPr>
            <w:tcW w:type="dxa" w:w="46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Activities</w:t>
            </w:r>
          </w:p>
        </w:tc>
        <w:tc>
          <w:tcPr>
            <w:tcW w:type="dxa" w:w="24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Key Outcome</w:t>
            </w:r>
          </w:p>
        </w:tc>
      </w:tr>
      <w:tr>
        <w:tc>
          <w:tcPr>
            <w:tcW w:type="dxa" w:w="2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Phase 1 – Data Preparation</w:t>
            </w:r>
          </w:p>
        </w:tc>
        <w:tc>
          <w:tcPr>
            <w:tcW w:type="dxa" w:w="4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Dataset ingestion, GPU-based missing value imputation, dynamic column mapping.</w:t>
            </w:r>
          </w:p>
        </w:tc>
        <w:tc>
          <w:tcPr>
            <w:tcW w:type="dxa" w:w="2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Cleaned, analysis-ready dataset.</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Phase 2 – Exploratory Analysis</w:t>
            </w:r>
          </w:p>
        </w:tc>
        <w:tc>
          <w:tcPr>
            <w:tcW w:type="dxa" w:w="4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Scatter plots (Life Expectancy vs HDI, Education vs HDI), correlation heatmap.</w:t>
            </w:r>
          </w:p>
        </w:tc>
        <w:tc>
          <w:tcPr>
            <w:tcW w:type="dxa" w:w="2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Feature relationships identified.</w:t>
            </w:r>
          </w:p>
        </w:tc>
      </w:tr>
      <w:tr>
        <w:tc>
          <w:tcPr>
            <w:tcW w:type="dxa" w:w="2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Phase 3 – Model Design</w:t>
            </w:r>
          </w:p>
        </w:tc>
        <w:tc>
          <w:tcPr>
            <w:tcW w:type="dxa" w:w="4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Dual-branch EnhancedHybridHDINet architecture defined (primary + secondary branches).</w:t>
            </w:r>
          </w:p>
        </w:tc>
        <w:tc>
          <w:tcPr>
            <w:tcW w:type="dxa" w:w="2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Model architecture finalized.</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Phase 4 – Training</w:t>
            </w:r>
          </w:p>
        </w:tc>
        <w:tc>
          <w:tcPr>
            <w:tcW w:type="dxa" w:w="4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120-epoch training with AdamW optimizer, MSE loss, train/val split, per-epoch logging.</w:t>
            </w:r>
          </w:p>
        </w:tc>
        <w:tc>
          <w:tcPr>
            <w:tcW w:type="dxa" w:w="2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Trained model + convergence curves.</w:t>
            </w:r>
          </w:p>
        </w:tc>
      </w:tr>
      <w:tr>
        <w:tc>
          <w:tcPr>
            <w:tcW w:type="dxa" w:w="2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Phase 5 – Evaluation</w:t>
            </w:r>
          </w:p>
        </w:tc>
        <w:tc>
          <w:tcPr>
            <w:tcW w:type="dxa" w:w="4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MAE/RMSE computation, confusion matrix, classification report, ROC-AUC curves.</w:t>
            </w:r>
          </w:p>
        </w:tc>
        <w:tc>
          <w:tcPr>
            <w:tcW w:type="dxa" w:w="24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Verified model performance.</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Phase 6 – Deployment</w:t>
            </w:r>
          </w:p>
        </w:tc>
        <w:tc>
          <w:tcPr>
            <w:tcW w:type="dxa" w:w="4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Flask backend + HTML dashboard built and tunnelled via LocalTunnel.</w:t>
            </w:r>
          </w:p>
        </w:tc>
        <w:tc>
          <w:tcPr>
            <w:tcW w:type="dxa" w:w="2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Publicly accessible live demo.</w:t>
            </w:r>
          </w:p>
        </w:tc>
      </w:tr>
    </w:tbl>
    <w:p>
      <w:pPr>
        <w:pStyle w:val="Heading1"/>
        <w:spacing w:after="200" w:before="400"/>
      </w:pPr>
      <w:r>
        <w:rPr>
          <w:rFonts w:ascii="Times New Roman" w:cs="Times New Roman" w:eastAsia="Times New Roman" w:hAnsi="Times New Roman"/>
          <w:b/>
          <w:bCs/>
          <w:color w:val="1D4ED8"/>
          <w:sz w:val="32"/>
          <w:szCs w:val="32"/>
        </w:rPr>
        <w:t xml:space="preserve">6. FUNCTIONAL AND PERFORMANCE TESTING</w:t>
      </w:r>
    </w:p>
    <w:p>
      <w:pPr>
        <w:pStyle w:val="Heading2"/>
        <w:spacing w:after="160" w:before="300"/>
      </w:pPr>
      <w:r>
        <w:rPr>
          <w:rFonts w:ascii="Times New Roman" w:cs="Times New Roman" w:eastAsia="Times New Roman" w:hAnsi="Times New Roman"/>
          <w:b/>
          <w:bCs/>
          <w:color w:val="1F2937"/>
          <w:sz w:val="26"/>
          <w:szCs w:val="26"/>
        </w:rPr>
        <w:t xml:space="preserve">6.1 Performance Testing</w:t>
      </w:r>
    </w:p>
    <w:p>
      <w:pPr>
        <w:spacing w:after="160" w:line="300"/>
        <w:jc w:val="both"/>
      </w:pPr>
      <w:r>
        <w:rPr>
          <w:rFonts w:ascii="Times New Roman" w:cs="Times New Roman" w:eastAsia="Times New Roman" w:hAnsi="Times New Roman"/>
          <w:b w:val="false"/>
          <w:bCs w:val="false"/>
          <w:i w:val="false"/>
          <w:iCs w:val="false"/>
          <w:sz w:val="22"/>
          <w:szCs w:val="22"/>
        </w:rPr>
        <w:t xml:space="preserve">The trained model was evaluated on a held-out test split of the HDI dataset. Regression and classification metrics obtained are summarized below.</w:t>
      </w:r>
    </w:p>
    <w:tbl>
      <w:tblPr>
        <w:tblW w:type="dxa" w:w="10000"/>
        <w:tblBorders>
          <w:top w:val="single" w:color="9CA3AF" w:sz="4"/>
          <w:left w:val="single" w:color="9CA3AF" w:sz="4"/>
          <w:bottom w:val="single" w:color="9CA3AF" w:sz="4"/>
          <w:right w:val="single" w:color="9CA3AF" w:sz="4"/>
          <w:insideH w:val="single" w:color="D1D5DB" w:sz="2"/>
          <w:insideV w:val="single" w:color="D1D5DB" w:sz="2"/>
        </w:tblBorders>
      </w:tblPr>
      <w:tblGrid>
        <w:gridCol w:w="5500"/>
        <w:gridCol w:w="4500"/>
      </w:tblGrid>
      <w:tr>
        <w:trPr>
          <w:tblHeader/>
        </w:trPr>
        <w:tc>
          <w:tcPr>
            <w:tcW w:type="dxa" w:w="55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5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55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Mean Absolute Error (MAE)</w:t>
            </w:r>
          </w:p>
        </w:tc>
        <w:tc>
          <w:tcPr>
            <w:tcW w:type="dxa" w:w="45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0.02640</w:t>
            </w:r>
          </w:p>
        </w:tc>
      </w:tr>
      <w:tr>
        <w:tc>
          <w:tcPr>
            <w:tcW w:type="dxa" w:w="55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Root Mean Squared Error (RMSE)</w:t>
            </w:r>
          </w:p>
        </w:tc>
        <w:tc>
          <w:tcPr>
            <w:tcW w:type="dxa" w:w="45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0.03113</w:t>
            </w:r>
          </w:p>
        </w:tc>
      </w:tr>
      <w:tr>
        <w:tc>
          <w:tcPr>
            <w:tcW w:type="dxa" w:w="55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Overall Classification Accuracy</w:t>
            </w:r>
          </w:p>
        </w:tc>
        <w:tc>
          <w:tcPr>
            <w:tcW w:type="dxa" w:w="45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83%</w:t>
            </w:r>
          </w:p>
        </w:tc>
      </w:tr>
      <w:tr>
        <w:tc>
          <w:tcPr>
            <w:tcW w:type="dxa" w:w="55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Macro Average F1-score</w:t>
            </w:r>
          </w:p>
        </w:tc>
        <w:tc>
          <w:tcPr>
            <w:tcW w:type="dxa" w:w="45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0.83</w:t>
            </w:r>
          </w:p>
        </w:tc>
      </w:tr>
      <w:tr>
        <w:tc>
          <w:tcPr>
            <w:tcW w:type="dxa" w:w="55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Weighted Average F1-score</w:t>
            </w:r>
          </w:p>
        </w:tc>
        <w:tc>
          <w:tcPr>
            <w:tcW w:type="dxa" w:w="45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0.83</w:t>
            </w:r>
          </w:p>
        </w:tc>
      </w:tr>
    </w:tbl>
    <w:p>
      <w:pPr>
        <w:spacing w:after="160" w:line="300"/>
        <w:jc w:val="both"/>
      </w:pPr>
      <w:r>
        <w:rPr>
          <w:rFonts w:ascii="Times New Roman" w:cs="Times New Roman" w:eastAsia="Times New Roman" w:hAnsi="Times New Roman"/>
          <w:b w:val="false"/>
          <w:bCs w:val="false"/>
          <w:i w:val="false"/>
          <w:iCs w:val="false"/>
          <w:sz w:val="22"/>
          <w:szCs w:val="22"/>
        </w:rPr>
        <w:t xml:space="preserve">Per-class precision, recall, and F1-score on the test set (n = 141):</w:t>
      </w:r>
    </w:p>
    <w:tbl>
      <w:tblPr>
        <w:tblW w:type="dxa" w:w="10000"/>
        <w:tblBorders>
          <w:top w:val="single" w:color="9CA3AF" w:sz="4"/>
          <w:left w:val="single" w:color="9CA3AF" w:sz="4"/>
          <w:bottom w:val="single" w:color="9CA3AF" w:sz="4"/>
          <w:right w:val="single" w:color="9CA3AF" w:sz="4"/>
          <w:insideH w:val="single" w:color="D1D5DB" w:sz="2"/>
          <w:insideV w:val="single" w:color="D1D5DB" w:sz="2"/>
        </w:tblBorders>
      </w:tblPr>
      <w:tblGrid>
        <w:gridCol w:w="2600"/>
        <w:gridCol w:w="1850"/>
        <w:gridCol w:w="1850"/>
        <w:gridCol w:w="1850"/>
        <w:gridCol w:w="1850"/>
      </w:tblGrid>
      <w:tr>
        <w:trPr>
          <w:tblHeader/>
        </w:trPr>
        <w:tc>
          <w:tcPr>
            <w:tcW w:type="dxa" w:w="260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Development Tier</w:t>
            </w:r>
          </w:p>
        </w:tc>
        <w:tc>
          <w:tcPr>
            <w:tcW w:type="dxa" w:w="185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185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Recall</w:t>
            </w:r>
          </w:p>
        </w:tc>
        <w:tc>
          <w:tcPr>
            <w:tcW w:type="dxa" w:w="185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F1-score</w:t>
            </w:r>
          </w:p>
        </w:tc>
        <w:tc>
          <w:tcPr>
            <w:tcW w:type="dxa" w:w="1850"/>
            <w:shd w:fill="1D4ED8"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Support</w:t>
            </w:r>
          </w:p>
        </w:tc>
      </w:tr>
      <w:tr>
        <w:tc>
          <w:tcPr>
            <w:tcW w:type="dxa" w:w="2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Low</w:t>
            </w:r>
          </w:p>
        </w:tc>
        <w:tc>
          <w:tcPr>
            <w:tcW w:type="dxa" w:w="185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0.84</w:t>
            </w:r>
          </w:p>
        </w:tc>
        <w:tc>
          <w:tcPr>
            <w:tcW w:type="dxa" w:w="185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1.00</w:t>
            </w:r>
          </w:p>
        </w:tc>
        <w:tc>
          <w:tcPr>
            <w:tcW w:type="dxa" w:w="185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0.91</w:t>
            </w:r>
          </w:p>
        </w:tc>
        <w:tc>
          <w:tcPr>
            <w:tcW w:type="dxa" w:w="185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21</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Medium</w:t>
            </w:r>
          </w:p>
        </w:tc>
        <w:tc>
          <w:tcPr>
            <w:tcW w:type="dxa" w:w="185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0.89</w:t>
            </w:r>
          </w:p>
        </w:tc>
        <w:tc>
          <w:tcPr>
            <w:tcW w:type="dxa" w:w="185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0.73</w:t>
            </w:r>
          </w:p>
        </w:tc>
        <w:tc>
          <w:tcPr>
            <w:tcW w:type="dxa" w:w="185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0.80</w:t>
            </w:r>
          </w:p>
        </w:tc>
        <w:tc>
          <w:tcPr>
            <w:tcW w:type="dxa" w:w="185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33</w:t>
            </w:r>
          </w:p>
        </w:tc>
      </w:tr>
      <w:tr>
        <w:tc>
          <w:tcPr>
            <w:tcW w:type="dxa" w:w="260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High</w:t>
            </w:r>
          </w:p>
        </w:tc>
        <w:tc>
          <w:tcPr>
            <w:tcW w:type="dxa" w:w="185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0.63</w:t>
            </w:r>
          </w:p>
        </w:tc>
        <w:tc>
          <w:tcPr>
            <w:tcW w:type="dxa" w:w="185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0.91</w:t>
            </w:r>
          </w:p>
        </w:tc>
        <w:tc>
          <w:tcPr>
            <w:tcW w:type="dxa" w:w="185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0.74</w:t>
            </w:r>
          </w:p>
        </w:tc>
        <w:tc>
          <w:tcPr>
            <w:tcW w:type="dxa" w:w="1850"/>
            <w:shd w:fill="F3F4F6"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32</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Very High</w:t>
            </w:r>
          </w:p>
        </w:tc>
        <w:tc>
          <w:tcPr>
            <w:tcW w:type="dxa" w:w="185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1.00</w:t>
            </w:r>
          </w:p>
        </w:tc>
        <w:tc>
          <w:tcPr>
            <w:tcW w:type="dxa" w:w="185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0.78</w:t>
            </w:r>
          </w:p>
        </w:tc>
        <w:tc>
          <w:tcPr>
            <w:tcW w:type="dxa" w:w="185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0.88</w:t>
            </w:r>
          </w:p>
        </w:tc>
        <w:tc>
          <w:tcPr>
            <w:tcW w:type="dxa" w:w="185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55</w:t>
            </w:r>
          </w:p>
        </w:tc>
      </w:tr>
    </w:tbl>
    <w:p>
      <w:pPr>
        <w:spacing w:after="200" w:line="300"/>
        <w:jc w:val="both"/>
      </w:pPr>
      <w:r>
        <w:rPr>
          <w:rFonts w:ascii="Times New Roman" w:cs="Times New Roman" w:eastAsia="Times New Roman" w:hAnsi="Times New Roman"/>
          <w:b w:val="false"/>
          <w:bCs w:val="false"/>
          <w:i w:val="false"/>
          <w:iCs w:val="false"/>
          <w:sz w:val="22"/>
          <w:szCs w:val="22"/>
        </w:rPr>
        <w:t xml:space="preserve">The classification report shows strong precision for the “Very High” tier (1.00) and strong recall for the “Low” tier (1.00), while the “High” tier shows comparatively lower precision (0.63), indicating some over-prediction into this class from adjacent tiers — a reasonable outcome given the continuous, boundary-sensitive nature of tier cut-offs derived from a regression output.</w:t>
      </w:r>
    </w:p>
    <w:p>
      <w:pPr>
        <w:pStyle w:val="Heading1"/>
        <w:spacing w:after="200" w:before="400"/>
      </w:pPr>
      <w:r>
        <w:rPr>
          <w:rFonts w:ascii="Times New Roman" w:cs="Times New Roman" w:eastAsia="Times New Roman" w:hAnsi="Times New Roman"/>
          <w:b/>
          <w:bCs/>
          <w:color w:val="1D4ED8"/>
          <w:sz w:val="32"/>
          <w:szCs w:val="32"/>
        </w:rPr>
        <w:t xml:space="preserve">7. RESULTS</w:t>
      </w:r>
    </w:p>
    <w:p>
      <w:pPr>
        <w:pStyle w:val="Heading2"/>
        <w:spacing w:after="160" w:before="300"/>
      </w:pPr>
      <w:r>
        <w:rPr>
          <w:rFonts w:ascii="Times New Roman" w:cs="Times New Roman" w:eastAsia="Times New Roman" w:hAnsi="Times New Roman"/>
          <w:b/>
          <w:bCs/>
          <w:color w:val="1F2937"/>
          <w:sz w:val="26"/>
          <w:szCs w:val="26"/>
        </w:rPr>
        <w:t xml:space="preserve">7.1 Output Screenshots</w:t>
      </w:r>
    </w:p>
    <w:p>
      <w:pPr>
        <w:spacing w:after="100" w:line="300"/>
        <w:jc w:val="both"/>
      </w:pPr>
      <w:r>
        <w:rPr>
          <w:rFonts w:ascii="Times New Roman" w:cs="Times New Roman" w:eastAsia="Times New Roman" w:hAnsi="Times New Roman"/>
          <w:b w:val="false"/>
          <w:bCs w:val="false"/>
          <w:i w:val="false"/>
          <w:iCs w:val="false"/>
          <w:sz w:val="22"/>
          <w:szCs w:val="22"/>
        </w:rPr>
        <w:t xml:space="preserve">Exploratory visualizations generated during data analysis:</w:t>
      </w:r>
    </w:p>
    <w:p>
      <w:pPr>
        <w:spacing w:after="60" w:before="200"/>
        <w:jc w:val="center"/>
      </w:pPr>
      <w:r>
        <w:drawing>
          <wp:inline distT="0" distB="0" distL="0" distR="0">
            <wp:extent cx="3048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19075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4B5563"/>
          <w:sz w:val="20"/>
          <w:szCs w:val="20"/>
        </w:rPr>
        <w:t xml:space="preserve">Figure 7.1: Life Expectancy vs HDI trend (2021).</w:t>
      </w:r>
    </w:p>
    <w:p>
      <w:pPr>
        <w:spacing w:after="60" w:before="200"/>
        <w:jc w:val="center"/>
      </w:pPr>
      <w:r>
        <w:drawing>
          <wp:inline distT="0" distB="0" distL="0" distR="0">
            <wp:extent cx="3048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19075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4B5563"/>
          <w:sz w:val="20"/>
          <w:szCs w:val="20"/>
        </w:rPr>
        <w:t xml:space="preserve">Figure 7.2: Education (Expected Years of Schooling) vs HDI trend (2021).</w:t>
      </w:r>
    </w:p>
    <w:p>
      <w:pPr>
        <w:spacing w:after="6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5760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4B5563"/>
          <w:sz w:val="20"/>
          <w:szCs w:val="20"/>
        </w:rPr>
        <w:t xml:space="preserve">Figure 7.3: Feature correlation heatmap across HDI dataset indicators.</w:t>
      </w:r>
    </w:p>
    <w:p>
      <w:r>
        <w:br w:type="page"/>
      </w:r>
    </w:p>
    <w:p>
      <w:pPr>
        <w:spacing w:after="100" w:line="300"/>
        <w:jc w:val="both"/>
      </w:pPr>
      <w:r>
        <w:rPr>
          <w:rFonts w:ascii="Times New Roman" w:cs="Times New Roman" w:eastAsia="Times New Roman" w:hAnsi="Times New Roman"/>
          <w:b w:val="false"/>
          <w:bCs w:val="false"/>
          <w:i w:val="false"/>
          <w:iCs w:val="false"/>
          <w:sz w:val="22"/>
          <w:szCs w:val="22"/>
        </w:rPr>
        <w:t xml:space="preserve">Model training and evaluation visualizations:</w:t>
      </w:r>
    </w:p>
    <w:p>
      <w:pPr>
        <w:spacing w:after="60" w:before="20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0500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4B5563"/>
          <w:sz w:val="20"/>
          <w:szCs w:val="20"/>
        </w:rPr>
        <w:t xml:space="preserve">Figure 7.4: Training vs validation loss and accuracy convergence curves over 120 epochs.</w:t>
      </w:r>
    </w:p>
    <w:p>
      <w:pPr>
        <w:spacing w:after="60" w:before="20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10515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4B5563"/>
          <w:sz w:val="20"/>
          <w:szCs w:val="20"/>
        </w:rPr>
        <w:t xml:space="preserve">Figure 7.5: Confusion matrix — predicted vs true development tier (training run).</w:t>
      </w:r>
    </w:p>
    <w:p>
      <w:pPr>
        <w:spacing w:after="60"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33600"/>
                    </a:xfrm>
                    <a:prstGeom prst="rect">
                      <a:avLst/>
                    </a:prstGeom>
                  </pic:spPr>
                </pic:pic>
              </a:graphicData>
            </a:graphic>
          </wp:inline>
        </w:drawing>
      </w:r>
    </w:p>
    <w:p>
      <w:pPr>
        <w:spacing w:after="260" w:before="80"/>
        <w:jc w:val="center"/>
      </w:pPr>
      <w:r>
        <w:rPr>
          <w:rFonts w:ascii="Times New Roman" w:cs="Times New Roman" w:eastAsia="Times New Roman" w:hAnsi="Times New Roman"/>
          <w:i/>
          <w:iCs/>
          <w:color w:val="4B5563"/>
          <w:sz w:val="20"/>
          <w:szCs w:val="20"/>
        </w:rPr>
        <w:t xml:space="preserve">Figure 7.6: Final test-set diagnostics — confusion matrix and multi-class ROC-AUC curves.</w:t>
      </w:r>
    </w:p>
    <w:p>
      <w:pPr>
        <w:pStyle w:val="Heading1"/>
        <w:spacing w:after="200" w:before="400"/>
      </w:pPr>
      <w:r>
        <w:rPr>
          <w:rFonts w:ascii="Times New Roman" w:cs="Times New Roman" w:eastAsia="Times New Roman" w:hAnsi="Times New Roman"/>
          <w:b/>
          <w:bCs/>
          <w:color w:val="1D4ED8"/>
          <w:sz w:val="32"/>
          <w:szCs w:val="32"/>
        </w:rPr>
        <w:t xml:space="preserve">8. ADVANTAGES &amp; DISADVANTAGES</w:t>
      </w:r>
    </w:p>
    <w:p>
      <w:pPr>
        <w:pStyle w:val="Heading2"/>
        <w:spacing w:after="160" w:before="300"/>
      </w:pPr>
      <w:r>
        <w:rPr>
          <w:rFonts w:ascii="Times New Roman" w:cs="Times New Roman" w:eastAsia="Times New Roman" w:hAnsi="Times New Roman"/>
          <w:b/>
          <w:bCs/>
          <w:color w:val="1F2937"/>
          <w:sz w:val="26"/>
          <w:szCs w:val="26"/>
        </w:rPr>
        <w:t xml:space="preserve">Advantages</w:t>
      </w:r>
    </w:p>
    <w:p>
      <w:pPr>
        <w:pStyle w:val="ListParagraph"/>
        <w:numPr>
          <w:ilvl w:val="0"/>
          <w:numId w:val="2"/>
        </w:numPr>
        <w:spacing w:after="100" w:line="280"/>
      </w:pPr>
      <w:r>
        <w:rPr>
          <w:rFonts w:ascii="Times New Roman" w:cs="Times New Roman" w:eastAsia="Times New Roman" w:hAnsi="Times New Roman"/>
          <w:sz w:val="22"/>
          <w:szCs w:val="22"/>
        </w:rPr>
        <w:t xml:space="preserve">Provides near-instant HDI estimation without manual UNDP formula computation.</w:t>
      </w:r>
    </w:p>
    <w:p>
      <w:pPr>
        <w:pStyle w:val="ListParagraph"/>
        <w:numPr>
          <w:ilvl w:val="0"/>
          <w:numId w:val="2"/>
        </w:numPr>
        <w:spacing w:after="100" w:line="280"/>
      </w:pPr>
      <w:r>
        <w:rPr>
          <w:rFonts w:ascii="Times New Roman" w:cs="Times New Roman" w:eastAsia="Times New Roman" w:hAnsi="Times New Roman"/>
          <w:sz w:val="22"/>
          <w:szCs w:val="22"/>
        </w:rPr>
        <w:t xml:space="preserve">Dual-branch architecture separates core indicators from auxiliary ones, improving interpretability of feature contribution.</w:t>
      </w:r>
    </w:p>
    <w:p>
      <w:pPr>
        <w:pStyle w:val="ListParagraph"/>
        <w:numPr>
          <w:ilvl w:val="0"/>
          <w:numId w:val="2"/>
        </w:numPr>
        <w:spacing w:after="100" w:line="280"/>
      </w:pPr>
      <w:r>
        <w:rPr>
          <w:rFonts w:ascii="Times New Roman" w:cs="Times New Roman" w:eastAsia="Times New Roman" w:hAnsi="Times New Roman"/>
          <w:sz w:val="22"/>
          <w:szCs w:val="22"/>
        </w:rPr>
        <w:t xml:space="preserve">Combines regression precision with human-readable tier classification for easier communication of results.</w:t>
      </w:r>
    </w:p>
    <w:p>
      <w:pPr>
        <w:pStyle w:val="ListParagraph"/>
        <w:numPr>
          <w:ilvl w:val="0"/>
          <w:numId w:val="2"/>
        </w:numPr>
        <w:spacing w:after="100" w:line="280"/>
      </w:pPr>
      <w:r>
        <w:rPr>
          <w:rFonts w:ascii="Times New Roman" w:cs="Times New Roman" w:eastAsia="Times New Roman" w:hAnsi="Times New Roman"/>
          <w:sz w:val="22"/>
          <w:szCs w:val="22"/>
        </w:rPr>
        <w:t xml:space="preserve">GPU-accelerated preprocessing (cuDF) enables fast handling of large multi-year datasets.</w:t>
      </w:r>
    </w:p>
    <w:p>
      <w:pPr>
        <w:pStyle w:val="ListParagraph"/>
        <w:numPr>
          <w:ilvl w:val="0"/>
          <w:numId w:val="2"/>
        </w:numPr>
        <w:spacing w:after="100" w:line="280"/>
      </w:pPr>
      <w:r>
        <w:rPr>
          <w:rFonts w:ascii="Times New Roman" w:cs="Times New Roman" w:eastAsia="Times New Roman" w:hAnsi="Times New Roman"/>
          <w:sz w:val="22"/>
          <w:szCs w:val="22"/>
        </w:rPr>
        <w:t xml:space="preserve">Lightweight Flask deployment allows public access without dedicated server infrastructure.</w:t>
      </w:r>
    </w:p>
    <w:p>
      <w:pPr>
        <w:pStyle w:val="Heading2"/>
        <w:spacing w:after="160" w:before="300"/>
      </w:pPr>
      <w:r>
        <w:rPr>
          <w:rFonts w:ascii="Times New Roman" w:cs="Times New Roman" w:eastAsia="Times New Roman" w:hAnsi="Times New Roman"/>
          <w:b/>
          <w:bCs/>
          <w:color w:val="1F2937"/>
          <w:sz w:val="26"/>
          <w:szCs w:val="26"/>
        </w:rPr>
        <w:t xml:space="preserve">Disadvantages</w:t>
      </w:r>
    </w:p>
    <w:p>
      <w:pPr>
        <w:pStyle w:val="ListParagraph"/>
        <w:numPr>
          <w:ilvl w:val="0"/>
          <w:numId w:val="2"/>
        </w:numPr>
        <w:spacing w:after="100" w:line="280"/>
      </w:pPr>
      <w:r>
        <w:rPr>
          <w:rFonts w:ascii="Times New Roman" w:cs="Times New Roman" w:eastAsia="Times New Roman" w:hAnsi="Times New Roman"/>
          <w:sz w:val="22"/>
          <w:szCs w:val="22"/>
        </w:rPr>
        <w:t xml:space="preserve">Model accuracy is bounded by the quality and completeness of the underlying UNDP dataset; missing-value imputation may introduce bias.</w:t>
      </w:r>
    </w:p>
    <w:p>
      <w:pPr>
        <w:pStyle w:val="ListParagraph"/>
        <w:numPr>
          <w:ilvl w:val="0"/>
          <w:numId w:val="2"/>
        </w:numPr>
        <w:spacing w:after="100" w:line="280"/>
      </w:pPr>
      <w:r>
        <w:rPr>
          <w:rFonts w:ascii="Times New Roman" w:cs="Times New Roman" w:eastAsia="Times New Roman" w:hAnsi="Times New Roman"/>
          <w:sz w:val="22"/>
          <w:szCs w:val="22"/>
        </w:rPr>
        <w:t xml:space="preserve">Tier boundaries are hard thresholds on a continuous prediction, so borderline countries near cut-offs are more prone to misclassification (as seen in the “High” tier's lower precision).</w:t>
      </w:r>
    </w:p>
    <w:p>
      <w:pPr>
        <w:pStyle w:val="ListParagraph"/>
        <w:numPr>
          <w:ilvl w:val="0"/>
          <w:numId w:val="2"/>
        </w:numPr>
        <w:spacing w:after="100" w:line="280"/>
      </w:pPr>
      <w:r>
        <w:rPr>
          <w:rFonts w:ascii="Times New Roman" w:cs="Times New Roman" w:eastAsia="Times New Roman" w:hAnsi="Times New Roman"/>
          <w:sz w:val="22"/>
          <w:szCs w:val="22"/>
        </w:rPr>
        <w:t xml:space="preserve">LocalTunnel-based deployment is temporary and tied to an active Kaggle session; it is not a persistent production deployment.</w:t>
      </w:r>
    </w:p>
    <w:p>
      <w:pPr>
        <w:pStyle w:val="ListParagraph"/>
        <w:numPr>
          <w:ilvl w:val="0"/>
          <w:numId w:val="2"/>
        </w:numPr>
        <w:spacing w:after="100" w:line="280"/>
      </w:pPr>
      <w:r>
        <w:rPr>
          <w:rFonts w:ascii="Times New Roman" w:cs="Times New Roman" w:eastAsia="Times New Roman" w:hAnsi="Times New Roman"/>
          <w:sz w:val="22"/>
          <w:szCs w:val="22"/>
        </w:rPr>
        <w:t xml:space="preserve">The secondary feature branch selects only the first ten available numerical columns programmatically, which may not always capture the most predictive auxiliary indicators.</w:t>
      </w:r>
    </w:p>
    <w:p>
      <w:pPr>
        <w:pStyle w:val="Heading1"/>
        <w:spacing w:after="200" w:before="400"/>
      </w:pPr>
      <w:r>
        <w:rPr>
          <w:rFonts w:ascii="Times New Roman" w:cs="Times New Roman" w:eastAsia="Times New Roman" w:hAnsi="Times New Roman"/>
          <w:b/>
          <w:bCs/>
          <w:color w:val="1D4ED8"/>
          <w:sz w:val="32"/>
          <w:szCs w:val="32"/>
        </w:rPr>
        <w:t xml:space="preserve">9. CONCLUSION</w:t>
      </w:r>
    </w:p>
    <w:p>
      <w:pPr>
        <w:spacing w:after="200" w:line="300"/>
        <w:jc w:val="both"/>
      </w:pPr>
      <w:r>
        <w:rPr>
          <w:rFonts w:ascii="Times New Roman" w:cs="Times New Roman" w:eastAsia="Times New Roman" w:hAnsi="Times New Roman"/>
          <w:b w:val="false"/>
          <w:bCs w:val="false"/>
          <w:i w:val="false"/>
          <w:iCs w:val="false"/>
          <w:sz w:val="22"/>
          <w:szCs w:val="22"/>
        </w:rPr>
        <w:t xml:space="preserve">The Global HDI Intelligence Engine successfully demonstrates that a compact, dual-branch neural network can approximate the UNDP Human Development Index computation with high fidelity, achieving a Mean Absolute Error of 0.026 and an overall tier classification accuracy of 83% on held-out data. By pairing this model with an interactive Flask-based web dashboard, the project bridges the gap between a static machine learning experiment and an accessible, real-time decision-support tool. The end-to-end pipeline — from GPU-accelerated data cleaning through model training, evaluation, and public deployment — validates a practical and reproducible workflow for applied socio-economic prediction tasks.</w:t>
      </w:r>
    </w:p>
    <w:p>
      <w:pPr>
        <w:pStyle w:val="Heading1"/>
        <w:spacing w:after="200" w:before="400"/>
      </w:pPr>
      <w:r>
        <w:rPr>
          <w:rFonts w:ascii="Times New Roman" w:cs="Times New Roman" w:eastAsia="Times New Roman" w:hAnsi="Times New Roman"/>
          <w:b/>
          <w:bCs/>
          <w:color w:val="1D4ED8"/>
          <w:sz w:val="32"/>
          <w:szCs w:val="32"/>
        </w:rPr>
        <w:t xml:space="preserve">10. FUTURE SCOPE</w:t>
      </w:r>
    </w:p>
    <w:p>
      <w:pPr>
        <w:pStyle w:val="ListParagraph"/>
        <w:numPr>
          <w:ilvl w:val="0"/>
          <w:numId w:val="2"/>
        </w:numPr>
        <w:spacing w:after="100" w:line="280"/>
      </w:pPr>
      <w:r>
        <w:rPr>
          <w:rFonts w:ascii="Times New Roman" w:cs="Times New Roman" w:eastAsia="Times New Roman" w:hAnsi="Times New Roman"/>
          <w:sz w:val="22"/>
          <w:szCs w:val="22"/>
        </w:rPr>
        <w:t xml:space="preserve">Replace hard tier thresholds with a learned, soft classification head trained jointly with the regression objective to reduce boundary misclassification.</w:t>
      </w:r>
    </w:p>
    <w:p>
      <w:pPr>
        <w:pStyle w:val="ListParagraph"/>
        <w:numPr>
          <w:ilvl w:val="0"/>
          <w:numId w:val="2"/>
        </w:numPr>
        <w:spacing w:after="100" w:line="280"/>
      </w:pPr>
      <w:r>
        <w:rPr>
          <w:rFonts w:ascii="Times New Roman" w:cs="Times New Roman" w:eastAsia="Times New Roman" w:hAnsi="Times New Roman"/>
          <w:sz w:val="22"/>
          <w:szCs w:val="22"/>
        </w:rPr>
        <w:t xml:space="preserve">Incorporate multi-year historical data with temporal modeling (e.g., LSTM/Transformer) to forecast future HDI trajectories rather than a single-year snapshot.</w:t>
      </w:r>
    </w:p>
    <w:p>
      <w:pPr>
        <w:pStyle w:val="ListParagraph"/>
        <w:numPr>
          <w:ilvl w:val="0"/>
          <w:numId w:val="2"/>
        </w:numPr>
        <w:spacing w:after="100" w:line="280"/>
      </w:pPr>
      <w:r>
        <w:rPr>
          <w:rFonts w:ascii="Times New Roman" w:cs="Times New Roman" w:eastAsia="Times New Roman" w:hAnsi="Times New Roman"/>
          <w:sz w:val="22"/>
          <w:szCs w:val="22"/>
        </w:rPr>
        <w:t xml:space="preserve">Deploy the Flask application on a persistent cloud host (e.g., a managed container service) instead of a session-bound LocalTunnel URL.</w:t>
      </w:r>
    </w:p>
    <w:p>
      <w:pPr>
        <w:pStyle w:val="ListParagraph"/>
        <w:numPr>
          <w:ilvl w:val="0"/>
          <w:numId w:val="2"/>
        </w:numPr>
        <w:spacing w:after="100" w:line="280"/>
      </w:pPr>
      <w:r>
        <w:rPr>
          <w:rFonts w:ascii="Times New Roman" w:cs="Times New Roman" w:eastAsia="Times New Roman" w:hAnsi="Times New Roman"/>
          <w:sz w:val="22"/>
          <w:szCs w:val="22"/>
        </w:rPr>
        <w:t xml:space="preserve">Add explainability components (e.g., SHAP values) to show users which indicators most influenced a given prediction.</w:t>
      </w:r>
    </w:p>
    <w:p>
      <w:pPr>
        <w:pStyle w:val="ListParagraph"/>
        <w:numPr>
          <w:ilvl w:val="0"/>
          <w:numId w:val="2"/>
        </w:numPr>
        <w:spacing w:after="100" w:line="280"/>
      </w:pPr>
      <w:r>
        <w:rPr>
          <w:rFonts w:ascii="Times New Roman" w:cs="Times New Roman" w:eastAsia="Times New Roman" w:hAnsi="Times New Roman"/>
          <w:sz w:val="22"/>
          <w:szCs w:val="22"/>
        </w:rPr>
        <w:t xml:space="preserve">Extend the secondary feature branch with a principled feature-selection step rather than a positional column slice.</w:t>
      </w:r>
    </w:p>
    <w:p>
      <w:pPr>
        <w:pStyle w:val="Heading1"/>
        <w:spacing w:after="200" w:before="400"/>
      </w:pPr>
      <w:r>
        <w:rPr>
          <w:rFonts w:ascii="Times New Roman" w:cs="Times New Roman" w:eastAsia="Times New Roman" w:hAnsi="Times New Roman"/>
          <w:b/>
          <w:bCs/>
          <w:color w:val="1D4ED8"/>
          <w:sz w:val="32"/>
          <w:szCs w:val="32"/>
        </w:rPr>
        <w:t xml:space="preserve">11. APPENDIX</w:t>
      </w:r>
    </w:p>
    <w:p>
      <w:pPr>
        <w:pStyle w:val="Heading2"/>
        <w:spacing w:after="160" w:before="300"/>
      </w:pPr>
      <w:r>
        <w:rPr>
          <w:rFonts w:ascii="Times New Roman" w:cs="Times New Roman" w:eastAsia="Times New Roman" w:hAnsi="Times New Roman"/>
          <w:b/>
          <w:bCs/>
          <w:color w:val="1F2937"/>
          <w:sz w:val="26"/>
          <w:szCs w:val="26"/>
        </w:rPr>
        <w:t xml:space="preserve">Source Code (Key Model Definition)</w:t>
      </w:r>
    </w:p>
    <w:p>
      <w:pPr>
        <w:shd w:fill="F3F4F6" w:val="clear"/>
        <w:spacing w:after="200"/>
      </w:pPr>
      <w:r>
        <w:rPr>
          <w:rFonts w:ascii="Courier New" w:cs="Courier New" w:eastAsia="Courier New" w:hAnsi="Courier New"/>
          <w:sz w:val="18"/>
          <w:szCs w:val="18"/>
        </w:rPr>
        <w:t xml:space="preserve">class EnhancedHybridHDINet(nn.Module):
    def __init__(self, primary_dim, secondary_dim):
        super().__init__()
        self.primary_branch = nn.Sequential(
            nn.Linear(primary_dim, 32), nn.BatchNorm1d(32), nn.ReLU(),
            nn.Linear(32, 16), nn.ReLU())
        self.secondary_branch = nn.Sequential(
            nn.Linear(secondary_dim, 32), nn.BatchNorm1d(32), nn.ReLU(),
            nn.Linear(32, 16), nn.ReLU())
        self.regressor = nn.Sequential(
            nn.Linear(16 + 16, 32), nn.ReLU(), nn.Dropout(0.1),
            nn.Linear(32, 1), nn.Sigmoid())
    def forward(self, x_prim, x_sec):
        p_out = self.primary_branch(x_prim)
        s_out = self.secondary_branch(x_sec)
        combined = torch.cat((p_out, s_out), dim=1)
        return self.regressor(combined)</w:t>
      </w:r>
    </w:p>
    <w:p>
      <w:pPr>
        <w:pStyle w:val="Heading2"/>
        <w:spacing w:after="160" w:before="300"/>
      </w:pPr>
      <w:r>
        <w:rPr>
          <w:rFonts w:ascii="Times New Roman" w:cs="Times New Roman" w:eastAsia="Times New Roman" w:hAnsi="Times New Roman"/>
          <w:b/>
          <w:bCs/>
          <w:color w:val="1F2937"/>
          <w:sz w:val="26"/>
          <w:szCs w:val="26"/>
        </w:rPr>
        <w:t xml:space="preserve">Dataset Link</w:t>
      </w:r>
    </w:p>
    <w:p>
      <w:pPr>
        <w:spacing w:after="160" w:line="300"/>
        <w:jc w:val="both"/>
      </w:pPr>
      <w:r>
        <w:rPr>
          <w:rFonts w:ascii="Times New Roman" w:cs="Times New Roman" w:eastAsia="Times New Roman" w:hAnsi="Times New Roman"/>
          <w:b w:val="false"/>
          <w:bCs w:val="false"/>
          <w:i w:val="false"/>
          <w:iCs w:val="false"/>
          <w:sz w:val="22"/>
          <w:szCs w:val="22"/>
        </w:rPr>
        <w:t xml:space="preserve">Human Development Index – Full Dataset (Kaggle): https://www.kaggle.com/datasets/iamsouravbanerjee/human-development-index-dataset</w:t>
      </w:r>
    </w:p>
    <w:p>
      <w:pPr>
        <w:pStyle w:val="Heading2"/>
        <w:spacing w:after="160" w:before="300"/>
      </w:pPr>
      <w:r>
        <w:rPr>
          <w:rFonts w:ascii="Times New Roman" w:cs="Times New Roman" w:eastAsia="Times New Roman" w:hAnsi="Times New Roman"/>
          <w:b/>
          <w:bCs/>
          <w:color w:val="1F2937"/>
          <w:sz w:val="26"/>
          <w:szCs w:val="26"/>
        </w:rPr>
        <w:t xml:space="preserve">GitHub &amp; Project Demo Link</w:t>
      </w:r>
    </w:p>
    <w:p>
      <w:pPr>
        <w:spacing w:after="80" w:line="300"/>
        <w:jc w:val="both"/>
      </w:pPr>
      <w:r>
        <w:rPr>
          <w:rFonts w:ascii="Times New Roman" w:cs="Times New Roman" w:eastAsia="Times New Roman" w:hAnsi="Times New Roman"/>
          <w:b w:val="false"/>
          <w:bCs w:val="false"/>
          <w:i w:val="false"/>
          <w:iCs w:val="false"/>
          <w:sz w:val="22"/>
          <w:szCs w:val="22"/>
        </w:rPr>
        <w:t xml:space="preserve">GitHub Repository: [To be added by project author]</w:t>
      </w:r>
    </w:p>
    <w:p>
      <w:pPr>
        <w:spacing w:after="80" w:line="300"/>
        <w:jc w:val="both"/>
      </w:pPr>
      <w:r>
        <w:rPr>
          <w:rFonts w:ascii="Times New Roman" w:cs="Times New Roman" w:eastAsia="Times New Roman" w:hAnsi="Times New Roman"/>
          <w:b w:val="false"/>
          <w:bCs w:val="false"/>
          <w:i w:val="false"/>
          <w:iCs w:val="false"/>
          <w:sz w:val="22"/>
          <w:szCs w:val="22"/>
        </w:rPr>
        <w:t xml:space="preserve">Live Demo (session-based LocalTunnel URL, active only during notebook runtime): https://rich-turtles-watch.loca.lt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7280"/>
        <w:sz w:val="16"/>
        <w:szCs w:val="16"/>
      </w:rPr>
      <w:t xml:space="preserve">HDI Intelligence Engine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D4ED8"/>
      <w:sz w:val="32"/>
      <w:szCs w:val="32"/>
    </w:rPr>
  </w:style>
  <w:style w:type="paragraph" w:styleId="Heading2">
    <w:name w:val="Heading 2"/>
    <w:basedOn w:val="Normal"/>
    <w:next w:val="Normal"/>
    <w:qFormat/>
    <w:rPr>
      <w:rFonts w:ascii="Times New Roman" w:cs="Times New Roman" w:eastAsia="Times New Roman" w:hAnsi="Times New Roman"/>
      <w:b/>
      <w:bCs/>
      <w:color w:val="1F2937"/>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6c254a66f061f9e771fe733ff82f808f992cf8.png"/><Relationship Id="rId10" Type="http://schemas.openxmlformats.org/officeDocument/2006/relationships/image" Target="media/2f6730f8fa59020645b5fd7ccf7eb18d03867523.png"/><Relationship Id="rId11" Type="http://schemas.openxmlformats.org/officeDocument/2006/relationships/image" Target="media/2ec729686d723e6f830435ba1455181d7568420e.png"/><Relationship Id="rId12" Type="http://schemas.openxmlformats.org/officeDocument/2006/relationships/image" Target="media/cdaeaa1fc6b01f1d7a95e542270396aea108905b.png"/><Relationship Id="rId13" Type="http://schemas.openxmlformats.org/officeDocument/2006/relationships/image" Target="media/7225ad5a13f098e60c55d8f7f351eff1d4cc0727.png"/><Relationship Id="rId14" Type="http://schemas.openxmlformats.org/officeDocument/2006/relationships/image" Target="media/e2ad3545c2f4d0f198f68a319b9f24b380ee8033.png"/><Relationship Id="rId15" Type="http://schemas.openxmlformats.org/officeDocument/2006/relationships/image" Target="media/4965a529b4a7af8e0b139eefe9aabd2708795834.png"/><Relationship Id="rId16" Type="http://schemas.openxmlformats.org/officeDocument/2006/relationships/image" Target="media/9fd595012100be5bdbd31782e16543d9bc98c77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2026-07-13T16:00:09.773Z</dcterms:created>
  <dcterms:modified xsi:type="dcterms:W3CDTF">2026-07-13T16:00:09.773Z</dcterms:modified>
</cp:coreProperties>
</file>

<file path=docProps/custom.xml><?xml version="1.0" encoding="utf-8"?>
<Properties xmlns="http://schemas.openxmlformats.org/officeDocument/2006/custom-properties" xmlns:vt="http://schemas.openxmlformats.org/officeDocument/2006/docPropsVTypes"/>
</file>