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24D"/>
          <w:sz w:val="60"/>
        </w:rPr>
        <w:t>Exploratory Data Analysis Report</w:t>
      </w:r>
    </w:p>
    <w:p>
      <w:pPr>
        <w:jc w:val="center"/>
      </w:pPr>
      <w:r>
        <w:rPr>
          <w:color w:val="555555"/>
          <w:sz w:val="32"/>
        </w:rPr>
        <w:t>Home Credit Default Risk (HCDR) &amp; HMDA Mortgage Data</w:t>
      </w:r>
    </w:p>
    <w:p/>
    <w:p/>
    <w:p/>
    <w:p>
      <w:pPr>
        <w:jc w:val="center"/>
      </w:pPr>
      <w:r>
        <w:rPr>
          <w:color w:val="555555"/>
          <w:sz w:val="23"/>
        </w:rPr>
        <w:t>QM640 Capstone Project — Credit Default Prediction: Explainable AI &amp; Bias Mitigation</w:t>
        <w:br/>
        <w:t>Datasets: data/external/HCDR, data/external/HMDA</w:t>
        <w:br/>
        <w:t>Report date: 2026-07-21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1. Introduction &amp; Objectives</w:t>
      </w:r>
    </w:p>
    <w:p>
      <w:r>
        <w:rPr>
          <w:b w:val="0"/>
          <w:i w:val="0"/>
        </w:rPr>
        <w:t>This report presents a detailed exploratory data analysis (EDA) of the two raw external datasets used by the capstone credit-default pipeline:</w:t>
      </w:r>
    </w:p>
    <w:p>
      <w:pPr>
        <w:pStyle w:val="ListBullet"/>
      </w:pPr>
      <w:r>
        <w:rPr>
          <w:b/>
        </w:rPr>
        <w:t>HCDR (data/external/HCDR)</w:t>
      </w:r>
      <w:r>
        <w:t xml:space="preserve"> — Kaggle's Home Credit Default Risk competition data, the primary dataset used for the full model-training / explainability / fairness pipeline (target: TARGET, loan default).</w:t>
      </w:r>
    </w:p>
    <w:p>
      <w:pPr>
        <w:pStyle w:val="ListBullet"/>
      </w:pPr>
      <w:r>
        <w:rPr>
          <w:b/>
        </w:rPr>
        <w:t>HMDA (data/external/HMDA)</w:t>
      </w:r>
      <w:r>
        <w:t xml:space="preserve"> — CFPB Home Mortgage Disclosure Act legacy nationwide LAR extracts (2007-2017), used in this project for a fairness-audit-only pipeline (target: high_cost_flag, a higher-priced-loan proxy).</w:t>
      </w:r>
    </w:p>
    <w:p>
      <w:r>
        <w:rPr>
          <w:b w:val="0"/>
          <w:i w:val="0"/>
        </w:rPr>
        <w:t>The goal of this EDA is to characterize each dataset's structure, completeness, distributions, and target/protected-attribute relationships in enough detail to justify the feature-engineering and fairness-audit decisions made later in the pipeline (see docs/DEVELOPER_GUIDE.md). It documents, for both datasets: row/column counts, memory footprint, missingness, numeric and categorical distributions, correlation with target, known data-quality anomalies, and target-rate breakdowns by protected attribute (gender/age for HCDR; race/sex for HMDA).</w:t>
      </w:r>
    </w:p>
    <w:p>
      <w:pPr>
        <w:pStyle w:val="Heading3"/>
      </w:pPr>
      <w:r>
        <w:t>Scope note</w:t>
      </w:r>
    </w:p>
    <w:p>
      <w:r>
        <w:rPr>
          <w:b w:val="0"/>
          <w:i w:val="0"/>
        </w:rPr>
        <w:t>HMDA is audited for fairness only, not modeled for default risk: this legacy extract contains originated loans only (action_taken == 1 for every row), so there is no approval/denial signal to predict. The binary target used here, high_cost_flag, is a standard pre-2018 Reg Z proxy for a higher-priced mortgage loan (rate_spread was only reported when APR exceeded the HOEPA/Reg Z threshold). It should not be compared apples-to-apples with HCDR's TARGET (loan default).</w:t>
      </w:r>
    </w:p>
    <w:p>
      <w:pPr>
        <w:pStyle w:val="Heading1"/>
      </w:pPr>
      <w:r>
        <w:t>2. Data Pipeline Overview</w:t>
      </w:r>
    </w:p>
    <w:p>
      <w:r>
        <w:rPr>
          <w:b w:val="0"/>
          <w:i w:val="0"/>
        </w:rPr>
        <w:t>Both datasets ship as compressed archives under data/external/ and are prepared into flat, model-ready CSVs under data/raw/ before any analysis. The diagram below traces that flow through to this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41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4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2.1 — EDA data pipeline: external archives → prepared data/raw files → dac.eda.eda_report → reports/ → this document.</w:t>
      </w:r>
    </w:p>
    <w:p>
      <w:pPr>
        <w:pStyle w:val="Heading2"/>
      </w:pPr>
      <w:r>
        <w:t>2.1 HCDR source archive contents</w:t>
      </w:r>
    </w:p>
    <w:p>
      <w:r>
        <w:rPr>
          <w:b w:val="0"/>
          <w:i w:val="0"/>
        </w:rPr>
        <w:t>data/external/HCDR/home-credit-default-risk.zip is the full Kaggle competition download. Only application_train.csv (the sole file carrying the TARGET label) is extracted and used by the pipeline; the remaining relational tables describe borrowers' bureau credit history, prior applications, and repayment behavior and are cataloged here for completeness but are out of scope for the current MVP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2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87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Uncompressed size</w:t>
            </w:r>
          </w:p>
        </w:tc>
        <w:tc>
          <w:tcPr>
            <w:tcW w:type="dxa" w:w="4608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application_train.csv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166.1 MB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Main table used by this pipeline — 1 row per loan application, carries TARGET</w:t>
            </w:r>
          </w:p>
        </w:tc>
      </w:tr>
      <w:tr>
        <w:tc>
          <w:tcPr>
            <w:tcW w:type="dxa" w:w="3024"/>
            <w:shd w:val="clear" w:color="auto" w:fill="F6F8FA"/>
          </w:tcPr>
          <w:p>
            <w:r/>
            <w:r>
              <w:rPr>
                <w:sz w:val="18"/>
              </w:rPr>
              <w:t>application_test.csv</w:t>
            </w:r>
          </w:p>
        </w:tc>
        <w:tc>
          <w:tcPr>
            <w:tcW w:type="dxa" w:w="1872"/>
            <w:shd w:val="clear" w:color="auto" w:fill="F6F8FA"/>
          </w:tcPr>
          <w:p>
            <w:r/>
            <w:r>
              <w:rPr>
                <w:sz w:val="18"/>
              </w:rPr>
              <w:t>26.6 MB</w:t>
            </w:r>
          </w:p>
        </w:tc>
        <w:tc>
          <w:tcPr>
            <w:tcW w:type="dxa" w:w="4608"/>
            <w:shd w:val="clear" w:color="auto" w:fill="F6F8FA"/>
          </w:tcPr>
          <w:p>
            <w:r/>
            <w:r>
              <w:rPr>
                <w:sz w:val="18"/>
              </w:rPr>
              <w:t>Kaggle competition test set (unlabeled) — not used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bureau.csv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170.0 MB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Prior credits reported to the credit bureau, keyed by SK_ID_CURR — not used</w:t>
            </w:r>
          </w:p>
        </w:tc>
      </w:tr>
      <w:tr>
        <w:tc>
          <w:tcPr>
            <w:tcW w:type="dxa" w:w="3024"/>
            <w:shd w:val="clear" w:color="auto" w:fill="F6F8FA"/>
          </w:tcPr>
          <w:p>
            <w:r/>
            <w:r>
              <w:rPr>
                <w:sz w:val="18"/>
              </w:rPr>
              <w:t>bureau_balance.csv</w:t>
            </w:r>
          </w:p>
        </w:tc>
        <w:tc>
          <w:tcPr>
            <w:tcW w:type="dxa" w:w="1872"/>
            <w:shd w:val="clear" w:color="auto" w:fill="F6F8FA"/>
          </w:tcPr>
          <w:p>
            <w:r/>
            <w:r>
              <w:rPr>
                <w:sz w:val="18"/>
              </w:rPr>
              <w:t>375.6 MB</w:t>
            </w:r>
          </w:p>
        </w:tc>
        <w:tc>
          <w:tcPr>
            <w:tcW w:type="dxa" w:w="4608"/>
            <w:shd w:val="clear" w:color="auto" w:fill="F6F8FA"/>
          </w:tcPr>
          <w:p>
            <w:r/>
            <w:r>
              <w:rPr>
                <w:sz w:val="18"/>
              </w:rPr>
              <w:t>Monthly balance history for bureau.csv credits — not used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previous_application.csv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405.0 MB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Client's previous applications at Home Credit — not used</w:t>
            </w:r>
          </w:p>
        </w:tc>
      </w:tr>
      <w:tr>
        <w:tc>
          <w:tcPr>
            <w:tcW w:type="dxa" w:w="3024"/>
            <w:shd w:val="clear" w:color="auto" w:fill="F6F8FA"/>
          </w:tcPr>
          <w:p>
            <w:r/>
            <w:r>
              <w:rPr>
                <w:sz w:val="18"/>
              </w:rPr>
              <w:t>POS_CASH_balance.csv</w:t>
            </w:r>
          </w:p>
        </w:tc>
        <w:tc>
          <w:tcPr>
            <w:tcW w:type="dxa" w:w="1872"/>
            <w:shd w:val="clear" w:color="auto" w:fill="F6F8FA"/>
          </w:tcPr>
          <w:p>
            <w:r/>
            <w:r>
              <w:rPr>
                <w:sz w:val="18"/>
              </w:rPr>
              <w:t>392.7 MB</w:t>
            </w:r>
          </w:p>
        </w:tc>
        <w:tc>
          <w:tcPr>
            <w:tcW w:type="dxa" w:w="4608"/>
            <w:shd w:val="clear" w:color="auto" w:fill="F6F8FA"/>
          </w:tcPr>
          <w:p>
            <w:r/>
            <w:r>
              <w:rPr>
                <w:sz w:val="18"/>
              </w:rPr>
              <w:t>Monthly snapshots of previous POS/cash loans — not used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credit_card_balance.csv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424.6 MB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Monthly snapshots of previous credit-card balances — not used</w:t>
            </w:r>
          </w:p>
        </w:tc>
      </w:tr>
      <w:tr>
        <w:tc>
          <w:tcPr>
            <w:tcW w:type="dxa" w:w="3024"/>
            <w:shd w:val="clear" w:color="auto" w:fill="F6F8FA"/>
          </w:tcPr>
          <w:p>
            <w:r/>
            <w:r>
              <w:rPr>
                <w:sz w:val="18"/>
              </w:rPr>
              <w:t>installments_payments.csv</w:t>
            </w:r>
          </w:p>
        </w:tc>
        <w:tc>
          <w:tcPr>
            <w:tcW w:type="dxa" w:w="1872"/>
            <w:shd w:val="clear" w:color="auto" w:fill="F6F8FA"/>
          </w:tcPr>
          <w:p>
            <w:r/>
            <w:r>
              <w:rPr>
                <w:sz w:val="18"/>
              </w:rPr>
              <w:t>723.1 MB</w:t>
            </w:r>
          </w:p>
        </w:tc>
        <w:tc>
          <w:tcPr>
            <w:tcW w:type="dxa" w:w="4608"/>
            <w:shd w:val="clear" w:color="auto" w:fill="F6F8FA"/>
          </w:tcPr>
          <w:p>
            <w:r/>
            <w:r>
              <w:rPr>
                <w:sz w:val="18"/>
              </w:rPr>
              <w:t>Repayment history for previous credits — not used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HomeCredit_columns_description.csv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0.04 MB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Data dictionary for all tables</w:t>
            </w:r>
          </w:p>
        </w:tc>
      </w:tr>
      <w:tr>
        <w:tc>
          <w:tcPr>
            <w:tcW w:type="dxa" w:w="3024"/>
            <w:shd w:val="clear" w:color="auto" w:fill="F6F8FA"/>
          </w:tcPr>
          <w:p>
            <w:r/>
            <w:r>
              <w:rPr>
                <w:sz w:val="18"/>
              </w:rPr>
              <w:t>sample_submission.csv</w:t>
            </w:r>
          </w:p>
        </w:tc>
        <w:tc>
          <w:tcPr>
            <w:tcW w:type="dxa" w:w="1872"/>
            <w:shd w:val="clear" w:color="auto" w:fill="F6F8FA"/>
          </w:tcPr>
          <w:p>
            <w:r/>
            <w:r>
              <w:rPr>
                <w:sz w:val="18"/>
              </w:rPr>
              <w:t>0.5 MB</w:t>
            </w:r>
          </w:p>
        </w:tc>
        <w:tc>
          <w:tcPr>
            <w:tcW w:type="dxa" w:w="4608"/>
            <w:shd w:val="clear" w:color="auto" w:fill="F6F8FA"/>
          </w:tcPr>
          <w:p>
            <w:r/>
            <w:r>
              <w:rPr>
                <w:sz w:val="18"/>
              </w:rPr>
              <w:t>Kaggle submission template — not used</w:t>
            </w:r>
          </w:p>
        </w:tc>
      </w:tr>
    </w:tbl>
    <w:p/>
    <w:p>
      <w:r>
        <w:rPr>
          <w:b w:val="0"/>
          <w:i w:val="0"/>
        </w:rPr>
        <w:t>Total archive footprint is roughly 2.7 GB uncompressed across 9 CSVs plus the data dictionary. Kaggle competition data carries redistribution restrictions, so raw CSVs are gitignored, not committed.</w:t>
      </w:r>
    </w:p>
    <w:p>
      <w:pPr>
        <w:pStyle w:val="Heading2"/>
      </w:pPr>
      <w:r>
        <w:t>2.2 HMDA source archives</w:t>
      </w:r>
    </w:p>
    <w:p>
      <w:r>
        <w:rPr>
          <w:b w:val="0"/>
          <w:i w:val="0"/>
        </w:rPr>
        <w:t>data/external/HMDA/ ships one zip per year, each containing a single nationwide "originated-records" LAR CSV. The dataset originally shipped 11 yearly archives (2007-2017); the 2007 and 2011 archives were confirmed corrupt/truncated (via zipfile — no valid end-of-central-directory record, unreadable by scripts/prepare_hmda_real.py) and have since been removed from data/external/HMDA/, leaving the 9 usable years below. Each is streamed in 1,000,000-row chunks directly out of its zip and reproducibly subsampled at ~1% per year (seeded per year with numpy's default RNG) — full nationwide volume is roughly 60M+ rows across the decade, too large to load in memory on a typical dev machine and unnecessary for stable EDA/fairness signal.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5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87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Zip size</w:t>
            </w:r>
          </w:p>
        </w:tc>
        <w:tc>
          <w:tcPr>
            <w:tcW w:type="dxa" w:w="3168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Uncompressed CSV size</w:t>
            </w:r>
          </w:p>
        </w:tc>
        <w:tc>
          <w:tcPr>
            <w:tcW w:type="dxa" w:w="331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2008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360.4 MB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5,543.0 MB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Sampled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8"/>
              </w:rPr>
              <w:t>2009</w:t>
            </w:r>
          </w:p>
        </w:tc>
        <w:tc>
          <w:tcPr>
            <w:tcW w:type="dxa" w:w="1872"/>
            <w:shd w:val="clear" w:color="auto" w:fill="F6F8FA"/>
          </w:tcPr>
          <w:p>
            <w:r/>
            <w:r>
              <w:rPr>
                <w:sz w:val="18"/>
              </w:rPr>
              <w:t>416.7 MB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6,873.3 MB</w:t>
            </w:r>
          </w:p>
        </w:tc>
        <w:tc>
          <w:tcPr>
            <w:tcW w:type="dxa" w:w="3312"/>
            <w:shd w:val="clear" w:color="auto" w:fill="F6F8FA"/>
          </w:tcPr>
          <w:p>
            <w:r/>
            <w:r>
              <w:rPr>
                <w:sz w:val="18"/>
              </w:rPr>
              <w:t>Sampled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2010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419.3 MB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6,051.7 MB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Sampled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8"/>
              </w:rPr>
              <w:t>2012</w:t>
            </w:r>
          </w:p>
        </w:tc>
        <w:tc>
          <w:tcPr>
            <w:tcW w:type="dxa" w:w="1872"/>
            <w:shd w:val="clear" w:color="auto" w:fill="F6F8FA"/>
          </w:tcPr>
          <w:p>
            <w:r/>
            <w:r>
              <w:rPr>
                <w:sz w:val="18"/>
              </w:rPr>
              <w:t>529.5 MB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7,520.5 MB</w:t>
            </w:r>
          </w:p>
        </w:tc>
        <w:tc>
          <w:tcPr>
            <w:tcW w:type="dxa" w:w="3312"/>
            <w:shd w:val="clear" w:color="auto" w:fill="F6F8FA"/>
          </w:tcPr>
          <w:p>
            <w:r/>
            <w:r>
              <w:rPr>
                <w:sz w:val="18"/>
              </w:rPr>
              <w:t>Sampled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2013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476.5 MB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6,700.0 MB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Sampled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8"/>
              </w:rPr>
              <w:t>2014</w:t>
            </w:r>
          </w:p>
        </w:tc>
        <w:tc>
          <w:tcPr>
            <w:tcW w:type="dxa" w:w="1872"/>
            <w:shd w:val="clear" w:color="auto" w:fill="F6F8FA"/>
          </w:tcPr>
          <w:p>
            <w:r/>
            <w:r>
              <w:rPr>
                <w:sz w:val="18"/>
              </w:rPr>
              <w:t>331.4 MB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4,674.6 MB</w:t>
            </w:r>
          </w:p>
        </w:tc>
        <w:tc>
          <w:tcPr>
            <w:tcW w:type="dxa" w:w="3312"/>
            <w:shd w:val="clear" w:color="auto" w:fill="F6F8FA"/>
          </w:tcPr>
          <w:p>
            <w:r/>
            <w:r>
              <w:rPr>
                <w:sz w:val="18"/>
              </w:rPr>
              <w:t>Sampled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2015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461.1 MB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5,738.6 MB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Sampled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8"/>
              </w:rPr>
              <w:t>2016</w:t>
            </w:r>
          </w:p>
        </w:tc>
        <w:tc>
          <w:tcPr>
            <w:tcW w:type="dxa" w:w="1872"/>
            <w:shd w:val="clear" w:color="auto" w:fill="F6F8FA"/>
          </w:tcPr>
          <w:p>
            <w:r/>
            <w:r>
              <w:rPr>
                <w:sz w:val="18"/>
              </w:rPr>
              <w:t>457.1 MB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6,506.6 MB</w:t>
            </w:r>
          </w:p>
        </w:tc>
        <w:tc>
          <w:tcPr>
            <w:tcW w:type="dxa" w:w="3312"/>
            <w:shd w:val="clear" w:color="auto" w:fill="F6F8FA"/>
          </w:tcPr>
          <w:p>
            <w:r/>
            <w:r>
              <w:rPr>
                <w:sz w:val="18"/>
              </w:rPr>
              <w:t>Sampled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2017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247.2 MB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5,630.6 MB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Sampled</w:t>
            </w:r>
          </w:p>
        </w:tc>
      </w:tr>
    </w:tbl>
    <w:p/>
    <w:p>
      <w:r>
        <w:rPr>
          <w:b w:val="0"/>
          <w:i w:val="0"/>
        </w:rPr>
        <w:t>The 9 usable years total roughly 55 GB uncompressed nationwide; the ~1%-per-year sample yields the 715,927-row working file described in Section 4. Column renaming to a modern-schema-style naming convention (derived_race, derived_sex, income, loan_amount, etc.) and target derivation (high_cost_flag = rate_spread.notna()) happen at this stage; rate_spread/hoepa_status are dropped from the feature set entirely afterward to avoid leaking the label.</w:t>
      </w:r>
    </w:p>
    <w:p>
      <w:pPr>
        <w:pStyle w:val="Heading2"/>
      </w:pPr>
      <w:r>
        <w:t>2.3 Prepared file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5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518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Prepared file</w:t>
            </w:r>
          </w:p>
        </w:tc>
        <w:tc>
          <w:tcPr>
            <w:tcW w:type="dxa" w:w="144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144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87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In-memory size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HCDR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data/raw/home_credit/application_train.csv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307,511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341.0 MB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8"/>
              </w:rPr>
              <w:t>HMDA</w:t>
            </w:r>
          </w:p>
        </w:tc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data/raw/hmda/hmda_nationwide_2008_2017_sample.csv</w:t>
            </w:r>
          </w:p>
        </w:tc>
        <w:tc>
          <w:tcPr>
            <w:tcW w:type="dxa" w:w="1440"/>
            <w:shd w:val="clear" w:color="auto" w:fill="F6F8FA"/>
          </w:tcPr>
          <w:p>
            <w:r/>
            <w:r>
              <w:rPr>
                <w:sz w:val="18"/>
              </w:rPr>
              <w:t>715,927</w:t>
            </w:r>
          </w:p>
        </w:tc>
        <w:tc>
          <w:tcPr>
            <w:tcW w:type="dxa" w:w="1440"/>
            <w:shd w:val="clear" w:color="auto" w:fill="F6F8FA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872"/>
            <w:shd w:val="clear" w:color="auto" w:fill="F6F8FA"/>
          </w:tcPr>
          <w:p>
            <w:r/>
            <w:r>
              <w:rPr>
                <w:sz w:val="18"/>
              </w:rPr>
              <w:t>294.1 MB</w:t>
            </w:r>
          </w:p>
        </w:tc>
      </w:tr>
    </w:tbl>
    <w:p/>
    <w:p>
      <w:r>
        <w:br w:type="page"/>
      </w:r>
    </w:p>
    <w:p>
      <w:pPr>
        <w:pStyle w:val="Heading1"/>
      </w:pPr>
      <w:r>
        <w:t>3. Home Credit Default Risk (HCDR) — Detailed EDA</w:t>
      </w:r>
    </w:p>
    <w:p>
      <w:pPr>
        <w:pStyle w:val="Heading2"/>
      </w:pPr>
      <w:r>
        <w:t>3.1 Structure &amp; Data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75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5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Rows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307,511</w:t>
            </w:r>
          </w:p>
        </w:tc>
      </w:tr>
      <w:tr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Columns</w:t>
            </w:r>
          </w:p>
        </w:tc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122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Duplicate rows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Numeric columns</w:t>
            </w:r>
          </w:p>
        </w:tc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106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Categorical (object) columns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In-memory footprint</w:t>
            </w:r>
          </w:p>
        </w:tc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341.0 MB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Columns with any missing values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67 of 122</w:t>
            </w:r>
          </w:p>
        </w:tc>
      </w:tr>
      <w:tr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Columns with &gt;50% missing</w:t>
            </w:r>
          </w:p>
        </w:tc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41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Overall missing-cell rate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24.40%</w:t>
            </w:r>
          </w:p>
        </w:tc>
      </w:tr>
    </w:tbl>
    <w:p/>
    <w:p>
      <w:r>
        <w:rPr>
          <w:b w:val="0"/>
          <w:i w:val="0"/>
        </w:rPr>
        <w:t>The dtype mix is 65 × float64, 41 × int64, 16 × str.</w:t>
      </w:r>
    </w:p>
    <w:p>
      <w:pPr>
        <w:pStyle w:val="Heading2"/>
      </w:pPr>
      <w:r>
        <w:t>3.2 Target Variable (TARGET)</w:t>
      </w:r>
    </w:p>
    <w:p>
      <w:r>
        <w:rPr>
          <w:b w:val="0"/>
          <w:i w:val="0"/>
        </w:rPr>
        <w:t>TARGET = 1 indicates a client with payment difficulties (late payment beyond a defined threshold on at least one of the first several installments); TARGET = 0 covers all other cases. The dataset is heavily imbalanced, which is why the downstream pipeline reports PR-AUC and Brier score alongside ROC-AUC, not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Proportion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282,686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91.93%</w:t>
            </w:r>
          </w:p>
        </w:tc>
      </w:tr>
      <w:tr>
        <w:tc>
          <w:tcPr>
            <w:tcW w:type="dxa" w:w="2160"/>
            <w:shd w:val="clear" w:color="auto" w:fill="F6F8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24,825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8.07%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3272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72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3.1 — TARGET class distribution.</w:t>
      </w:r>
    </w:p>
    <w:p>
      <w:pPr>
        <w:pStyle w:val="Heading2"/>
      </w:pPr>
      <w:r>
        <w:t>3.3 Missingness</w:t>
      </w:r>
    </w:p>
    <w:p>
      <w:r>
        <w:rPr>
          <w:b w:val="0"/>
          <w:i w:val="0"/>
        </w:rPr>
        <w:t>67 of 122 columns have at least one missing value; 41 columns are missing in more than half of rows — dominated by building/apartment characteristic fields (COMMONAREA_*, NONLIVINGAPARTMENTS_*, LIVINGAPARTMENTS_*, FLOORSMIN_*, YEARS_BUILD_*), which are optional third-party enrichment fields, not universally populated for every applicant.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8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Missing fraction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COMMONAREA_AVG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69.87%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COMMONAREA_MODE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69.87%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COMMONAREA_MEDI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69.87%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NONLIVINGAPARTMENTS_MEDI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69.43%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NONLIVINGAPARTMENTS_MODE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69.43%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NONLIVINGAPARTMENTS_AVG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69.43%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FONDKAPREMONT_MODE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68.39%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LIVINGAPARTMENTS_AVG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68.35%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LIVINGAPARTMENTS_MEDI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68.35%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LIVINGAPARTMENTS_MODE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68.35%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FLOORSMIN_MODE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67.85%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FLOORSMIN_AVG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67.85%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FLOORSMIN_MEDI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67.85%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YEARS_BUILD_AVG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66.50%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YEARS_BUILD_MODE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66.50%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YEARS_BUILD_MEDI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66.50%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OWN_CAR_AGE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65.99%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LANDAREA_MEDI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59.38%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LANDAREA_AVG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59.38%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LANDAREA_MODE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59.38%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15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3.2 — Top-20 columns by missing-value fraction.</w:t>
      </w:r>
    </w:p>
    <w:p>
      <w:pPr>
        <w:pStyle w:val="Heading2"/>
      </w:pPr>
      <w:r>
        <w:t>3.4 Numeric Feature Summary Statistics</w:t>
      </w:r>
    </w:p>
    <w:p>
      <w:r>
        <w:rPr>
          <w:b w:val="0"/>
          <w:i w:val="0"/>
        </w:rPr>
        <w:t>Descriptive statistics for the key numeric fields (financial amounts, tenure/day fields, and external bureau scores):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Std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25%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Median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75%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Max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AMT_INCOME_TOTAL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168,797.92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237,123.15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25,650.00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112,500.00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147,150.00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202,500.00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117,000,000.00</w:t>
            </w:r>
          </w:p>
        </w:tc>
      </w:tr>
      <w:tr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AMT_CREDIT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599,026.00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402,490.78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45,000.00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270,000.00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513,531.00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808,650.00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4,050,000.00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AMT_ANNUITY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27,108.57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14,493.74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1,615.50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16,524.00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24,903.00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34,596.00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258,025.50</w:t>
            </w:r>
          </w:p>
        </w:tc>
      </w:tr>
      <w:tr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AMT_GOODS_PRICE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538,396.21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369,446.46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40,500.00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238,500.00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450,000.00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679,500.00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4,050,000.00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DAYS_BIRTH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-16,037.00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4,363.99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-25,229.00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-19,682.00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-15,750.00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-12,413.00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-7,489.00</w:t>
            </w:r>
          </w:p>
        </w:tc>
      </w:tr>
      <w:tr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DAYS_EMPLOYED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63,815.05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141,275.77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-17,912.00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-2,760.00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-1,213.00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-289.00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365,243.00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CNT_CHILDREN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0.42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0.72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19.00</w:t>
            </w:r>
          </w:p>
        </w:tc>
      </w:tr>
      <w:tr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CNT_FAM_MEMBERS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2.15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0.91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3.00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20.00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EXT_SOURCE_1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0.50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0.01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0.33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0.51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0.68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0.96</w:t>
            </w:r>
          </w:p>
        </w:tc>
      </w:tr>
      <w:tr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EXT_SOURCE_2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0.51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0.19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0.39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0.57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0.66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0.85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EXT_SOURCE_3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0.51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0.19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0.37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0.54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0.67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0.90</w:t>
            </w:r>
          </w:p>
        </w:tc>
      </w:tr>
      <w:tr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OWN_CAR_AGE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12.06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11.94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5.00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9.00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15.00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91.00</w:t>
            </w:r>
          </w:p>
        </w:tc>
      </w:tr>
    </w:tbl>
    <w:p/>
    <w:p>
      <w:r>
        <w:rPr>
          <w:b w:val="0"/>
          <w:i w:val="0"/>
        </w:rPr>
        <w:t>DAYS_BIRTH and DAYS_EMPLOYED are negative day-counts relative to the application date (Home Credit's convention). Converting DAYS_BIRTH to years gives an applicant age range of 20.5–69.1 years (mean 43.9).</w:t>
      </w:r>
    </w:p>
    <w:p>
      <w:pPr>
        <w:pStyle w:val="Heading3"/>
      </w:pPr>
      <w:r>
        <w:t>Known anomaly: DAYS_EMPLOYED sentinel value</w:t>
      </w:r>
    </w:p>
    <w:p>
      <w:r>
        <w:rPr>
          <w:b w:val="0"/>
          <w:i w:val="0"/>
        </w:rPr>
        <w:t>DAYS_EMPLOYED contains a widely documented Home Credit data-quality artifact: the sentinel value 365,243 (≈ 1,000 years), used to flag unemployed/pensioner/non-working applicants rather than a true tenure. This affects 55,374 rows (18.01% of the dataset) and should be treated as a missing/categorical flag rather than a numeric outlier during feature engineering.</w:t>
      </w:r>
    </w:p>
    <w:p>
      <w:pPr>
        <w:pStyle w:val="Heading2"/>
      </w:pPr>
      <w:r>
        <w:t>3.5 Numeric Distributions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14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distribu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1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3.3 — Distributions of key numeric features.</w:t>
      </w:r>
    </w:p>
    <w:p>
      <w:pPr>
        <w:pStyle w:val="Heading2"/>
      </w:pPr>
      <w:r>
        <w:t>3.6 Categorical Feature Distributions</w:t>
      </w:r>
    </w:p>
    <w:p>
      <w:r>
        <w:rPr>
          <w:b w:val="0"/>
          <w:i w:val="0"/>
        </w:rPr>
        <w:t>Top categories for the primary categorical fields (dropna=False, so missing values appear as NaN where present):</w:t>
      </w:r>
    </w:p>
    <w:p>
      <w:pPr>
        <w:pStyle w:val="Heading3"/>
      </w:pPr>
      <w:r>
        <w:t>NAME_CONTRACT_TYPE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Cash loans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278,232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90.48%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Revolving loans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29,279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9.52%</w:t>
            </w:r>
          </w:p>
        </w:tc>
      </w:tr>
    </w:tbl>
    <w:p/>
    <w:p>
      <w:pPr>
        <w:pStyle w:val="Heading3"/>
      </w:pPr>
      <w:r>
        <w:t>CODE_GENDER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202,448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65.83%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M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105,059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34.16%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XNA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0.00%</w:t>
            </w:r>
          </w:p>
        </w:tc>
      </w:tr>
    </w:tbl>
    <w:p/>
    <w:p>
      <w:pPr>
        <w:pStyle w:val="Heading3"/>
      </w:pPr>
      <w:r>
        <w:t>FLAG_OWN_CAR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202,924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65.99%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104,587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34.01%</w:t>
            </w:r>
          </w:p>
        </w:tc>
      </w:tr>
    </w:tbl>
    <w:p/>
    <w:p>
      <w:pPr>
        <w:pStyle w:val="Heading3"/>
      </w:pPr>
      <w:r>
        <w:t>FLAG_OWN_REALTY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213,312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69.37%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94,199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30.63%</w:t>
            </w:r>
          </w:p>
        </w:tc>
      </w:tr>
    </w:tbl>
    <w:p/>
    <w:p>
      <w:pPr>
        <w:pStyle w:val="Heading3"/>
      </w:pPr>
      <w:r>
        <w:t>NAME_INCOME_TYPE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Working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158,774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51.63%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Commercial associate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71,617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23.29%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Pensioner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55,362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18.00%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State servant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21,703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7.06%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Unemployed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0.01%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Student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0.01%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Businessman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0.00%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Maternity leave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0.00%</w:t>
            </w:r>
          </w:p>
        </w:tc>
      </w:tr>
    </w:tbl>
    <w:p/>
    <w:p>
      <w:pPr>
        <w:pStyle w:val="Heading3"/>
      </w:pPr>
      <w:r>
        <w:t>NAME_EDUCATION_TYPE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Secondary / secondary special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218,391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71.02%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Higher education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74,863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24.34%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Incomplete higher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10,277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3.34%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Lower secondary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3,816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1.24%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Academic degree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164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0.05%</w:t>
            </w:r>
          </w:p>
        </w:tc>
      </w:tr>
    </w:tbl>
    <w:p/>
    <w:p>
      <w:pPr>
        <w:pStyle w:val="Heading3"/>
      </w:pPr>
      <w:r>
        <w:t>NAME_FAMILY_STATUS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Married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196,432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63.88%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Single / not married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45,444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14.78%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Civil marriage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29,775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9.68%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Separated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19,770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6.43%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Widow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16,088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5.23%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Unknown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0.00%</w:t>
            </w:r>
          </w:p>
        </w:tc>
      </w:tr>
    </w:tbl>
    <w:p/>
    <w:p>
      <w:pPr>
        <w:pStyle w:val="Heading3"/>
      </w:pPr>
      <w:r>
        <w:t>NAME_HOUSING_TYPE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House / apartment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272,868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88.73%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With parents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14,840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4.83%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Municipal apartment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11,183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3.64%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Rented apartment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4,881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1.59%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Office apartment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2,617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0.85%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Co-op apartment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1,122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0.36%</w:t>
            </w:r>
          </w:p>
        </w:tc>
      </w:tr>
    </w:tbl>
    <w:p/>
    <w:p>
      <w:pPr>
        <w:pStyle w:val="Heading2"/>
      </w:pPr>
      <w:r>
        <w:t>3.7 Correlation with Target</w:t>
      </w:r>
    </w:p>
    <w:p>
      <w:r>
        <w:rPr>
          <w:b w:val="0"/>
          <w:i w:val="0"/>
        </w:rPr>
        <w:t>Pearson correlation of numeric columns with TARGET (top 20 by absolute value). The strongest signals are the three external bureau-score fields (EXT_SOURCE_1/2/3), all negatively correlated with default — higher external score, lower default risk — consistent with these being purpose-built risk scores from other data 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8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68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Correlation with TARGET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EXT_SOURCE_3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-0.1789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EXT_SOURCE_2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-0.1605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EXT_SOURCE_1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-0.1553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DAYS_BIRTH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+0.0782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REGION_RATING_CLIENT_W_CITY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+0.0609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REGION_RATING_CLIENT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+0.0589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DAYS_LAST_PHONE_CHANGE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+0.0552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DAYS_ID_PUBLISH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+0.0515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REG_CITY_NOT_WORK_CITY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+0.0510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FLAG_EMP_PHONE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+0.0460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DAYS_EMPLOYED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-0.0449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REG_CITY_NOT_LIVE_CITY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+0.0444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FLAG_DOCUMENT_3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+0.0443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FLOORSMAX_AVG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-0.0440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FLOORSMAX_MEDI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-0.0438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FLOORSMAX_MODE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-0.0432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DAYS_REGISTRATION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+0.0420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AMT_GOODS_PRICE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-0.0396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OWN_CAR_AGE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+0.0376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REGION_POPULATION_RELATIVE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-0.0372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246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3.4 — Correlation heatmap, top-15 correlated features + TARGET.</w:t>
      </w:r>
    </w:p>
    <w:p>
      <w:pPr>
        <w:pStyle w:val="Heading2"/>
      </w:pPr>
      <w:r>
        <w:t>3.8 Target Rate by Protected Attribute</w:t>
      </w:r>
    </w:p>
    <w:p>
      <w:r>
        <w:rPr>
          <w:b w:val="0"/>
          <w:i w:val="0"/>
        </w:rPr>
        <w:t>The pipeline audits fairness on CODE_GENDER and a derived AGE_GROUP (bucketed from DAYS_BIRTH). The EDA-level group default rates below are the early-warning signal that motivates the fairness audit / bias-mitigation stages later in the pipeline.</w:t>
      </w:r>
    </w:p>
    <w:p>
      <w:pPr>
        <w:pStyle w:val="Heading3"/>
      </w:pPr>
      <w:r>
        <w:t>CODE_GENDER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74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Default rate (mean TARGET)</w:t>
            </w:r>
          </w:p>
        </w:tc>
        <w:tc>
          <w:tcPr>
            <w:tcW w:type="dxa" w:w="230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10.14%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105,059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7.00%</w:t>
            </w:r>
          </w:p>
        </w:tc>
        <w:tc>
          <w:tcPr>
            <w:tcW w:type="dxa" w:w="2304"/>
            <w:shd w:val="clear" w:color="auto" w:fill="F6F8FA"/>
          </w:tcPr>
          <w:p>
            <w:r/>
            <w:r>
              <w:rPr>
                <w:sz w:val="18"/>
              </w:rPr>
              <w:t>202,448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XNA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0.00%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1694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rate_by_CODE_GEN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6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— TARGET rate by CODE_GENDER.</w:t>
      </w:r>
    </w:p>
    <w:p>
      <w:pPr>
        <w:pStyle w:val="Heading3"/>
      </w:pPr>
      <w:r>
        <w:t>AGE_GROUP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74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Default rate (mean TARGET)</w:t>
            </w:r>
          </w:p>
        </w:tc>
        <w:tc>
          <w:tcPr>
            <w:tcW w:type="dxa" w:w="230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&lt;25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12.29%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12,233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25-34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10.66%</w:t>
            </w:r>
          </w:p>
        </w:tc>
        <w:tc>
          <w:tcPr>
            <w:tcW w:type="dxa" w:w="2304"/>
            <w:shd w:val="clear" w:color="auto" w:fill="F6F8FA"/>
          </w:tcPr>
          <w:p>
            <w:r/>
            <w:r>
              <w:rPr>
                <w:sz w:val="18"/>
              </w:rPr>
              <w:t>72,429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35-44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8.41%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84,261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45-54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7.05%</w:t>
            </w:r>
          </w:p>
        </w:tc>
        <w:tc>
          <w:tcPr>
            <w:tcW w:type="dxa" w:w="2304"/>
            <w:shd w:val="clear" w:color="auto" w:fill="F6F8FA"/>
          </w:tcPr>
          <w:p>
            <w:r/>
            <w:r>
              <w:rPr>
                <w:sz w:val="18"/>
              </w:rPr>
              <w:t>70,190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55-64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5.42%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60,522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65+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3.66%</w:t>
            </w:r>
          </w:p>
        </w:tc>
        <w:tc>
          <w:tcPr>
            <w:tcW w:type="dxa" w:w="2304"/>
            <w:shd w:val="clear" w:color="auto" w:fill="F6F8FA"/>
          </w:tcPr>
          <w:p>
            <w:r/>
            <w:r>
              <w:rPr>
                <w:sz w:val="18"/>
              </w:rPr>
              <w:t>7,876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2342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rate_by_AGE_GRO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3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— TARGET rate by AGE_GROUP.</w:t>
      </w:r>
    </w:p>
    <w:p>
      <w:pPr>
        <w:pStyle w:val="Heading3"/>
      </w:pPr>
      <w:r>
        <w:t>Note on CODE_GENDER = 'XNA'</w:t>
      </w:r>
    </w:p>
    <w:p>
      <w:r>
        <w:rPr>
          <w:b w:val="0"/>
          <w:i w:val="0"/>
        </w:rPr>
        <w:t>A small number of rows (4) carry CODE_GENDER = 'XNA' (gender not recorded / not applicable), all with TARGET = 0 in this sample — too few rows to be a stable group-fairness signal and typically dropped or grouped into 'Other' during modeling.</w:t>
      </w:r>
    </w:p>
    <w:p>
      <w:r>
        <w:br w:type="page"/>
      </w:r>
    </w:p>
    <w:p>
      <w:pPr>
        <w:pStyle w:val="Heading1"/>
      </w:pPr>
      <w:r>
        <w:t>4. HMDA — Detailed EDA</w:t>
      </w:r>
    </w:p>
    <w:p>
      <w:pPr>
        <w:pStyle w:val="Heading2"/>
      </w:pPr>
      <w:r>
        <w:t>4.1 Structure &amp; Data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75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5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Rows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715,927</w:t>
            </w:r>
          </w:p>
        </w:tc>
      </w:tr>
      <w:tr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Columns</w:t>
            </w:r>
          </w:p>
        </w:tc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22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Duplicate rows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Numeric columns</w:t>
            </w:r>
          </w:p>
        </w:tc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Categorical (object) columns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In-memory footprint</w:t>
            </w:r>
          </w:p>
        </w:tc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294.1 MB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8"/>
              </w:rPr>
              <w:t>Columns with any missing values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9 of 22</w:t>
            </w:r>
          </w:p>
        </w:tc>
      </w:tr>
      <w:tr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Overall missing-cell rate</w:t>
            </w:r>
          </w:p>
        </w:tc>
        <w:tc>
          <w:tcPr>
            <w:tcW w:type="dxa" w:w="4752"/>
            <w:shd w:val="clear" w:color="auto" w:fill="F6F8FA"/>
          </w:tcPr>
          <w:p>
            <w:r/>
            <w:r>
              <w:rPr>
                <w:sz w:val="18"/>
              </w:rPr>
              <w:t>0.54%</w:t>
            </w:r>
          </w:p>
        </w:tc>
      </w:tr>
    </w:tbl>
    <w:p/>
    <w:p>
      <w:r>
        <w:rPr>
          <w:b w:val="0"/>
          <w:i w:val="0"/>
        </w:rPr>
        <w:t>Rows by origination year (as_of_year) in the ~1%-per-year sample: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88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Sampled rows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71,614</w:t>
            </w:r>
          </w:p>
        </w:tc>
      </w:tr>
      <w:tr>
        <w:tc>
          <w:tcPr>
            <w:tcW w:type="dxa" w:w="2160"/>
            <w:shd w:val="clear" w:color="auto" w:fill="F6F8FA"/>
          </w:tcPr>
          <w:p>
            <w:r/>
            <w:r>
              <w:rPr>
                <w:sz w:val="18"/>
              </w:rPr>
              <w:t>2009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89,200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79,294</w:t>
            </w:r>
          </w:p>
        </w:tc>
      </w:tr>
      <w:tr>
        <w:tc>
          <w:tcPr>
            <w:tcW w:type="dxa" w:w="2160"/>
            <w:shd w:val="clear" w:color="auto" w:fill="F6F8FA"/>
          </w:tcPr>
          <w:p>
            <w:r/>
            <w:r>
              <w:rPr>
                <w:sz w:val="18"/>
              </w:rPr>
              <w:t>2012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97,785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87,163</w:t>
            </w:r>
          </w:p>
        </w:tc>
      </w:tr>
      <w:tr>
        <w:tc>
          <w:tcPr>
            <w:tcW w:type="dxa" w:w="2160"/>
            <w:shd w:val="clear" w:color="auto" w:fill="F6F8FA"/>
          </w:tcPr>
          <w:p>
            <w:r/>
            <w:r>
              <w:rPr>
                <w:sz w:val="18"/>
              </w:rPr>
              <w:t>2014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60,300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73,604</w:t>
            </w:r>
          </w:p>
        </w:tc>
      </w:tr>
      <w:tr>
        <w:tc>
          <w:tcPr>
            <w:tcW w:type="dxa" w:w="2160"/>
            <w:shd w:val="clear" w:color="auto" w:fill="F6F8FA"/>
          </w:tcPr>
          <w:p>
            <w:r/>
            <w:r>
              <w:rPr>
                <w:sz w:val="18"/>
              </w:rPr>
              <w:t>2016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83,888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73,079</w:t>
            </w:r>
          </w:p>
        </w:tc>
      </w:tr>
    </w:tbl>
    <w:p/>
    <w:p>
      <w:pPr>
        <w:pStyle w:val="Heading2"/>
      </w:pPr>
      <w:r>
        <w:t>4.2 Target Variable (high_cost_flag)</w:t>
      </w:r>
    </w:p>
    <w:p>
      <w:r>
        <w:rPr>
          <w:b w:val="0"/>
          <w:i w:val="0"/>
        </w:rPr>
        <w:t>high_cost_flag = 1 marks a higher-priced/HOEPA-reportable loan (rate_spread was reported, meaning APR exceeded the pre-2018 Reg Z threshold); 0 otherwise. Like HCDR's TARGET, this is a minority-class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high_cost_flag</w:t>
            </w:r>
          </w:p>
        </w:tc>
        <w:tc>
          <w:tcPr>
            <w:tcW w:type="dxa" w:w="288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Proportion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674,625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94.23%</w:t>
            </w:r>
          </w:p>
        </w:tc>
      </w:tr>
      <w:tr>
        <w:tc>
          <w:tcPr>
            <w:tcW w:type="dxa" w:w="2592"/>
            <w:shd w:val="clear" w:color="auto" w:fill="F6F8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41,302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5.77%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32725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72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4.1 — high_cost_flag class distribution.</w:t>
      </w:r>
    </w:p>
    <w:p>
      <w:pPr>
        <w:pStyle w:val="Heading2"/>
      </w:pPr>
      <w:r>
        <w:t>4.3 Missingness</w:t>
      </w:r>
    </w:p>
    <w:p>
      <w:r>
        <w:rPr>
          <w:b w:val="0"/>
          <w:i w:val="0"/>
        </w:rPr>
        <w:t>All 9 columns with missing data have low missing fractions (under 8%); the largest gaps are in applicant-reported income and census-tract enrichment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8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Missing fraction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income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7.25%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number_of_owner_occupied_units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0.72%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number_of_1_to_4_family_units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0.71%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tract_to_msamd_income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0.71%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minority_population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0.70%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population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0.70%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hud_median_family_income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0.69%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state_code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0.47%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loan_amount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127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n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2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4.2 — Missing-value fraction by column.</w:t>
      </w:r>
    </w:p>
    <w:p>
      <w:pPr>
        <w:pStyle w:val="Heading2"/>
      </w:pPr>
      <w:r>
        <w:t>4.4 Numeric Feature 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Std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25%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Median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75%</w:t>
            </w:r>
          </w:p>
        </w:tc>
        <w:tc>
          <w:tcPr>
            <w:tcW w:type="dxa" w:w="1218"/>
            <w:shd w:val="clear" w:color="auto" w:fill="14324D"/>
          </w:tcPr>
          <w:p>
            <w:r/>
            <w:r>
              <w:rPr>
                <w:b/>
                <w:color w:val="FFFFFF"/>
                <w:sz w:val="16"/>
              </w:rPr>
              <w:t>Max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loan_amount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225,499.51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557,065.25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1,000.00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107,000.00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173,000.00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272,000.00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99,999,000.00</w:t>
            </w:r>
          </w:p>
        </w:tc>
      </w:tr>
      <w:tr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income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111.62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201.30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53.00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82.00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126.00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69,000.00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population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5,534.71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2,790.09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3,802.00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5,075.00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6,636.00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53,812.00</w:t>
            </w:r>
          </w:p>
        </w:tc>
      </w:tr>
      <w:tr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minority_population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26.59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24.05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8.38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18.23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37.10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100.00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hud_median_family_income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68,856.55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14,447.93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14,400.00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59,700.00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66,900.00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75,500.00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131,500.00</w:t>
            </w:r>
          </w:p>
        </w:tc>
      </w:tr>
      <w:tr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tract_to_msamd_income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117.98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40.60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92.11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111.69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136.54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499.35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number_of_owner_occupied_units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1,494.48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794.94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983.00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1,378.00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1,849.00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19,529.00</w:t>
            </w:r>
          </w:p>
        </w:tc>
      </w:tr>
      <w:tr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number_of_1_to_4_family_units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1,932.55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979.68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0.00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1,315.00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1,777.00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2,353.00</w:t>
            </w:r>
          </w:p>
        </w:tc>
        <w:tc>
          <w:tcPr>
            <w:tcW w:type="dxa" w:w="1218"/>
            <w:shd w:val="clear" w:color="auto" w:fill="F6F8FA"/>
          </w:tcPr>
          <w:p>
            <w:r/>
            <w:r>
              <w:rPr>
                <w:sz w:val="16"/>
              </w:rPr>
              <w:t>25,391.00</w:t>
            </w:r>
          </w:p>
        </w:tc>
      </w:tr>
    </w:tbl>
    <w:p/>
    <w:p>
      <w:r>
        <w:rPr>
          <w:b w:val="0"/>
          <w:i w:val="0"/>
        </w:rPr>
        <w:t>loan_amount is reported in whole dollars (converted from the raw loan_amount_000s field). income is applicant-reported annual income in thousands of dollars, per HMDA convention.</w:t>
      </w:r>
    </w:p>
    <w:p>
      <w:pPr>
        <w:pStyle w:val="Heading2"/>
      </w:pPr>
      <w:r>
        <w:t>4.5 Numeric Distributions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663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distribu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66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4.3 — Distributions of key numeric features.</w:t>
      </w:r>
    </w:p>
    <w:p>
      <w:pPr>
        <w:pStyle w:val="Heading2"/>
      </w:pPr>
      <w:r>
        <w:t>4.6 Categorical Feature Distributions</w:t>
      </w:r>
    </w:p>
    <w:p>
      <w:pPr>
        <w:pStyle w:val="Heading3"/>
      </w:pPr>
      <w:r>
        <w:t>loan_type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Conventional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545,411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76.18%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FHA-insured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114,853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16.04%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VA-guaranteed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45,283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6.33%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FSA/RHS-guaranteed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10,380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1.45%</w:t>
            </w:r>
          </w:p>
        </w:tc>
      </w:tr>
    </w:tbl>
    <w:p/>
    <w:p>
      <w:pPr>
        <w:pStyle w:val="Heading3"/>
      </w:pPr>
      <w:r>
        <w:t>property_type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One-to-four family dwelling (other than manufactured housing)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700,400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97.83%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Manufactured housing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12,530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1.75%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Multifamily dwelling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2,997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0.42%</w:t>
            </w:r>
          </w:p>
        </w:tc>
      </w:tr>
    </w:tbl>
    <w:p/>
    <w:p>
      <w:pPr>
        <w:pStyle w:val="Heading3"/>
      </w:pPr>
      <w:r>
        <w:t>loan_purpose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Refinancing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379,251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52.97%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Home purchase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295,612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41.29%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Home improvement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41,064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5.74%</w:t>
            </w:r>
          </w:p>
        </w:tc>
      </w:tr>
    </w:tbl>
    <w:p/>
    <w:p>
      <w:pPr>
        <w:pStyle w:val="Heading3"/>
      </w:pPr>
      <w:r>
        <w:t>occupancy_type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Owner-occupied as a principal dwelling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639,316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89.30%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Not owner-occupied as a principal dwelling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72,832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10.17%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Not applicable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3,779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0.53%</w:t>
            </w:r>
          </w:p>
        </w:tc>
      </w:tr>
    </w:tbl>
    <w:p/>
    <w:p>
      <w:pPr>
        <w:pStyle w:val="Heading3"/>
      </w:pPr>
      <w:r>
        <w:t>preapproval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Not applicable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591,607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82.64%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Preapproval was not requested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103,067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14.40%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Preapproval was requested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21,253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2.97%</w:t>
            </w:r>
          </w:p>
        </w:tc>
      </w:tr>
    </w:tbl>
    <w:p/>
    <w:p>
      <w:pPr>
        <w:pStyle w:val="Heading3"/>
      </w:pPr>
      <w:r>
        <w:t>lien_status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Secured by a first lien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679,901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94.97%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Secured by a subordinate lien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22,227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3.10%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Not secured by a lien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13,799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1.93%</w:t>
            </w:r>
          </w:p>
        </w:tc>
      </w:tr>
    </w:tbl>
    <w:p/>
    <w:p>
      <w:pPr>
        <w:pStyle w:val="Heading3"/>
      </w:pPr>
      <w:r>
        <w:t>purchaser_type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Loan was not originated or was not sold in calendar year covered by register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186,880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26.10%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Fannie Mae (FNMA)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149,547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20.89%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Freddie Mac (FHLMC)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95,037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13.27%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Ginnie Mae (GNMA)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75,427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10.54%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Commercial bank, savings bank or savings association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74,164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10.36%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Life insurance company, credit union, mortgage bank, or finance company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54,570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7.62%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Other type of purchaser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50,689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7.08%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Affiliate institution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25,498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3.56%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Private securitization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4,063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0.57%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Farmer Mac (FAMC)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0.01%</w:t>
            </w:r>
          </w:p>
        </w:tc>
      </w:tr>
    </w:tbl>
    <w:p/>
    <w:p>
      <w:pPr>
        <w:pStyle w:val="Heading3"/>
      </w:pPr>
      <w:r>
        <w:t>agency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Share of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HUD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249,196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34.81%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CFPB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150,569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21.03%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OCC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112,916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15.77%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FDIC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83,564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11.67%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NCUA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52,992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7.40%</w:t>
            </w:r>
          </w:p>
        </w:tc>
      </w:tr>
      <w:tr>
        <w:tc>
          <w:tcPr>
            <w:tcW w:type="dxa" w:w="4320"/>
            <w:shd w:val="clear" w:color="auto" w:fill="F6F8FA"/>
          </w:tcPr>
          <w:p>
            <w:r/>
            <w:r>
              <w:rPr>
                <w:sz w:val="17"/>
              </w:rPr>
              <w:t>FRS</w:t>
            </w:r>
          </w:p>
        </w:tc>
        <w:tc>
          <w:tcPr>
            <w:tcW w:type="dxa" w:w="2160"/>
            <w:shd w:val="clear" w:color="auto" w:fill="F6F8FA"/>
          </w:tcPr>
          <w:p>
            <w:r/>
            <w:r>
              <w:rPr>
                <w:sz w:val="17"/>
              </w:rPr>
              <w:t>36,840</w:t>
            </w:r>
          </w:p>
        </w:tc>
        <w:tc>
          <w:tcPr>
            <w:tcW w:type="dxa" w:w="2592"/>
            <w:shd w:val="clear" w:color="auto" w:fill="F6F8FA"/>
          </w:tcPr>
          <w:p>
            <w:r/>
            <w:r>
              <w:rPr>
                <w:sz w:val="17"/>
              </w:rPr>
              <w:t>5.15%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29,850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4.17%</w:t>
            </w:r>
          </w:p>
        </w:tc>
      </w:tr>
    </w:tbl>
    <w:p/>
    <w:p>
      <w:pPr>
        <w:pStyle w:val="Heading3"/>
      </w:pPr>
      <w:r>
        <w:t>Geographic spread (state_code, top 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880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89,526</w:t>
            </w:r>
          </w:p>
        </w:tc>
      </w:tr>
      <w:tr>
        <w:tc>
          <w:tcPr>
            <w:tcW w:type="dxa" w:w="2160"/>
            <w:shd w:val="clear" w:color="auto" w:fill="F6F8FA"/>
          </w:tcPr>
          <w:p>
            <w:r/>
            <w:r>
              <w:rPr>
                <w:sz w:val="18"/>
              </w:rPr>
              <w:t>TX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48,591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36,486</w:t>
            </w:r>
          </w:p>
        </w:tc>
      </w:tr>
      <w:tr>
        <w:tc>
          <w:tcPr>
            <w:tcW w:type="dxa" w:w="2160"/>
            <w:shd w:val="clear" w:color="auto" w:fill="F6F8FA"/>
          </w:tcPr>
          <w:p>
            <w:r/>
            <w:r>
              <w:rPr>
                <w:sz w:val="18"/>
              </w:rPr>
              <w:t>IL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30,149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27,685</w:t>
            </w:r>
          </w:p>
        </w:tc>
      </w:tr>
      <w:tr>
        <w:tc>
          <w:tcPr>
            <w:tcW w:type="dxa" w:w="2160"/>
            <w:shd w:val="clear" w:color="auto" w:fill="F6F8FA"/>
          </w:tcPr>
          <w:p>
            <w:r/>
            <w:r>
              <w:rPr>
                <w:sz w:val="18"/>
              </w:rPr>
              <w:t>OH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24,155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23,050</w:t>
            </w:r>
          </w:p>
        </w:tc>
      </w:tr>
      <w:tr>
        <w:tc>
          <w:tcPr>
            <w:tcW w:type="dxa" w:w="2160"/>
            <w:shd w:val="clear" w:color="auto" w:fill="F6F8FA"/>
          </w:tcPr>
          <w:p>
            <w:r/>
            <w:r>
              <w:rPr>
                <w:sz w:val="18"/>
              </w:rPr>
              <w:t>VA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22,984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22,589</w:t>
            </w:r>
          </w:p>
        </w:tc>
      </w:tr>
      <w:tr>
        <w:tc>
          <w:tcPr>
            <w:tcW w:type="dxa" w:w="2160"/>
            <w:shd w:val="clear" w:color="auto" w:fill="F6F8FA"/>
          </w:tcPr>
          <w:p>
            <w:r/>
            <w:r>
              <w:rPr>
                <w:sz w:val="18"/>
              </w:rPr>
              <w:t>GA</w:t>
            </w:r>
          </w:p>
        </w:tc>
        <w:tc>
          <w:tcPr>
            <w:tcW w:type="dxa" w:w="2880"/>
            <w:shd w:val="clear" w:color="auto" w:fill="F6F8FA"/>
          </w:tcPr>
          <w:p>
            <w:r/>
            <w:r>
              <w:rPr>
                <w:sz w:val="18"/>
              </w:rPr>
              <w:t>21,618</w:t>
            </w:r>
          </w:p>
        </w:tc>
      </w:tr>
    </w:tbl>
    <w:p/>
    <w:p>
      <w:pPr>
        <w:pStyle w:val="Heading2"/>
      </w:pPr>
      <w:r>
        <w:t>4.7 Correlation with Target</w:t>
      </w:r>
    </w:p>
    <w:p>
      <w:r>
        <w:rPr>
          <w:b w:val="0"/>
          <w:i w:val="0"/>
        </w:rPr>
        <w:t>Pearson correlation of numeric columns with high_cost_flag (top of list by absolute value). hud_median_family_income and tract_to_msamd_income (both proxies for local-area income level) show the strongest (negative) relationships — higher-income areas see fewer higher-priced loans — while minority_population shows a positive relationship, an EDA-level signal consistent with the documented literature on mortgage pricing disparities and the reason this dataset is used for a fairness 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8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456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Correlation with high_cost_flag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hud_median_family_income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-0.1074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tract_to_msamd_income</w:t>
            </w:r>
          </w:p>
        </w:tc>
        <w:tc>
          <w:tcPr>
            <w:tcW w:type="dxa" w:w="3456"/>
            <w:shd w:val="clear" w:color="auto" w:fill="F6F8FA"/>
          </w:tcPr>
          <w:p>
            <w:r/>
            <w:r>
              <w:rPr>
                <w:sz w:val="18"/>
              </w:rPr>
              <w:t>-0.0925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loan_amount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-0.0417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minority_population</w:t>
            </w:r>
          </w:p>
        </w:tc>
        <w:tc>
          <w:tcPr>
            <w:tcW w:type="dxa" w:w="3456"/>
            <w:shd w:val="clear" w:color="auto" w:fill="F6F8FA"/>
          </w:tcPr>
          <w:p>
            <w:r/>
            <w:r>
              <w:rPr>
                <w:sz w:val="18"/>
              </w:rPr>
              <w:t>+0.0416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income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-0.0412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number_of_owner_occupied_units</w:t>
            </w:r>
          </w:p>
        </w:tc>
        <w:tc>
          <w:tcPr>
            <w:tcW w:type="dxa" w:w="3456"/>
            <w:shd w:val="clear" w:color="auto" w:fill="F6F8FA"/>
          </w:tcPr>
          <w:p>
            <w:r/>
            <w:r>
              <w:rPr>
                <w:sz w:val="18"/>
              </w:rPr>
              <w:t>-0.0200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as_of_year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-0.0170</w:t>
            </w:r>
          </w:p>
        </w:tc>
      </w:tr>
      <w:tr>
        <w:tc>
          <w:tcPr>
            <w:tcW w:type="dxa" w:w="5184"/>
            <w:shd w:val="clear" w:color="auto" w:fill="F6F8FA"/>
          </w:tcPr>
          <w:p>
            <w:r/>
            <w:r>
              <w:rPr>
                <w:sz w:val="18"/>
              </w:rPr>
              <w:t>population</w:t>
            </w:r>
          </w:p>
        </w:tc>
        <w:tc>
          <w:tcPr>
            <w:tcW w:type="dxa" w:w="3456"/>
            <w:shd w:val="clear" w:color="auto" w:fill="F6F8FA"/>
          </w:tcPr>
          <w:p>
            <w:r/>
            <w:r>
              <w:rPr>
                <w:sz w:val="18"/>
              </w:rPr>
              <w:t>-0.0132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number_of_1_to_4_family_units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+0.0056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546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4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4.4 — Correlation heatmap, correlated features + high_cost_flag.</w:t>
      </w:r>
    </w:p>
    <w:p>
      <w:pPr>
        <w:pStyle w:val="Heading2"/>
      </w:pPr>
      <w:r>
        <w:t>4.8 Target Rate by Protected Attribute</w:t>
      </w:r>
    </w:p>
    <w:p>
      <w:r>
        <w:rPr>
          <w:b w:val="0"/>
          <w:i w:val="0"/>
        </w:rPr>
        <w:t>derived_race and derived_sex are the two protected attributes audited for this dataset. As with HCDR, these EDA-level gaps are the early-warning signal for the downstream fairness audit — note protected attributes are excluded from model features entirely and used only for post-hoc auditing.</w:t>
      </w:r>
    </w:p>
    <w:p>
      <w:pPr>
        <w:pStyle w:val="Heading3"/>
      </w:pPr>
      <w:r>
        <w:t>derived_race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74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168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high_cost_flag rate</w:t>
            </w:r>
          </w:p>
        </w:tc>
        <w:tc>
          <w:tcPr>
            <w:tcW w:type="dxa" w:w="230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Black or African American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11.59%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35,683</w:t>
            </w:r>
          </w:p>
        </w:tc>
      </w:tr>
      <w:tr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American Indian or Alaska Native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9.13%</w:t>
            </w:r>
          </w:p>
        </w:tc>
        <w:tc>
          <w:tcPr>
            <w:tcW w:type="dxa" w:w="2304"/>
            <w:shd w:val="clear" w:color="auto" w:fill="F6F8FA"/>
          </w:tcPr>
          <w:p>
            <w:r/>
            <w:r>
              <w:rPr>
                <w:sz w:val="18"/>
              </w:rPr>
              <w:t>3,963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White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5.88%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556,574</w:t>
            </w:r>
          </w:p>
        </w:tc>
      </w:tr>
      <w:tr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Native Hawaiian or Other Pacific Islander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5.40%</w:t>
            </w:r>
          </w:p>
        </w:tc>
        <w:tc>
          <w:tcPr>
            <w:tcW w:type="dxa" w:w="2304"/>
            <w:shd w:val="clear" w:color="auto" w:fill="F6F8FA"/>
          </w:tcPr>
          <w:p>
            <w:r/>
            <w:r>
              <w:rPr>
                <w:sz w:val="18"/>
              </w:rPr>
              <w:t>2,648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Race Not Available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3.83%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79,691</w:t>
            </w:r>
          </w:p>
        </w:tc>
      </w:tr>
      <w:tr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Asian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2.34%</w:t>
            </w:r>
          </w:p>
        </w:tc>
        <w:tc>
          <w:tcPr>
            <w:tcW w:type="dxa" w:w="2304"/>
            <w:shd w:val="clear" w:color="auto" w:fill="F6F8FA"/>
          </w:tcPr>
          <w:p>
            <w:r/>
            <w:r>
              <w:rPr>
                <w:sz w:val="18"/>
              </w:rPr>
              <w:t>37,368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078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rate_by_derived_ra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07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— high_cost_flag rate by derived_race.</w:t>
      </w:r>
    </w:p>
    <w:p>
      <w:pPr>
        <w:pStyle w:val="Heading3"/>
      </w:pPr>
      <w:r>
        <w:t>derived_sex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74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168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high_cost_flag rate</w:t>
            </w:r>
          </w:p>
        </w:tc>
        <w:tc>
          <w:tcPr>
            <w:tcW w:type="dxa" w:w="230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Female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7.11%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188,295</w:t>
            </w:r>
          </w:p>
        </w:tc>
      </w:tr>
      <w:tr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Male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8"/>
              </w:rPr>
              <w:t>5.52%</w:t>
            </w:r>
          </w:p>
        </w:tc>
        <w:tc>
          <w:tcPr>
            <w:tcW w:type="dxa" w:w="2304"/>
            <w:shd w:val="clear" w:color="auto" w:fill="F6F8FA"/>
          </w:tcPr>
          <w:p>
            <w:r/>
            <w:r>
              <w:rPr>
                <w:sz w:val="18"/>
              </w:rPr>
              <w:t>476,971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Sex Not Available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3.16%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50,661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8409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rate_by_derived_s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4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— high_cost_flag rate by derived_sex.</w:t>
      </w:r>
    </w:p>
    <w:p>
      <w:r>
        <w:br w:type="page"/>
      </w:r>
    </w:p>
    <w:p>
      <w:pPr>
        <w:pStyle w:val="Heading1"/>
      </w:pPr>
      <w:r>
        <w:t>5. Cross-Dataset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74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HCDR</w:t>
            </w:r>
          </w:p>
        </w:tc>
        <w:tc>
          <w:tcPr>
            <w:tcW w:type="dxa" w:w="3744"/>
            <w:shd w:val="clear" w:color="auto" w:fill="14324D"/>
          </w:tcPr>
          <w:p>
            <w:r/>
            <w:r>
              <w:rPr>
                <w:b/>
                <w:color w:val="FFFFFF"/>
                <w:sz w:val="18"/>
              </w:rPr>
              <w:t>HMDA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Rows / Columns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307,511 / 122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715,927 / 22</w:t>
            </w:r>
          </w:p>
        </w:tc>
      </w:tr>
      <w:tr>
        <w:tc>
          <w:tcPr>
            <w:tcW w:type="dxa" w:w="2592"/>
            <w:shd w:val="clear" w:color="auto" w:fill="F6F8FA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TARGET (loan default, binary)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high_cost_flag (higher-priced loan proxy, binary)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Target positive rate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8.07%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5.77%</w:t>
            </w:r>
          </w:p>
        </w:tc>
      </w:tr>
      <w:tr>
        <w:tc>
          <w:tcPr>
            <w:tcW w:type="dxa" w:w="2592"/>
            <w:shd w:val="clear" w:color="auto" w:fill="F6F8FA"/>
          </w:tcPr>
          <w:p>
            <w:r/>
            <w:r>
              <w:rPr>
                <w:sz w:val="18"/>
              </w:rPr>
              <w:t>Missingness profile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67 cols affected, up to ~70% in some cols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9 cols affected, all under 8%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Protected attributes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CODE_GENDER, AGE_GROUP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derived_race, derived_sex</w:t>
            </w:r>
          </w:p>
        </w:tc>
      </w:tr>
      <w:tr>
        <w:tc>
          <w:tcPr>
            <w:tcW w:type="dxa" w:w="2592"/>
            <w:shd w:val="clear" w:color="auto" w:fill="F6F8FA"/>
          </w:tcPr>
          <w:p>
            <w:r/>
            <w:r>
              <w:rPr>
                <w:sz w:val="18"/>
              </w:rPr>
              <w:t>Granularity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1 row per loan application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1 row per originated mortgage loan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Time coverage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Single snapshot (no explicit date range)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2008–2017 (9 usable years, ~1%/yr sample)</w:t>
            </w:r>
          </w:p>
        </w:tc>
      </w:tr>
      <w:tr>
        <w:tc>
          <w:tcPr>
            <w:tcW w:type="dxa" w:w="2592"/>
            <w:shd w:val="clear" w:color="auto" w:fill="F6F8FA"/>
          </w:tcPr>
          <w:p>
            <w:r/>
            <w:r>
              <w:rPr>
                <w:sz w:val="18"/>
              </w:rPr>
              <w:t>Pipeline role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Full pipeline: EDA → features → train/tune → evaluate → SHAP → fairness audit → mitigation</w:t>
            </w:r>
          </w:p>
        </w:tc>
        <w:tc>
          <w:tcPr>
            <w:tcW w:type="dxa" w:w="3744"/>
            <w:shd w:val="clear" w:color="auto" w:fill="F6F8FA"/>
          </w:tcPr>
          <w:p>
            <w:r/>
            <w:r>
              <w:rPr>
                <w:sz w:val="18"/>
              </w:rPr>
              <w:t>Fairness audit only (no default/approval model)</w:t>
            </w:r>
          </w:p>
        </w:tc>
      </w:tr>
    </w:tbl>
    <w:p/>
    <w:p>
      <w:r>
        <w:rPr>
          <w:b w:val="0"/>
          <w:i w:val="0"/>
        </w:rPr>
        <w:t>Both datasets exhibit class imbalance in their respective targets (~8% for TARGET, ~5.8% for high_cost_flag) and both show a measurable target-rate gap across at least one protected attribute at the raw EDA level, which is the empirical justification for running a fairness audit on each.</w:t>
      </w:r>
    </w:p>
    <w:p>
      <w:pPr>
        <w:pStyle w:val="Heading1"/>
      </w:pPr>
      <w:r>
        <w:t>6. Data Quality Notes &amp; Recommendations</w:t>
      </w:r>
    </w:p>
    <w:p>
      <w:pPr>
        <w:pStyle w:val="Heading2"/>
      </w:pPr>
      <w:r>
        <w:t>6.1 HCDR</w:t>
      </w:r>
    </w:p>
    <w:p>
      <w:pPr>
        <w:pStyle w:val="ListBullet"/>
      </w:pPr>
      <w:r>
        <w:rPr>
          <w:b/>
        </w:rPr>
        <w:t xml:space="preserve">DAYS_EMPLOYED = 365243 sentinel — </w:t>
      </w:r>
      <w:r>
        <w:t>Impute or flag separately (do not treat as a valid tenure); the value ≈1,000 years marks unemployed/pensioner/non-working applicants.</w:t>
      </w:r>
    </w:p>
    <w:p>
      <w:pPr>
        <w:pStyle w:val="ListBullet"/>
      </w:pPr>
      <w:r>
        <w:rPr>
          <w:b/>
        </w:rPr>
        <w:t xml:space="preserve">High missingness in building-characteristic columns — </w:t>
      </w:r>
      <w:r>
        <w:t>A cluster of building/apartment characteristic columns (COMMONAREA_*, NONLIVINGAPARTMENTS_*, LIVINGAPARTMENTS_*, FLOORSMIN_*, YEARS_BUILD_*) are missing in 65-70% of rows; treat as optional third-party enrichment, consider missingness-indicator features rather than aggressive imputation.</w:t>
      </w:r>
    </w:p>
    <w:p>
      <w:pPr>
        <w:pStyle w:val="ListBullet"/>
      </w:pPr>
      <w:r>
        <w:rPr>
          <w:b/>
        </w:rPr>
        <w:t xml:space="preserve">CODE_GENDER 'XNA' category — </w:t>
      </w:r>
      <w:r>
        <w:t>Only 4 rows carry CODE_GENDER = 'XNA'; too small a group for a stable fairness signal — typically excluded or merged during modeling.</w:t>
      </w:r>
    </w:p>
    <w:p>
      <w:pPr>
        <w:pStyle w:val="ListBullet"/>
      </w:pPr>
      <w:r>
        <w:rPr>
          <w:b/>
        </w:rPr>
        <w:t xml:space="preserve">No duplicate rows — </w:t>
      </w:r>
      <w:r>
        <w:t>Zero exact duplicate rows found — no deduplication needed.</w:t>
      </w:r>
    </w:p>
    <w:p>
      <w:pPr>
        <w:pStyle w:val="ListBullet"/>
      </w:pPr>
      <w:r>
        <w:rPr>
          <w:b/>
        </w:rPr>
        <w:t xml:space="preserve">EXT_SOURCE_* predictive dominance — </w:t>
      </w:r>
      <w:r>
        <w:t>EXT_SOURCE_1/2/3 (external bureau scores) are the strongest predictors of TARGET and themselves have missingness (EXT_SOURCE_1 in particular); their availability should be checked before relying on them as primary model features.</w:t>
      </w:r>
    </w:p>
    <w:p>
      <w:pPr>
        <w:pStyle w:val="Heading2"/>
      </w:pPr>
      <w:r>
        <w:t>6.2 HMDA</w:t>
      </w:r>
    </w:p>
    <w:p>
      <w:pPr>
        <w:pStyle w:val="ListBullet"/>
      </w:pPr>
      <w:r>
        <w:rPr>
          <w:b/>
        </w:rPr>
        <w:t xml:space="preserve">Originated-loans-only extract — </w:t>
      </w:r>
      <w:r>
        <w:t>This extract's action_taken is always 1 (originated); there is no approval/denial variance, so this dataset cannot support an approval-decision model — only a pricing-based fairness audit via the derived high_cost_flag.</w:t>
      </w:r>
    </w:p>
    <w:p>
      <w:pPr>
        <w:pStyle w:val="ListBullet"/>
      </w:pPr>
      <w:r>
        <w:rPr>
          <w:b/>
        </w:rPr>
        <w:t xml:space="preserve">Target leakage risk (rate_spread) — </w:t>
      </w:r>
      <w:r>
        <w:t>rate_spread/hoepa_status were used only to derive the target and then dropped from the feature set, to avoid label leakage.</w:t>
      </w:r>
    </w:p>
    <w:p>
      <w:pPr>
        <w:pStyle w:val="ListBullet"/>
      </w:pPr>
      <w:r>
        <w:rPr>
          <w:b/>
        </w:rPr>
        <w:t xml:space="preserve">Sampling, not full population — </w:t>
      </w:r>
      <w:r>
        <w:t>Each year is subsampled at ~1% (seeded per year) rather than a true random sample of the full decade; results should be read as directionally representative, not as exact population statistics.</w:t>
      </w:r>
    </w:p>
    <w:p>
      <w:pPr>
        <w:pStyle w:val="ListBullet"/>
      </w:pPr>
      <w:r>
        <w:rPr>
          <w:b/>
        </w:rPr>
        <w:t xml:space="preserve">2 of 11 years unavailable — </w:t>
      </w:r>
      <w:r>
        <w:t>2007 and 2011 source zips were confirmed corrupt/truncated and have been removed from data/external/HMDA/; the sample covers the remaining 9 years (2008-2010, 2012-2017).</w:t>
      </w:r>
    </w:p>
    <w:p>
      <w:pPr>
        <w:pStyle w:val="ListBullet"/>
      </w:pPr>
      <w:r>
        <w:rPr>
          <w:b/>
        </w:rPr>
        <w:t xml:space="preserve">Non-disclosure categories — </w:t>
      </w:r>
      <w:r>
        <w:t>derived_race and derived_sex include 'Race Not Available' / 'Sex Not Available' categories for applicants who did not disclose — these should be reported separately, not merged into a modeled group, when interpreting fairness metrics.</w:t>
      </w:r>
    </w:p>
    <w:p>
      <w:pPr>
        <w:pStyle w:val="Heading1"/>
      </w:pPr>
      <w:r>
        <w:t>7. Conclusion</w:t>
      </w:r>
    </w:p>
    <w:p>
      <w:r>
        <w:rPr>
          <w:b w:val="0"/>
          <w:i w:val="0"/>
        </w:rPr>
        <w:t>Both HCDR and HMDA are well-structured, real-world tabular datasets with manageable, well-understood data-quality issues (a known sentinel value in HCDR, moderate optional-field missingness in HCDR, sampling and two missing years in HMDA). Both show class-imbalanced binary targets and measurable target-rate gaps across protected attributes at the raw EDA level — gender/age for HCDR, race/sex for HMDA — which is the direct empirical motivation for the fairness-audit and bias-mitigation stages that follow this EDA in the capstone pipeline (see docs/DEVELOPER_GUIDE.md, Sections 2 and 6).</w:t>
      </w:r>
    </w:p>
    <w:p>
      <w:pPr>
        <w:pStyle w:val="Heading1"/>
      </w:pPr>
      <w:r>
        <w:t>Appendix A — Figure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52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5760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Figure file</w:t>
            </w:r>
          </w:p>
        </w:tc>
        <w:tc>
          <w:tcPr>
            <w:tcW w:type="dxa" w:w="3168"/>
            <w:shd w:val="clear" w:color="auto" w:fill="14324D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HCDR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reports/figures/home_credit/target_distribution.png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TARGET class balance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7"/>
              </w:rPr>
              <w:t>HCDR</w:t>
            </w:r>
          </w:p>
        </w:tc>
        <w:tc>
          <w:tcPr>
            <w:tcW w:type="dxa" w:w="5760"/>
            <w:shd w:val="clear" w:color="auto" w:fill="F6F8FA"/>
          </w:tcPr>
          <w:p>
            <w:r/>
            <w:r>
              <w:rPr>
                <w:sz w:val="17"/>
              </w:rPr>
              <w:t>reports/figures/home_credit/missingness.png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7"/>
              </w:rPr>
              <w:t>Top-20 missing-value fraction by column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HCDR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reports/figures/home_credit/numeric_distributions.png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Histogram grid, key numeric features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7"/>
              </w:rPr>
              <w:t>HCDR</w:t>
            </w:r>
          </w:p>
        </w:tc>
        <w:tc>
          <w:tcPr>
            <w:tcW w:type="dxa" w:w="5760"/>
            <w:shd w:val="clear" w:color="auto" w:fill="F6F8FA"/>
          </w:tcPr>
          <w:p>
            <w:r/>
            <w:r>
              <w:rPr>
                <w:sz w:val="17"/>
              </w:rPr>
              <w:t>reports/figures/home_credit/correlation_heatmap.png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7"/>
              </w:rPr>
              <w:t>Correlation heatmap, top features + TARGET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HCDR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reports/figures/home_credit/target_rate_by_CODE_GENDER.png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TARGET rate by gender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7"/>
              </w:rPr>
              <w:t>HCDR</w:t>
            </w:r>
          </w:p>
        </w:tc>
        <w:tc>
          <w:tcPr>
            <w:tcW w:type="dxa" w:w="5760"/>
            <w:shd w:val="clear" w:color="auto" w:fill="F6F8FA"/>
          </w:tcPr>
          <w:p>
            <w:r/>
            <w:r>
              <w:rPr>
                <w:sz w:val="17"/>
              </w:rPr>
              <w:t>reports/figures/home_credit/target_rate_by_AGE_GROUP.png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7"/>
              </w:rPr>
              <w:t>TARGET rate by age group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HMDA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reports/figures/hmda/target_distribution.png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high_cost_flag class balance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7"/>
              </w:rPr>
              <w:t>HMDA</w:t>
            </w:r>
          </w:p>
        </w:tc>
        <w:tc>
          <w:tcPr>
            <w:tcW w:type="dxa" w:w="5760"/>
            <w:shd w:val="clear" w:color="auto" w:fill="F6F8FA"/>
          </w:tcPr>
          <w:p>
            <w:r/>
            <w:r>
              <w:rPr>
                <w:sz w:val="17"/>
              </w:rPr>
              <w:t>reports/figures/hmda/missingness.png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7"/>
              </w:rPr>
              <w:t>Missing-value fraction by column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HMDA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reports/figures/hmda/numeric_distributions.png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Histogram grid, key numeric features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7"/>
              </w:rPr>
              <w:t>HMDA</w:t>
            </w:r>
          </w:p>
        </w:tc>
        <w:tc>
          <w:tcPr>
            <w:tcW w:type="dxa" w:w="5760"/>
            <w:shd w:val="clear" w:color="auto" w:fill="F6F8FA"/>
          </w:tcPr>
          <w:p>
            <w:r/>
            <w:r>
              <w:rPr>
                <w:sz w:val="17"/>
              </w:rPr>
              <w:t>reports/figures/hmda/correlation_heatmap.png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7"/>
              </w:rPr>
              <w:t>Correlation heatmap, features + high_cost_flag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HMDA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reports/figures/hmda/target_rate_by_derived_race.png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high_cost_flag rate by race</w:t>
            </w:r>
          </w:p>
        </w:tc>
      </w:tr>
      <w:tr>
        <w:tc>
          <w:tcPr>
            <w:tcW w:type="dxa" w:w="1152"/>
            <w:shd w:val="clear" w:color="auto" w:fill="F6F8FA"/>
          </w:tcPr>
          <w:p>
            <w:r/>
            <w:r>
              <w:rPr>
                <w:sz w:val="17"/>
              </w:rPr>
              <w:t>HMDA</w:t>
            </w:r>
          </w:p>
        </w:tc>
        <w:tc>
          <w:tcPr>
            <w:tcW w:type="dxa" w:w="5760"/>
            <w:shd w:val="clear" w:color="auto" w:fill="F6F8FA"/>
          </w:tcPr>
          <w:p>
            <w:r/>
            <w:r>
              <w:rPr>
                <w:sz w:val="17"/>
              </w:rPr>
              <w:t>reports/figures/hmda/target_rate_by_derived_sex.png</w:t>
            </w:r>
          </w:p>
        </w:tc>
        <w:tc>
          <w:tcPr>
            <w:tcW w:type="dxa" w:w="3168"/>
            <w:shd w:val="clear" w:color="auto" w:fill="F6F8FA"/>
          </w:tcPr>
          <w:p>
            <w:r/>
            <w:r>
              <w:rPr>
                <w:sz w:val="17"/>
              </w:rPr>
              <w:t>high_cost_flag rate by sex</w:t>
            </w:r>
          </w:p>
        </w:tc>
      </w:tr>
    </w:tbl>
    <w:p/>
    <w:p>
      <w:r>
        <w:rPr>
          <w:b w:val="0"/>
          <w:i w:val="0"/>
        </w:rPr>
        <w:t>All figures were generated by dac.eda.eda_report.run_eda() against the real prepared data files (data/raw/home_credit/application_train.csv, data/raw/hmda/hmda_nationwide_2008_2017_sample.csv), sourced from data/external/HCDR and data/external/HMDA respectively. Underlying source: reports/model_performance/eda_home_credit.md, reports/model_performance/eda_hmda.md.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32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32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