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937"/>
          <w:sz w:val="32"/>
          <w:szCs w:val="32"/>
        </w:rPr>
        <w:t xml:space="preserve">Lab 1: Requirements Engineering &amp; UML Use-Case Modelling</w:t>
      </w:r>
    </w:p>
    <w:p>
      <w:pPr>
        <w:spacing w:after="20"/>
        <w:jc w:val="center"/>
      </w:pPr>
      <w:r>
        <w:rPr>
          <w:color w:val="4B5563"/>
          <w:sz w:val="22"/>
          <w:szCs w:val="22"/>
        </w:rPr>
        <w:t xml:space="preserve">Problem Statement #06 — Alumni Mentorship &amp; Mock Interview Platform</w:t>
      </w:r>
    </w:p>
    <w:p>
      <w:pPr>
        <w:spacing w:after="240"/>
        <w:jc w:val="center"/>
      </w:pPr>
      <w:r>
        <w:rPr>
          <w:i/>
          <w:iCs/>
          <w:color w:val="4B5563"/>
          <w:sz w:val="20"/>
          <w:szCs w:val="20"/>
        </w:rPr>
        <w:t xml:space="preserve">Target Stakeholders / Actors: Student Mentee (Primary), Alumni Mentor (Secondary)</w:t>
      </w:r>
    </w:p>
    <w:p>
      <w:pPr>
        <w:spacing w:after="100"/>
        <w:jc w:val="center"/>
      </w:pPr>
      <w:r>
        <w:rPr>
          <w:b/>
          <w:bCs/>
          <w:color w:val="1F2937"/>
          <w:sz w:val="26"/>
          <w:szCs w:val="26"/>
        </w:rPr>
        <w:t xml:space="preserve">1. Requirements Table</w:t>
      </w:r>
    </w:p>
    <w:tbl>
      <w:tblPr>
        <w:tblW w:type="dxa" w:w="13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50"/>
        <w:gridCol w:w="4550"/>
        <w:gridCol w:w="900"/>
        <w:gridCol w:w="3200"/>
        <w:gridCol w:w="2650"/>
      </w:tblGrid>
      <w:tr>
        <w:trPr>
          <w:tblHeader/>
        </w:trPr>
        <w:tc>
          <w:tcPr>
            <w:tcW w:type="dxa" w:w="80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35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55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20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265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80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FR-001</w:t>
            </w:r>
          </w:p>
        </w:tc>
        <w:tc>
          <w:tcPr>
            <w:tcW w:type="dxa" w:w="135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Functional</w:t>
            </w:r>
          </w:p>
        </w:tc>
        <w:tc>
          <w:tcPr>
            <w:tcW w:type="dxa" w:w="455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The system shall recommend Alumni Mentors to Student Mentees based on domain matching (e.g., Embedded Systems, Cloud Computing) and facilitate one-click session booking.</w:t>
            </w:r>
          </w:p>
        </w:tc>
        <w:tc>
          <w:tcPr>
            <w:tcW w:type="dxa" w:w="90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High</w:t>
            </w:r>
          </w:p>
        </w:tc>
        <w:tc>
          <w:tcPr>
            <w:tcW w:type="dxa" w:w="320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Pass: Mentorship session is added to both calendars with a meeting link. Fail: Double-booking of mentor slots occurs.</w:t>
            </w:r>
          </w:p>
        </w:tc>
        <w:tc>
          <w:tcPr>
            <w:tcW w:type="dxa" w:w="265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Reduces manual search overhead for mentees and increases the relevance of mentor-mentee pairing, which is the core value proposition of the platform.</w:t>
            </w:r>
          </w:p>
        </w:tc>
      </w:tr>
      <w:tr>
        <w:tc>
          <w:tcPr>
            <w:tcW w:type="dxa" w:w="80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FR-002</w:t>
            </w:r>
          </w:p>
        </w:tc>
        <w:tc>
          <w:tcPr>
            <w:tcW w:type="dxa" w:w="135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Functional</w:t>
            </w:r>
          </w:p>
        </w:tc>
        <w:tc>
          <w:tcPr>
            <w:tcW w:type="dxa" w:w="455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The system shall allow a Student Mentee to create and maintain a profile (academic year, branch, resume/LinkedIn link) and set ranked domain preferences used as input to mentor matching.</w:t>
            </w:r>
          </w:p>
        </w:tc>
        <w:tc>
          <w:tcPr>
            <w:tcW w:type="dxa" w:w="90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High</w:t>
            </w:r>
          </w:p>
        </w:tc>
        <w:tc>
          <w:tcPr>
            <w:tcW w:type="dxa" w:w="320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Pass: Profile/preference changes are saved and reflected in the matching results within 5 seconds. Fail: Updated preferences are not persisted or matching results remain unchanged after an update.</w:t>
            </w:r>
          </w:p>
        </w:tc>
        <w:tc>
          <w:tcPr>
            <w:tcW w:type="dxa" w:w="265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Accurate, current profile data is a precondition for FR-001's domain-matching algorithm to return relevant mentor recommendations.</w:t>
            </w:r>
          </w:p>
        </w:tc>
      </w:tr>
      <w:tr>
        <w:tc>
          <w:tcPr>
            <w:tcW w:type="dxa" w:w="80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FR-003</w:t>
            </w:r>
          </w:p>
        </w:tc>
        <w:tc>
          <w:tcPr>
            <w:tcW w:type="dxa" w:w="135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Functional</w:t>
            </w:r>
          </w:p>
        </w:tc>
        <w:tc>
          <w:tcPr>
            <w:tcW w:type="dxa" w:w="455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The system shall allow an Alumni Mentor to define, edit, and block recurring or one-off availability slots on a calendar that is synchronized in real time with incoming booking requests.</w:t>
            </w:r>
          </w:p>
        </w:tc>
        <w:tc>
          <w:tcPr>
            <w:tcW w:type="dxa" w:w="90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High</w:t>
            </w:r>
          </w:p>
        </w:tc>
        <w:tc>
          <w:tcPr>
            <w:tcW w:type="dxa" w:w="320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Pass: A slot booked by one student is immediately marked unavailable to all other students. Fail: Two students are able to book the same time slot.</w:t>
            </w:r>
          </w:p>
        </w:tc>
        <w:tc>
          <w:tcPr>
            <w:tcW w:type="dxa" w:w="265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Real-time synchronization directly prevents the double-booking failure condition defined in FR-001 and gives mentors control over their volunteered time.</w:t>
            </w:r>
          </w:p>
        </w:tc>
      </w:tr>
      <w:tr>
        <w:tc>
          <w:tcPr>
            <w:tcW w:type="dxa" w:w="80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FR-004</w:t>
            </w:r>
          </w:p>
        </w:tc>
        <w:tc>
          <w:tcPr>
            <w:tcW w:type="dxa" w:w="135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Functional</w:t>
            </w:r>
          </w:p>
        </w:tc>
        <w:tc>
          <w:tcPr>
            <w:tcW w:type="dxa" w:w="455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The system shall allow an Alumni Mentor to submit a structured post-interview feedback scorecard (rated criteria plus free-text comments) within 48 hours of a completed mock-interview session, visible to the corresponding Student Mentee.</w:t>
            </w:r>
          </w:p>
        </w:tc>
        <w:tc>
          <w:tcPr>
            <w:tcW w:type="dxa" w:w="90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Medium</w:t>
            </w:r>
          </w:p>
        </w:tc>
        <w:tc>
          <w:tcPr>
            <w:tcW w:type="dxa" w:w="320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Pass: Scorecard is stored, timestamped, and displayed in the student's session history. Fail: Scorecard is lost, delayed beyond 48 hours, or linked to the wrong session.</w:t>
            </w:r>
          </w:p>
        </w:tc>
        <w:tc>
          <w:tcPr>
            <w:tcW w:type="dxa" w:w="265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Structured feedback is the primary learning outcome for the student and closes the mentorship loop opened by FR-001.</w:t>
            </w:r>
          </w:p>
        </w:tc>
      </w:tr>
      <w:tr>
        <w:tc>
          <w:tcPr>
            <w:tcW w:type="dxa" w:w="80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FR-005</w:t>
            </w:r>
          </w:p>
        </w:tc>
        <w:tc>
          <w:tcPr>
            <w:tcW w:type="dxa" w:w="135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Functional</w:t>
            </w:r>
          </w:p>
        </w:tc>
        <w:tc>
          <w:tcPr>
            <w:tcW w:type="dxa" w:w="455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The system shall send automated notifications (email and in-app) to both the mentee and mentor for booking confirmation, a 24-hour reminder, and any reschedule or cancellation event.</w:t>
            </w:r>
          </w:p>
        </w:tc>
        <w:tc>
          <w:tcPr>
            <w:tcW w:type="dxa" w:w="90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Medium</w:t>
            </w:r>
          </w:p>
        </w:tc>
        <w:tc>
          <w:tcPr>
            <w:tcW w:type="dxa" w:w="320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Pass: Notification is delivered within 1 minute of the triggering event. Fail: No notification is sent, or duplicate notifications are sent for the same event.</w:t>
            </w:r>
          </w:p>
        </w:tc>
        <w:tc>
          <w:tcPr>
            <w:tcW w:type="dxa" w:w="265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Timely reminders reduce no-show rates and keep both parties informed of last-minute changes to a booked session.</w:t>
            </w:r>
          </w:p>
        </w:tc>
      </w:tr>
      <w:tr>
        <w:tc>
          <w:tcPr>
            <w:tcW w:type="dxa" w:w="800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NFR-001</w:t>
            </w:r>
          </w:p>
        </w:tc>
        <w:tc>
          <w:tcPr>
            <w:tcW w:type="dxa" w:w="1350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Performance &amp; Security</w:t>
            </w:r>
          </w:p>
        </w:tc>
        <w:tc>
          <w:tcPr>
            <w:tcW w:type="dxa" w:w="4550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All user profile data and feedback scorecards shall adhere to data-privacy guidelines and support soft-deletion of a user's data within 24 hours of a verified deletion request.</w:t>
            </w:r>
          </w:p>
        </w:tc>
        <w:tc>
          <w:tcPr>
            <w:tcW w:type="dxa" w:w="900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High</w:t>
            </w:r>
          </w:p>
        </w:tc>
        <w:tc>
          <w:tcPr>
            <w:tcW w:type="dxa" w:w="3200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Pass: Benchmarking tests confirm target latency and security standards are met under simulated peak load. Fail: Deletion is not completed within 24 hours, or data remains accessible after soft-deletion.</w:t>
            </w:r>
          </w:p>
        </w:tc>
        <w:tc>
          <w:tcPr>
            <w:tcW w:type="dxa" w:w="2650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Alumni and student personal data (contact details, interview feedback) is sensitive; timely erasure and secure handling are required for institutional and legal compliance.</w:t>
            </w:r>
          </w:p>
        </w:tc>
      </w:tr>
      <w:tr>
        <w:tc>
          <w:tcPr>
            <w:tcW w:type="dxa" w:w="800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NFR-002</w:t>
            </w:r>
          </w:p>
        </w:tc>
        <w:tc>
          <w:tcPr>
            <w:tcW w:type="dxa" w:w="1350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Reliability &amp; Scalability</w:t>
            </w:r>
          </w:p>
        </w:tc>
        <w:tc>
          <w:tcPr>
            <w:tcW w:type="dxa" w:w="4550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The system shall support at least 500 concurrent booking requests during peak periods (e.g., placement season) with a maximum booking-transaction latency of 2 seconds and zero double-bookings under concurrent access.</w:t>
            </w:r>
          </w:p>
        </w:tc>
        <w:tc>
          <w:tcPr>
            <w:tcW w:type="dxa" w:w="900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High</w:t>
            </w:r>
          </w:p>
        </w:tc>
        <w:tc>
          <w:tcPr>
            <w:tcW w:type="dxa" w:w="3200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Pass: A load test with 500 concurrent users shows 95th-percentile latency under 2 seconds and 0 double-booked slots. Fail: Latency exceeds 2 seconds or any double-booking occurs under load.</w:t>
            </w:r>
          </w:p>
        </w:tc>
        <w:tc>
          <w:tcPr>
            <w:tcW w:type="dxa" w:w="2650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Booking demand spikes sharply during placement season; the platform must remain responsive and consistent precisely when student demand for mock interviews is highest.</w:t>
            </w:r>
          </w:p>
        </w:tc>
      </w:tr>
    </w:tbl>
    <w:p>
      <w:pPr>
        <w:sectPr>
          <w:pgSz w:w="15840" w:h="12240" w:orient="landscape"/>
          <w:pgMar w:top="500" w:right="500" w:bottom="500" w:left="500" w:header="708" w:footer="708" w:gutter="0"/>
          <w:pgNumType/>
          <w:docGrid w:linePitch="360"/>
        </w:sectPr>
      </w:pPr>
    </w:p>
    <w:p>
      <w:pPr>
        <w:spacing w:after="160"/>
        <w:jc w:val="center"/>
      </w:pPr>
      <w:r>
        <w:rPr>
          <w:b/>
          <w:bCs/>
          <w:color w:val="1F2937"/>
          <w:sz w:val="26"/>
          <w:szCs w:val="26"/>
        </w:rPr>
        <w:t xml:space="preserve">2. UML Use-Case Diagram</w:t>
      </w:r>
    </w:p>
    <w:p>
      <w:pPr>
        <w:jc w:val="center"/>
      </w:pPr>
      <w:r>
        <w:drawing>
          <wp:inline distT="0" distB="0" distL="0" distR="0">
            <wp:extent cx="571500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</w:pPr>
      <w:r>
        <w:rPr>
          <w:b/>
          <w:bCs/>
          <w:color w:val="1F2937"/>
          <w:sz w:val="20"/>
          <w:szCs w:val="20"/>
        </w:rPr>
        <w:t xml:space="preserve">Actors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Primary Actor: </w:t>
      </w:r>
      <w:r>
        <w:rPr>
          <w:sz w:val="19"/>
          <w:szCs w:val="19"/>
        </w:rPr>
        <w:t xml:space="preserve">Student Mentee — initiates profile setup, mentor search, session booking, rescheduling, and receives notifications.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Secondary Actor: </w:t>
      </w:r>
      <w:r>
        <w:rPr>
          <w:sz w:val="19"/>
          <w:szCs w:val="19"/>
        </w:rPr>
        <w:t xml:space="preserve">Alumni Mentor — manages availability calendar, participates in the mock interview, submits the feedback scorecard, and receives notifications.</w:t>
      </w:r>
    </w:p>
    <w:p>
      <w:pPr>
        <w:spacing w:after="60" w:before="160"/>
      </w:pPr>
      <w:r>
        <w:rPr>
          <w:b/>
          <w:bCs/>
          <w:color w:val="1F2937"/>
          <w:sz w:val="20"/>
          <w:szCs w:val="20"/>
        </w:rPr>
        <w:t xml:space="preserve">Relationships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«include»: </w:t>
      </w:r>
      <w:r>
        <w:rPr>
          <w:sz w:val="19"/>
          <w:szCs w:val="19"/>
        </w:rPr>
        <w:t xml:space="preserve">Book Mentoring Session always includes Check Mentor Availability — the availability check is a mandatory sub-step of every booking attempt.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«extend»: </w:t>
      </w:r>
      <w:r>
        <w:rPr>
          <w:sz w:val="19"/>
          <w:szCs w:val="19"/>
        </w:rPr>
        <w:t xml:space="preserve">Reschedule/Cancel Session extends Book Mentoring Session — it is an optional flow triggered only when a chosen slot is unavailable or the student wants to change an existing booking.</w:t>
      </w:r>
    </w:p>
    <w:p>
      <w:pPr>
        <w:sectPr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spacing w:after="40"/>
        <w:jc w:val="center"/>
      </w:pPr>
      <w:r>
        <w:rPr>
          <w:b/>
          <w:bCs/>
          <w:color w:val="1F2937"/>
          <w:sz w:val="28"/>
          <w:szCs w:val="28"/>
        </w:rPr>
        <w:t xml:space="preserve">3. Use-Case Flow Specification</w:t>
      </w:r>
    </w:p>
    <w:p>
      <w:pPr>
        <w:spacing w:after="160"/>
        <w:jc w:val="center"/>
      </w:pPr>
      <w:r>
        <w:rPr>
          <w:i/>
          <w:iCs/>
          <w:color w:val="4B5563"/>
          <w:sz w:val="19"/>
          <w:szCs w:val="19"/>
        </w:rPr>
        <w:t xml:space="preserve">Problem Statement #06 — Alumni Mentorship &amp; Mock Interview Platform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Case ID</w:t>
            </w:r>
          </w:p>
        </w:tc>
        <w:tc>
          <w:tcPr>
            <w:tcW w:type="dxa" w:w="24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UC-04</w:t>
            </w:r>
          </w:p>
        </w:tc>
        <w:tc>
          <w:tcPr>
            <w:tcW w:type="dxa" w:w="2200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Related FR</w:t>
            </w:r>
          </w:p>
        </w:tc>
        <w:tc>
          <w:tcPr>
            <w:tcW w:type="dxa" w:w="24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FR-001</w:t>
            </w:r>
          </w:p>
        </w:tc>
      </w:tr>
      <w:tr>
        <w:tc>
          <w:tcPr>
            <w:tcW w:type="dxa" w:w="2200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Case Name</w:t>
            </w:r>
          </w:p>
        </w:tc>
        <w:tc>
          <w:tcPr>
            <w:tcW w:type="dxa" w:w="24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Book Mentoring Session</w:t>
            </w:r>
          </w:p>
        </w:tc>
        <w:tc>
          <w:tcPr>
            <w:tcW w:type="dxa" w:w="2200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4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00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24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Student Mentee</w:t>
            </w:r>
          </w:p>
        </w:tc>
        <w:tc>
          <w:tcPr>
            <w:tcW w:type="dxa" w:w="2200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Secondary Actor</w:t>
            </w:r>
          </w:p>
        </w:tc>
        <w:tc>
          <w:tcPr>
            <w:tcW w:type="dxa" w:w="24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Alumni Mentor</w:t>
            </w:r>
          </w:p>
        </w:tc>
      </w:tr>
      <w:tr>
        <w:tc>
          <w:tcPr>
            <w:tcW w:type="dxa" w:w="2200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4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Student Mentee selects a recommended Alumni Mentor and requests to book a session.</w:t>
            </w:r>
          </w:p>
        </w:tc>
        <w:tc>
          <w:tcPr>
            <w:tcW w:type="dxa" w:w="2200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Includes</w:t>
            </w:r>
          </w:p>
        </w:tc>
        <w:tc>
          <w:tcPr>
            <w:tcW w:type="dxa" w:w="24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Check Mentor Availability</w:t>
            </w:r>
          </w:p>
        </w:tc>
      </w:tr>
    </w:tbl>
    <w:p>
      <w:pPr>
        <w:spacing w:after="60" w:before="160"/>
      </w:pPr>
      <w:r>
        <w:rPr>
          <w:b/>
          <w:bCs/>
          <w:color w:val="1F2937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The Student Mentee is registered and authenticated on the platform.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The Student Mentee has created a profile and set at least one domain preference (FR-002).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At least one Alumni Mentor has published availability that matches the mentee's domain preference (FR-003).</w:t>
      </w:r>
    </w:p>
    <w:p>
      <w:pPr>
        <w:spacing w:after="60" w:before="160"/>
      </w:pPr>
      <w:r>
        <w:rPr>
          <w:b/>
          <w:bCs/>
          <w:color w:val="1F2937"/>
          <w:sz w:val="22"/>
          <w:szCs w:val="22"/>
        </w:rPr>
        <w:t xml:space="preserve">Postconditions</w:t>
      </w:r>
    </w:p>
    <w:p>
      <w:pPr>
        <w:spacing w:after="80"/>
      </w:pPr>
      <w:r>
        <w:rPr>
          <w:sz w:val="20"/>
          <w:szCs w:val="20"/>
        </w:rPr>
        <w:t xml:space="preserve">Success: A confirmed session record exists, linked to both the Student Mentee and the Alumni Mentor, with a generated meeting link; the booked slot is marked unavailable in the mentor's calendar; and confirmation notifications have been sent to both parties (FR-005).</w:t>
      </w:r>
    </w:p>
    <w:p>
      <w:pPr>
        <w:spacing w:after="80"/>
      </w:pPr>
      <w:r>
        <w:rPr>
          <w:sz w:val="20"/>
          <w:szCs w:val="20"/>
        </w:rPr>
        <w:t xml:space="preserve">Failure: No session record is created and the mentor's calendar remains unchanged from its pre-use-case state.</w:t>
      </w:r>
    </w:p>
    <w:p>
      <w:pPr>
        <w:spacing w:after="60" w:before="160"/>
      </w:pPr>
      <w:r>
        <w:rPr>
          <w:b/>
          <w:bCs/>
          <w:color w:val="1F2937"/>
          <w:sz w:val="22"/>
          <w:szCs w:val="22"/>
        </w:rPr>
        <w:t xml:space="preserve">Main Success Scenario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Student Mentee logs in and navigates to the “Find a Mentor” screen.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System retrieves the mentee's domain preferences from their profile (FR-002).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System runs the domain-matching algorithm and displays a ranked list of Alumni Mentors.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Student Mentee selects a mentor and requests to view their availability — the system executes the included use case «include» Check Mentor Availability.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System displays the mentor's open calendar slots.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Student Mentee selects a slot and confirms the booking request.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System re-validates that the slot is still open, creates the session record, and generates a meeting link.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System marks the slot unavailable and adds the session to both the mentee's and the mentor's calendars.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System triggers confirmation notifications to both the Student Mentee and the Alumni Mentor (FR-005).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Use case ends successfully.</w:t>
      </w:r>
    </w:p>
    <w:p>
      <w:pPr>
        <w:spacing w:after="60" w:before="160"/>
      </w:pPr>
      <w:r>
        <w:rPr>
          <w:b/>
          <w:bCs/>
          <w:color w:val="1F2937"/>
          <w:sz w:val="22"/>
          <w:szCs w:val="22"/>
        </w:rPr>
        <w:t xml:space="preserve">Alternate Flow A1: Slot No Longer Available (Booking Conflict)</w:t>
      </w:r>
    </w:p>
    <w:p>
      <w:pPr>
        <w:spacing w:after="80"/>
      </w:pPr>
      <w:r>
        <w:rPr>
          <w:i/>
          <w:iCs/>
          <w:sz w:val="20"/>
          <w:szCs w:val="20"/>
        </w:rPr>
        <w:t xml:space="preserve">Trigger: At step 7, the slot selected in step 6 was booked by another student in the interval between steps 5 and 6.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System detects that the selected slot is no longer available and does not create a session record.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System displays a message informing the Student Mentee that the slot has just been taken.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System refreshes and re-displays the Alumni Mentor's current available slots.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Student Mentee selects a different available slot; flow resumes at step 6 of the Main Success Scenario.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If no compatible slot remains with this mentor, the Student Mentee may invoke «extend» Reschedule/Cancel Session to search for an alternate mentor; the use case then ends without a booking.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A1.%1"/>
      <w:lvlJc w:val="start"/>
      <w:pPr>
        <w:ind w:left="504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2e0038c2905e8c8af2abe8ef57540957b5197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2026-08-20T06:56:36.471Z</dcterms:created>
  <dcterms:modified xsi:type="dcterms:W3CDTF">2026-08-20T06:56:36.483Z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