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4B81" w14:textId="77777777" w:rsidR="005234E8" w:rsidRDefault="00000000">
      <w:pPr>
        <w:spacing w:after="40"/>
        <w:jc w:val="center"/>
      </w:pPr>
      <w:r>
        <w:rPr>
          <w:b/>
          <w:bCs/>
          <w:sz w:val="26"/>
          <w:szCs w:val="26"/>
        </w:rPr>
        <w:t>Lab 3: Component Modelling &amp; Architectural Pattern Selection</w:t>
      </w:r>
    </w:p>
    <w:p w14:paraId="214B6264" w14:textId="77777777" w:rsidR="005234E8" w:rsidRDefault="00000000">
      <w:pPr>
        <w:spacing w:after="160"/>
        <w:jc w:val="center"/>
      </w:pPr>
      <w:r>
        <w:rPr>
          <w:b/>
          <w:bCs/>
          <w:color w:val="444444"/>
          <w:sz w:val="22"/>
          <w:szCs w:val="22"/>
        </w:rPr>
        <w:t>Written Justification — Alumni Mentorship &amp; Mock Interview Platform (AMIP)</w:t>
      </w:r>
    </w:p>
    <w:tbl>
      <w:tblPr>
        <w:tblW w:w="5000" w:type="pct"/>
        <w:tblCellMar>
          <w:left w:w="10" w:type="dxa"/>
          <w:right w:w="10" w:type="dxa"/>
        </w:tblCellMar>
        <w:tblLook w:val="0000" w:firstRow="0" w:lastRow="0" w:firstColumn="0" w:lastColumn="0" w:noHBand="0" w:noVBand="0"/>
      </w:tblPr>
      <w:tblGrid>
        <w:gridCol w:w="5220"/>
        <w:gridCol w:w="5220"/>
      </w:tblGrid>
      <w:tr w:rsidR="005234E8" w14:paraId="53B3B17F" w14:textId="77777777">
        <w:tblPrEx>
          <w:tblCellMar>
            <w:top w:w="0" w:type="dxa"/>
            <w:bottom w:w="0" w:type="dxa"/>
          </w:tblCellMar>
        </w:tblPrEx>
        <w:tc>
          <w:tcPr>
            <w:tcW w:w="2500" w:type="pct"/>
          </w:tcPr>
          <w:p w14:paraId="640A5797" w14:textId="77777777" w:rsidR="005234E8" w:rsidRDefault="00000000">
            <w:r>
              <w:rPr>
                <w:b/>
                <w:bCs/>
                <w:sz w:val="21"/>
                <w:szCs w:val="21"/>
              </w:rPr>
              <w:t>Name: Sai Likhith S</w:t>
            </w:r>
          </w:p>
        </w:tc>
        <w:tc>
          <w:tcPr>
            <w:tcW w:w="2500" w:type="pct"/>
          </w:tcPr>
          <w:p w14:paraId="7BCF1DB5" w14:textId="77777777" w:rsidR="005234E8" w:rsidRDefault="00000000">
            <w:r>
              <w:rPr>
                <w:b/>
                <w:bCs/>
                <w:sz w:val="21"/>
                <w:szCs w:val="21"/>
              </w:rPr>
              <w:t>SRN: PES1UG24AM239</w:t>
            </w:r>
          </w:p>
        </w:tc>
      </w:tr>
    </w:tbl>
    <w:p w14:paraId="2FAD4202" w14:textId="77777777" w:rsidR="005234E8" w:rsidRDefault="00000000">
      <w:pPr>
        <w:spacing w:before="200" w:after="100"/>
      </w:pPr>
      <w:r>
        <w:rPr>
          <w:b/>
          <w:bCs/>
          <w:sz w:val="21"/>
          <w:szCs w:val="21"/>
        </w:rPr>
        <w:t xml:space="preserve">Architecture Selection: </w:t>
      </w:r>
      <w:r>
        <w:rPr>
          <w:sz w:val="21"/>
          <w:szCs w:val="21"/>
        </w:rPr>
        <w:t>"We chose Microservices Architecture for the Alumni Mentorship &amp; Mock Interview Platform."</w:t>
      </w:r>
    </w:p>
    <w:p w14:paraId="24CA1DA5" w14:textId="77777777" w:rsidR="005234E8" w:rsidRDefault="00000000">
      <w:pPr>
        <w:spacing w:before="160" w:after="60"/>
      </w:pPr>
      <w:r>
        <w:rPr>
          <w:b/>
          <w:bCs/>
          <w:color w:val="1F3864"/>
          <w:sz w:val="22"/>
          <w:szCs w:val="22"/>
        </w:rPr>
        <w:t>Architectural Choice</w:t>
      </w:r>
    </w:p>
    <w:p w14:paraId="78E01163" w14:textId="77777777" w:rsidR="005234E8" w:rsidRDefault="00000000">
      <w:pPr>
        <w:spacing w:after="40"/>
      </w:pPr>
      <w:r>
        <w:rPr>
          <w:sz w:val="21"/>
          <w:szCs w:val="21"/>
        </w:rPr>
        <w:t>A Microservices Architecture was selected, decomposing AMIP into an API Gateway (Edge Layer), independently deployable core services — Mentor Matching Service, Availability &amp; Booking Service, and Feedback Service — and supporting services — Profile &amp; Preference Service and Notification Service. Each service owns its own logic and data, and the API Gateway routes all client requests from Student Mentees and Alumni Mentors to the appropriate service.</w:t>
      </w:r>
    </w:p>
    <w:p w14:paraId="470809FC" w14:textId="77777777" w:rsidR="005234E8" w:rsidRDefault="00000000">
      <w:pPr>
        <w:spacing w:before="160" w:after="60"/>
      </w:pPr>
      <w:r>
        <w:rPr>
          <w:b/>
          <w:bCs/>
          <w:color w:val="1F3864"/>
          <w:sz w:val="22"/>
          <w:szCs w:val="22"/>
        </w:rPr>
        <w:t>Two Scenario-Related Reasons</w:t>
      </w:r>
    </w:p>
    <w:p w14:paraId="1A73EEAD" w14:textId="77777777" w:rsidR="005234E8" w:rsidRDefault="00000000">
      <w:pPr>
        <w:pStyle w:val="ListParagraph"/>
        <w:numPr>
          <w:ilvl w:val="0"/>
          <w:numId w:val="1"/>
        </w:numPr>
        <w:spacing w:after="40"/>
        <w:ind w:left="360"/>
      </w:pPr>
      <w:r>
        <w:rPr>
          <w:sz w:val="21"/>
          <w:szCs w:val="21"/>
        </w:rPr>
        <w:t>Independent scaling under peak load: NFR-002 requires supporting at least 500 concurrent booking requests with sub-2-second latency and zero double-bookings during placement season. With microservices, the Availability &amp; Booking Service can be scaled out with additional instances during peak demand without needing to scale the Feedback Service or Notification Service, which see comparatively steady, lower load.</w:t>
      </w:r>
    </w:p>
    <w:p w14:paraId="6C982C6D" w14:textId="77777777" w:rsidR="005234E8" w:rsidRDefault="00000000">
      <w:pPr>
        <w:pStyle w:val="ListParagraph"/>
        <w:numPr>
          <w:ilvl w:val="0"/>
          <w:numId w:val="1"/>
        </w:numPr>
        <w:spacing w:after="40"/>
        <w:ind w:left="360"/>
      </w:pPr>
      <w:r>
        <w:rPr>
          <w:sz w:val="21"/>
          <w:szCs w:val="21"/>
        </w:rPr>
        <w:t>Independent evolution of distinct concerns: AMIP combines a domain-matching recommendation algorithm (FR-001), real-time calendar synchronization (FR-003), structured feedback scorecards (FR-004), and multi-channel notifications (FR-005) — features with very different update cycles and technology needs. Microservices let the Mentor Matching Service evolve (e.g., swap in a new matching model) or the Notification Service add a new channel, independently and without redeploying the entire platform.</w:t>
      </w:r>
    </w:p>
    <w:p w14:paraId="24ED39AD" w14:textId="77777777" w:rsidR="005234E8" w:rsidRDefault="00000000">
      <w:pPr>
        <w:spacing w:before="160" w:after="60"/>
      </w:pPr>
      <w:r>
        <w:rPr>
          <w:b/>
          <w:bCs/>
          <w:color w:val="1F3864"/>
          <w:sz w:val="22"/>
          <w:szCs w:val="22"/>
        </w:rPr>
        <w:t>Security Advantage</w:t>
      </w:r>
    </w:p>
    <w:p w14:paraId="3BCA60DD" w14:textId="77777777" w:rsidR="005234E8" w:rsidRDefault="00000000">
      <w:pPr>
        <w:spacing w:after="40"/>
      </w:pPr>
      <w:r>
        <w:rPr>
          <w:sz w:val="21"/>
          <w:szCs w:val="21"/>
        </w:rPr>
        <w:t xml:space="preserve">Sensitive personal data — academic profile, resume/LinkedIn links, and domain preferences — is confined to the Profile &amp; Preference Service, which is the only component permitted to read or write that data store. Other services (Matching, Booking, Feedback) only receive the minimal profile fields they need through the </w:t>
      </w:r>
      <w:proofErr w:type="spellStart"/>
      <w:r>
        <w:rPr>
          <w:sz w:val="21"/>
          <w:szCs w:val="21"/>
        </w:rPr>
        <w:t>IProfileQuery</w:t>
      </w:r>
      <w:proofErr w:type="spellEnd"/>
      <w:r>
        <w:rPr>
          <w:sz w:val="21"/>
          <w:szCs w:val="21"/>
        </w:rPr>
        <w:t xml:space="preserve"> interface, rather than having direct database access. This limits the blast radius of a compromise in any one service and makes it straightforward to </w:t>
      </w:r>
      <w:proofErr w:type="spellStart"/>
      <w:r>
        <w:rPr>
          <w:sz w:val="21"/>
          <w:szCs w:val="21"/>
        </w:rPr>
        <w:t>honor</w:t>
      </w:r>
      <w:proofErr w:type="spellEnd"/>
      <w:r>
        <w:rPr>
          <w:sz w:val="21"/>
          <w:szCs w:val="21"/>
        </w:rPr>
        <w:t xml:space="preserve"> NFR-001's 24-hour soft-deletion requirement by enforcing it at a single, well-defined data boundary.</w:t>
      </w:r>
    </w:p>
    <w:p w14:paraId="5DF2CEE8" w14:textId="77777777" w:rsidR="005234E8" w:rsidRDefault="00000000">
      <w:pPr>
        <w:spacing w:before="160" w:after="60"/>
      </w:pPr>
      <w:r>
        <w:rPr>
          <w:b/>
          <w:bCs/>
          <w:color w:val="1F3864"/>
          <w:sz w:val="22"/>
          <w:szCs w:val="22"/>
        </w:rPr>
        <w:t>Performance Benefit</w:t>
      </w:r>
    </w:p>
    <w:p w14:paraId="46F88534" w14:textId="77777777" w:rsidR="005234E8" w:rsidRDefault="00000000">
      <w:pPr>
        <w:spacing w:after="40"/>
        <w:rPr>
          <w:sz w:val="21"/>
          <w:szCs w:val="21"/>
        </w:rPr>
      </w:pPr>
      <w:r>
        <w:rPr>
          <w:sz w:val="21"/>
          <w:szCs w:val="21"/>
        </w:rPr>
        <w:t>Because each microservice is independently deployable, the Availability &amp; Booking Service can be horizontally scaled with extra instances behind the API Gateway specifically during high-demand periods such as placement season, directly targeting NFR-002's 2-second latency and zero-double-booking requirement without over-provisioning the entire system. Fault isolation also means that if the Feedback Service is slow or temporarily unavailable, mentors and mentees can still search, match, and book sessions without disruption.</w:t>
      </w:r>
    </w:p>
    <w:p w14:paraId="790697ED" w14:textId="77777777" w:rsidR="000530F1" w:rsidRDefault="000530F1">
      <w:pPr>
        <w:spacing w:after="40"/>
        <w:rPr>
          <w:sz w:val="21"/>
          <w:szCs w:val="21"/>
        </w:rPr>
      </w:pPr>
    </w:p>
    <w:p w14:paraId="1E4034D6" w14:textId="77777777" w:rsidR="00C100E8" w:rsidRDefault="00C100E8">
      <w:pPr>
        <w:spacing w:after="40"/>
        <w:rPr>
          <w:sz w:val="21"/>
          <w:szCs w:val="21"/>
        </w:rPr>
      </w:pPr>
    </w:p>
    <w:p w14:paraId="159C95E7" w14:textId="77777777" w:rsidR="00C100E8" w:rsidRDefault="00C100E8">
      <w:pPr>
        <w:spacing w:after="40"/>
        <w:rPr>
          <w:sz w:val="21"/>
          <w:szCs w:val="21"/>
        </w:rPr>
      </w:pPr>
    </w:p>
    <w:p w14:paraId="3F2D33E3" w14:textId="77777777" w:rsidR="00C100E8" w:rsidRDefault="00C100E8">
      <w:pPr>
        <w:spacing w:after="40"/>
        <w:rPr>
          <w:sz w:val="21"/>
          <w:szCs w:val="21"/>
        </w:rPr>
      </w:pPr>
    </w:p>
    <w:p w14:paraId="77DDBFFE" w14:textId="77777777" w:rsidR="00C100E8" w:rsidRDefault="00C100E8">
      <w:pPr>
        <w:spacing w:after="40"/>
        <w:rPr>
          <w:sz w:val="21"/>
          <w:szCs w:val="21"/>
        </w:rPr>
      </w:pPr>
    </w:p>
    <w:p w14:paraId="664C33EE" w14:textId="77777777" w:rsidR="00C100E8" w:rsidRDefault="00C100E8">
      <w:pPr>
        <w:spacing w:after="40"/>
        <w:rPr>
          <w:sz w:val="21"/>
          <w:szCs w:val="21"/>
        </w:rPr>
      </w:pPr>
    </w:p>
    <w:p w14:paraId="50977176" w14:textId="77777777" w:rsidR="00C100E8" w:rsidRDefault="00C100E8">
      <w:pPr>
        <w:spacing w:after="40"/>
        <w:rPr>
          <w:sz w:val="21"/>
          <w:szCs w:val="21"/>
        </w:rPr>
      </w:pPr>
    </w:p>
    <w:p w14:paraId="63D7DA80" w14:textId="77777777" w:rsidR="00C100E8" w:rsidRDefault="00C100E8">
      <w:pPr>
        <w:spacing w:after="40"/>
        <w:rPr>
          <w:sz w:val="21"/>
          <w:szCs w:val="21"/>
        </w:rPr>
      </w:pPr>
    </w:p>
    <w:p w14:paraId="1E0285A6" w14:textId="77777777" w:rsidR="00C100E8" w:rsidRDefault="00C100E8">
      <w:pPr>
        <w:spacing w:after="40"/>
        <w:rPr>
          <w:sz w:val="21"/>
          <w:szCs w:val="21"/>
        </w:rPr>
      </w:pPr>
    </w:p>
    <w:p w14:paraId="368EB322" w14:textId="77777777" w:rsidR="00C100E8" w:rsidRDefault="00C100E8">
      <w:pPr>
        <w:spacing w:after="40"/>
        <w:rPr>
          <w:sz w:val="21"/>
          <w:szCs w:val="21"/>
        </w:rPr>
      </w:pPr>
    </w:p>
    <w:p w14:paraId="5857973B" w14:textId="77777777" w:rsidR="00C100E8" w:rsidRDefault="00C100E8">
      <w:pPr>
        <w:spacing w:after="40"/>
        <w:rPr>
          <w:sz w:val="21"/>
          <w:szCs w:val="21"/>
        </w:rPr>
      </w:pPr>
    </w:p>
    <w:p w14:paraId="5A56ECE9" w14:textId="77777777" w:rsidR="00C100E8" w:rsidRDefault="00C100E8">
      <w:pPr>
        <w:spacing w:after="40"/>
        <w:rPr>
          <w:sz w:val="21"/>
          <w:szCs w:val="21"/>
        </w:rPr>
      </w:pPr>
    </w:p>
    <w:p w14:paraId="43E14621" w14:textId="77777777" w:rsidR="00C100E8" w:rsidRDefault="00C100E8">
      <w:pPr>
        <w:spacing w:after="40"/>
        <w:rPr>
          <w:sz w:val="21"/>
          <w:szCs w:val="21"/>
        </w:rPr>
      </w:pPr>
    </w:p>
    <w:p w14:paraId="6ADA911E" w14:textId="77777777" w:rsidR="00C100E8" w:rsidRDefault="00C100E8">
      <w:pPr>
        <w:spacing w:after="40"/>
        <w:rPr>
          <w:sz w:val="21"/>
          <w:szCs w:val="21"/>
        </w:rPr>
      </w:pPr>
    </w:p>
    <w:p w14:paraId="780ED44C" w14:textId="77777777" w:rsidR="00C100E8" w:rsidRDefault="00C100E8">
      <w:pPr>
        <w:spacing w:after="40"/>
        <w:rPr>
          <w:sz w:val="21"/>
          <w:szCs w:val="21"/>
        </w:rPr>
      </w:pPr>
    </w:p>
    <w:p w14:paraId="71FC9E3D" w14:textId="77777777" w:rsidR="00C100E8" w:rsidRDefault="00C100E8">
      <w:pPr>
        <w:spacing w:after="40"/>
        <w:rPr>
          <w:sz w:val="21"/>
          <w:szCs w:val="21"/>
        </w:rPr>
      </w:pPr>
    </w:p>
    <w:p w14:paraId="1AA78420" w14:textId="77777777" w:rsidR="00C100E8" w:rsidRDefault="00C100E8">
      <w:pPr>
        <w:spacing w:after="40"/>
        <w:rPr>
          <w:sz w:val="21"/>
          <w:szCs w:val="21"/>
        </w:rPr>
      </w:pPr>
    </w:p>
    <w:p w14:paraId="20A22537" w14:textId="77777777" w:rsidR="00C100E8" w:rsidRDefault="00C100E8">
      <w:pPr>
        <w:spacing w:after="40"/>
        <w:rPr>
          <w:sz w:val="21"/>
          <w:szCs w:val="21"/>
        </w:rPr>
      </w:pPr>
    </w:p>
    <w:p w14:paraId="0039507C" w14:textId="77777777" w:rsidR="00C100E8" w:rsidRDefault="00C100E8">
      <w:pPr>
        <w:spacing w:after="40"/>
        <w:rPr>
          <w:sz w:val="21"/>
          <w:szCs w:val="21"/>
        </w:rPr>
      </w:pPr>
    </w:p>
    <w:p w14:paraId="7C1E770D" w14:textId="077A7724" w:rsidR="000530F1" w:rsidRDefault="000530F1">
      <w:pPr>
        <w:spacing w:after="40"/>
        <w:rPr>
          <w:sz w:val="21"/>
          <w:szCs w:val="21"/>
        </w:rPr>
      </w:pPr>
      <w:r>
        <w:rPr>
          <w:sz w:val="21"/>
          <w:szCs w:val="21"/>
        </w:rPr>
        <w:lastRenderedPageBreak/>
        <w:t>Component Diagram:</w:t>
      </w:r>
    </w:p>
    <w:p w14:paraId="6B41A301" w14:textId="77777777" w:rsidR="000530F1" w:rsidRDefault="000530F1">
      <w:pPr>
        <w:spacing w:after="40"/>
        <w:rPr>
          <w:sz w:val="21"/>
          <w:szCs w:val="21"/>
        </w:rPr>
      </w:pPr>
    </w:p>
    <w:p w14:paraId="26F828D7" w14:textId="31A97A07" w:rsidR="000530F1" w:rsidRPr="000530F1" w:rsidRDefault="00C100E8">
      <w:pPr>
        <w:spacing w:after="40"/>
        <w:rPr>
          <w:sz w:val="21"/>
          <w:szCs w:val="21"/>
        </w:rPr>
      </w:pPr>
      <w:r>
        <w:rPr>
          <w:noProof/>
        </w:rPr>
        <w:drawing>
          <wp:inline distT="0" distB="0" distL="0" distR="0" wp14:anchorId="37D93B53" wp14:editId="68C66105">
            <wp:extent cx="6317558" cy="4373880"/>
            <wp:effectExtent l="0" t="0" r="7620" b="7620"/>
            <wp:docPr id="2090477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20930" cy="4376215"/>
                    </a:xfrm>
                    <a:prstGeom prst="rect">
                      <a:avLst/>
                    </a:prstGeom>
                    <a:noFill/>
                    <a:ln>
                      <a:noFill/>
                    </a:ln>
                  </pic:spPr>
                </pic:pic>
              </a:graphicData>
            </a:graphic>
          </wp:inline>
        </w:drawing>
      </w:r>
    </w:p>
    <w:sectPr w:rsidR="000530F1" w:rsidRPr="000530F1">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70EB"/>
    <w:multiLevelType w:val="hybridMultilevel"/>
    <w:tmpl w:val="624A1416"/>
    <w:lvl w:ilvl="0" w:tplc="F54E6478">
      <w:start w:val="1"/>
      <w:numFmt w:val="bullet"/>
      <w:lvlText w:val="●"/>
      <w:lvlJc w:val="left"/>
      <w:pPr>
        <w:ind w:left="720" w:hanging="360"/>
      </w:pPr>
    </w:lvl>
    <w:lvl w:ilvl="1" w:tplc="AAF037E2">
      <w:start w:val="1"/>
      <w:numFmt w:val="bullet"/>
      <w:lvlText w:val="○"/>
      <w:lvlJc w:val="left"/>
      <w:pPr>
        <w:ind w:left="1440" w:hanging="360"/>
      </w:pPr>
    </w:lvl>
    <w:lvl w:ilvl="2" w:tplc="41D86372">
      <w:start w:val="1"/>
      <w:numFmt w:val="bullet"/>
      <w:lvlText w:val="■"/>
      <w:lvlJc w:val="left"/>
      <w:pPr>
        <w:ind w:left="2160" w:hanging="360"/>
      </w:pPr>
    </w:lvl>
    <w:lvl w:ilvl="3" w:tplc="82E4FD8C">
      <w:start w:val="1"/>
      <w:numFmt w:val="bullet"/>
      <w:lvlText w:val="●"/>
      <w:lvlJc w:val="left"/>
      <w:pPr>
        <w:ind w:left="2880" w:hanging="360"/>
      </w:pPr>
    </w:lvl>
    <w:lvl w:ilvl="4" w:tplc="757A478E">
      <w:start w:val="1"/>
      <w:numFmt w:val="bullet"/>
      <w:lvlText w:val="○"/>
      <w:lvlJc w:val="left"/>
      <w:pPr>
        <w:ind w:left="3600" w:hanging="360"/>
      </w:pPr>
    </w:lvl>
    <w:lvl w:ilvl="5" w:tplc="69C65408">
      <w:start w:val="1"/>
      <w:numFmt w:val="bullet"/>
      <w:lvlText w:val="■"/>
      <w:lvlJc w:val="left"/>
      <w:pPr>
        <w:ind w:left="4320" w:hanging="360"/>
      </w:pPr>
    </w:lvl>
    <w:lvl w:ilvl="6" w:tplc="466AE208">
      <w:start w:val="1"/>
      <w:numFmt w:val="bullet"/>
      <w:lvlText w:val="●"/>
      <w:lvlJc w:val="left"/>
      <w:pPr>
        <w:ind w:left="5040" w:hanging="360"/>
      </w:pPr>
    </w:lvl>
    <w:lvl w:ilvl="7" w:tplc="C7580F4E">
      <w:start w:val="1"/>
      <w:numFmt w:val="bullet"/>
      <w:lvlText w:val="●"/>
      <w:lvlJc w:val="left"/>
      <w:pPr>
        <w:ind w:left="5760" w:hanging="360"/>
      </w:pPr>
    </w:lvl>
    <w:lvl w:ilvl="8" w:tplc="8676EAC2">
      <w:start w:val="1"/>
      <w:numFmt w:val="bullet"/>
      <w:lvlText w:val="●"/>
      <w:lvlJc w:val="left"/>
      <w:pPr>
        <w:ind w:left="6480" w:hanging="360"/>
      </w:pPr>
    </w:lvl>
  </w:abstractNum>
  <w:num w:numId="1" w16cid:durableId="1435520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4E8"/>
    <w:rsid w:val="000530F1"/>
    <w:rsid w:val="0033155A"/>
    <w:rsid w:val="005234E8"/>
    <w:rsid w:val="00C10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925D"/>
  <w15:docId w15:val="{81FD8476-92C6-42EA-B841-BBD762CDA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Likhith S</cp:lastModifiedBy>
  <cp:revision>2</cp:revision>
  <dcterms:created xsi:type="dcterms:W3CDTF">2026-09-08T05:39:00Z</dcterms:created>
  <dcterms:modified xsi:type="dcterms:W3CDTF">2026-09-08T06:07:00Z</dcterms:modified>
</cp:coreProperties>
</file>