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E53E3E"/>
          <w:sz w:val="18"/>
          <w:szCs w:val="18"/>
        </w:rPr>
        <w:t xml:space="preserve">BUSINESS PLAN SECTION</w:t>
      </w:r>
    </w:p>
    <w:p>
      <w:pPr>
        <w:spacing w:after="200"/>
      </w:pPr>
      <w:r>
        <w:rPr>
          <w:rFonts w:ascii="Arial" w:cs="Arial" w:eastAsia="Arial" w:hAnsi="Arial"/>
          <w:b/>
          <w:bCs/>
          <w:color w:val="9B2C2C"/>
          <w:sz w:val="36"/>
          <w:szCs w:val="36"/>
        </w:rPr>
        <w:t xml:space="preserve">Compliance &amp; Fundability</w:t>
      </w:r>
    </w:p>
    <w:p>
      <w:pPr>
        <w:spacing w:after="300"/>
      </w:pPr>
      <w:r>
        <w:rPr>
          <w:rFonts w:ascii="Arial" w:cs="Arial" w:eastAsia="Arial" w:hAnsi="Arial"/>
          <w:i/>
          <w:iCs/>
          <w:color w:val="4a5568"/>
          <w:sz w:val="18"/>
          <w:szCs w:val="18"/>
        </w:rPr>
        <w:t xml:space="preserve">Prepared for commercial banks, credit unions and development lenders including the Saint Lucia Development Bank (SLDB)</w:t>
      </w:r>
    </w:p>
    <w:p>
      <w:pPr>
        <w:pStyle w:val="Heading1"/>
      </w:pPr>
      <w:r>
        <w:t xml:space="preserve">1. Legal Structure &amp; Registration</w:t>
      </w:r>
    </w:p>
    <w:p>
      <w:pPr>
        <w:spacing w:after="120"/>
      </w:pPr>
      <w:r>
        <w:t xml:space="preserve">Kafetye Bar &amp; Cafe operates as a properly constituted food and beverage business under the laws of Saint Lucia. The enterprise maintains a registered local business address at its premises in Point Seraphine, Castries — a high-visibility duty-free and cruise-port location that provides both operational presence and strong foot-traffic advantages required by local financial institutions.</w:t>
      </w:r>
    </w:p>
    <w:p>
      <w:pPr>
        <w:spacing w:after="120"/>
      </w:pPr>
      <w:r>
        <w:t xml:space="preserve">The business holds (or is finalising) official Registration/Incorporation documents under the Companies Act, Cap. 13.01 of the Revised Laws of Saint Lucia. This establishes the legal personality and limited-liability framework expected by commercial lenders and credit committees.</w:t>
      </w:r>
    </w:p>
    <w:p>
      <w:pPr>
        <w:pStyle w:val="Heading1"/>
      </w:pPr>
      <w:r>
        <w:t xml:space="preserve">2. Tax Identification &amp; Statutory Compliance</w:t>
      </w:r>
    </w:p>
    <w:p>
      <w:pPr>
        <w:spacing w:after="120"/>
      </w:pPr>
      <w:r>
        <w:t xml:space="preserve">A Tax Identification Number (TIN) / Tax Account Number has been obtained from the Inland Revenue Department (IRD). This identifier is used for all tax filings, VAT considerations and formal business correspondence, demonstrating fiscal transparency.</w:t>
      </w:r>
    </w:p>
    <w:p>
      <w:pPr>
        <w:spacing w:after="120"/>
      </w:pPr>
      <w:r>
        <w:t xml:space="preserve">National Insurance Corporation (NIC) registration is in place for the business and its employees, ensuring compliance with social-security obligations and evidencing formal employment practices — a key underwriting consideration for local banks and the SLDB.</w:t>
      </w:r>
    </w:p>
    <w:p>
      <w:pPr>
        <w:pStyle w:val="Heading1"/>
      </w:pPr>
      <w:r>
        <w:t xml:space="preserve">3. Banking &amp; Financial Infrastructure</w:t>
      </w:r>
    </w:p>
    <w:p>
      <w:pPr>
        <w:spacing w:after="120"/>
      </w:pPr>
      <w:r>
        <w:t xml:space="preserve">Kafetye maintains a dedicated business bank account with a licensed commercial bank in Saint Lucia. All trading receipts, supplier payments and operational expenses flow through this account, creating a clear audit trail and facilitating credit analysis by potential lenders.</w:t>
      </w:r>
    </w:p>
    <w:p>
      <w:pPr>
        <w:pStyle w:val="Heading1"/>
      </w:pPr>
      <w:r>
        <w:t xml:space="preserve">4. Sector-Specific Licensing</w:t>
      </w:r>
    </w:p>
    <w:p>
      <w:pPr>
        <w:spacing w:after="120"/>
      </w:pPr>
      <w:r>
        <w:t xml:space="preserve">As a restaurant, bar and café serving food and alcoholic beverages, Kafetye is subject to the Public Health Act and related regulations. A Public Health Licence issued by the Environmental Health Division (Ministry of Health) is held or actively pursued, authorising lawful operation of a food establishment. Food Handler Certificates for staff and, where applicable, a Liquor Licence under the Liquor Licence Act are maintained.</w:t>
      </w:r>
    </w:p>
    <w:p>
      <w:pPr>
        <w:spacing w:after="120"/>
      </w:pPr>
      <w:r>
        <w:t xml:space="preserve">Public liability insurance and compliance with smoking-control and other public-health requirements further demonstrate operational readiness to lenders and regulators.</w:t>
      </w:r>
    </w:p>
    <w:p>
      <w:pPr>
        <w:pStyle w:val="Heading1"/>
      </w:pPr>
      <w:r>
        <w:t xml:space="preserve">5. Commercial Trade References</w:t>
      </w:r>
    </w:p>
    <w:p>
      <w:pPr>
        <w:spacing w:after="120"/>
      </w:pPr>
      <w:r>
        <w:t xml:space="preserve">Kafetye has established commercial relationships with local and regional food suppliers, beverage distributors, and service providers. These trade references demonstrate an operating history of reliable commercial conduct and provide lenders with independent verification of business activity.</w:t>
      </w:r>
    </w:p>
    <w:p>
      <w:pPr>
        <w:pStyle w:val="Heading1"/>
      </w:pPr>
      <w:r>
        <w:t xml:space="preserve">6. Summary for Credit Committees</w:t>
      </w:r>
    </w:p>
    <w:p>
      <w:pPr>
        <w:spacing w:after="120"/>
      </w:pPr>
      <w:r>
        <w:t xml:space="preserve">The combination of a registered local address in a high-traffic tourism location, formal company/business registration under the Companies Act, valid TIN and NIC registrations, a dedicated business bank account, Public Health and Liquor licensing, and established commercial trade references positions Kafetye Bar &amp; Cafe as a low-risk, fully compliant counterpart for commercial lending, working-capital facilities and growth capital from local banks, credit unions and development institutions such as the Saint Lucia Development Bank.</w:t>
      </w:r>
    </w:p>
    <w:p>
      <w:pPr>
        <w:spacing w:before="400"/>
      </w:pPr>
      <w:r>
        <w:rPr>
          <w:i/>
          <w:iCs/>
          <w:color w:val="718096"/>
          <w:sz w:val="16"/>
          <w:szCs w:val="16"/>
        </w:rPr>
        <w:t xml:space="preserve">Document prepared for internal use and submission to financial institutions. All information is accurate to the best of management’s knowledge at the date of preparation.</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6"/>
      </w:pBdr>
      <w:spacing w:before="100"/>
    </w:pPr>
    <w:r>
      <w:rPr>
        <w:rFonts w:ascii="Arial" w:cs="Arial" w:eastAsia="Arial" w:hAnsi="Arial"/>
        <w:color w:val="718096"/>
        <w:sz w:val="16"/>
        <w:szCs w:val="16"/>
      </w:rPr>
      <w:t xml:space="preserve">Kafetye Bar &amp; Cafe  |  Compliance &amp; Fundability  |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Pr>
        <w:p>
          <w:r>
            <w:drawing>
              <wp:inline distT="0" distB="0" distL="0" distR="0">
                <wp:extent cx="904875" cy="666750"/>
                <wp:effectExtent t="0" r="0" b="0" l="0"/>
                <wp:docPr id="1" name="p" descr="photo" title="Kafet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666750"/>
                        </a:xfrm>
                        <a:prstGeom prst="rect">
                          <a:avLst/>
                        </a:prstGeom>
                      </pic:spPr>
                    </pic:pic>
                  </a:graphicData>
                </a:graphic>
              </wp:inline>
            </w:drawing>
          </w:r>
        </w:p>
      </w:tc>
      <w:tc>
        <w:tcPr>
          <w:tcW w:type="dxa" w:w="7560"/>
          <w:tcBorders>
            <w:top w:val="none" w:color="FFFFFF" w:sz="0"/>
            <w:left w:val="none" w:color="FFFFFF" w:sz="0"/>
            <w:bottom w:val="none" w:color="FFFFFF" w:sz="0"/>
            <w:right w:val="none" w:color="FFFFFF" w:sz="0"/>
          </w:tcBorders>
          <w:vAlign w:val="center"/>
        </w:tcPr>
        <w:p>
          <w:r>
            <w:rPr>
              <w:rFonts w:ascii="Arial" w:cs="Arial" w:eastAsia="Arial" w:hAnsi="Arial"/>
              <w:b/>
              <w:bCs/>
              <w:color w:val="9B2C2C"/>
              <w:sz w:val="28"/>
              <w:szCs w:val="28"/>
            </w:rPr>
            <w:t xml:space="preserve">KAFETYE BAR &amp; CAFE</w:t>
          </w:r>
        </w:p>
        <w:p>
          <w:r>
            <w:rPr>
              <w:rFonts w:ascii="Arial" w:cs="Arial" w:eastAsia="Arial" w:hAnsi="Arial"/>
              <w:color w:val="4a5568"/>
              <w:sz w:val="18"/>
              <w:szCs w:val="18"/>
            </w:rPr>
            <w:t xml:space="preserve">Point Seraphine, Castries, Saint Lucia  |  Soul Food &amp; Drinks</w:t>
          </w:r>
        </w:p>
        <w:p>
          <w:r>
            <w:rPr>
              <w:rFonts w:ascii="Arial" w:cs="Arial" w:eastAsia="Arial" w:hAnsi="Arial"/>
              <w:color w:val="718096"/>
              <w:sz w:val="16"/>
              <w:szCs w:val="16"/>
            </w:rPr>
            <w:t xml:space="preserve">Upscale Dining  •  Crafted Cocktails  •  Late-Night Lounge</w:t>
          </w:r>
        </w:p>
      </w:tc>
    </w:tr>
  </w:tbl>
  <w:p>
    <w:pPr>
      <w:pBdr>
        <w:bottom w:val="single" w:color="E53E3E"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Arial" w:cs="Arial" w:eastAsia="Arial" w:hAnsi="Arial"/>
      <w:b/>
      <w:bCs/>
      <w:color w:val="9B2C2C"/>
      <w:sz w:val="28"/>
      <w:szCs w:val="28"/>
    </w:rPr>
  </w:style>
  <w:style w:type="paragraph" w:styleId="Heading2">
    <w:name w:val="Heading 2"/>
    <w:basedOn w:val="Normal"/>
    <w:next w:val="Normal"/>
    <w:pPr>
      <w:spacing w:after="100" w:before="200"/>
    </w:pPr>
    <w:rPr>
      <w:rFonts w:ascii="Arial" w:cs="Arial" w:eastAsia="Arial" w:hAnsi="Arial"/>
      <w:b/>
      <w:bCs/>
      <w:color w:val="C530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73da11ff4f754be6d2d272c3fdcce800359e5b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2026-10-15T16:47:37.168Z</dcterms:created>
  <dcterms:modified xsi:type="dcterms:W3CDTF">2026-10-15T16:47:37.172Z</dcterms:modified>
</cp:coreProperties>
</file>

<file path=docProps/custom.xml><?xml version="1.0" encoding="utf-8"?>
<Properties xmlns="http://schemas.openxmlformats.org/officeDocument/2006/custom-properties" xmlns:vt="http://schemas.openxmlformats.org/officeDocument/2006/docPropsVTypes"/>
</file>