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E53E3E"/>
          <w:sz w:val="16"/>
          <w:szCs w:val="16"/>
        </w:rPr>
        <w:t xml:space="preserve">LENDER-READY FINANCIAL MODEL</w:t>
      </w:r>
    </w:p>
    <w:p>
      <w:pPr>
        <w:spacing w:after="160"/>
      </w:pPr>
      <w:r>
        <w:rPr>
          <w:b/>
          <w:bCs/>
          <w:color w:val="9B2C2C"/>
          <w:sz w:val="32"/>
          <w:szCs w:val="32"/>
        </w:rPr>
        <w:t xml:space="preserve">Three-Year Financial Projections</w:t>
      </w:r>
    </w:p>
    <w:p>
      <w:pPr>
        <w:spacing w:after="80"/>
      </w:pPr>
      <w:r>
        <w:rPr>
          <w:i/>
          <w:iCs/>
          <w:color w:val="4a5568"/>
          <w:sz w:val="18"/>
          <w:szCs w:val="18"/>
        </w:rPr>
        <w:t xml:space="preserve">Currency: Eastern Caribbean Dollars (XCD / $XCD)</w:t>
      </w:r>
    </w:p>
    <w:p>
      <w:pPr>
        <w:spacing w:after="240"/>
      </w:pPr>
      <w:r>
        <w:rPr>
          <w:color w:val="4a5568"/>
          <w:sz w:val="16"/>
          <w:szCs w:val="16"/>
        </w:rPr>
        <w:t xml:space="preserve">Assumptions: Year 1 Revenue EC$1,450,000  |  Annual Growth 15%  |  Operating Expenses ≈ 55–58% of Revenue (incl. COGS structure for F&amp;B)</w:t>
      </w:r>
    </w:p>
    <w:p>
      <w:pPr>
        <w:pStyle w:val="Heading1"/>
      </w:pPr>
      <w:r>
        <w:t xml:space="preserve">Key Assumptions</w:t>
      </w:r>
    </w:p>
    <w:p>
      <w:pPr>
        <w:spacing w:after="80"/>
      </w:pPr>
      <w:r>
        <w:t xml:space="preserve">• Mix of food sales, beverage/cocktail sales and late-night lounge revenue</w:t>
      </w:r>
    </w:p>
    <w:p>
      <w:pPr>
        <w:spacing w:after="80"/>
      </w:pPr>
      <w:r>
        <w:t xml:space="preserve">• Strong cruise-passenger and duty-free visitor traffic at Point Seraphine plus local evening clientele</w:t>
      </w:r>
    </w:p>
    <w:p>
      <w:pPr>
        <w:spacing w:after="80"/>
      </w:pPr>
      <w:r>
        <w:t xml:space="preserve">• Average check value and covers growing with reputation and menu refinement</w:t>
      </w:r>
    </w:p>
    <w:p>
      <w:pPr>
        <w:spacing w:after="80"/>
      </w:pPr>
      <w:r>
        <w:t xml:space="preserve">• Cost of goods (food &amp; beverage) targeted at 28–32% of revenue</w:t>
      </w:r>
    </w:p>
    <w:p>
      <w:pPr>
        <w:spacing w:after="200"/>
      </w:pPr>
      <w:r>
        <w:t xml:space="preserve">• Operating expenses include rent, salaries, utilities, marketing, insurance, compliance and supplies</w:t>
      </w:r>
    </w:p>
    <w:p>
      <w:pPr>
        <w:pStyle w:val="Heading1"/>
      </w:pPr>
      <w:r>
        <w:t xml:space="preserve">Income Statement Projection (XCD)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c>
          <w:tcPr>
            <w:tcW w:type="dxa" w:w="312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9B2C2C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Line Item</w:t>
            </w:r>
          </w:p>
        </w:tc>
        <w:tc>
          <w:tcPr>
            <w:tcW w:type="dxa" w:w="20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9B2C2C" w:val="clear"/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 1</w:t>
            </w:r>
          </w:p>
        </w:tc>
        <w:tc>
          <w:tcPr>
            <w:tcW w:type="dxa" w:w="20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9B2C2C" w:val="clear"/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 2</w:t>
            </w:r>
          </w:p>
        </w:tc>
        <w:tc>
          <w:tcPr>
            <w:tcW w:type="dxa" w:w="20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9B2C2C" w:val="clear"/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 3</w:t>
            </w:r>
          </w:p>
        </w:tc>
      </w:tr>
      <w:tr>
        <w:tc>
          <w:tcPr>
            <w:tcW w:type="dxa" w:w="312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Food Revenue</w:t>
            </w:r>
          </w:p>
        </w:tc>
        <w:tc>
          <w:tcPr>
            <w:tcW w:type="dxa" w:w="20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725,000</w:t>
            </w:r>
          </w:p>
        </w:tc>
        <w:tc>
          <w:tcPr>
            <w:tcW w:type="dxa" w:w="20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833,750</w:t>
            </w:r>
          </w:p>
        </w:tc>
        <w:tc>
          <w:tcPr>
            <w:tcW w:type="dxa" w:w="20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958,813</w:t>
            </w:r>
          </w:p>
        </w:tc>
      </w:tr>
      <w:tr>
        <w:tc>
          <w:tcPr>
            <w:tcW w:type="dxa" w:w="312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ED7D7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Beverage &amp; Cocktail Revenue</w:t>
            </w:r>
          </w:p>
        </w:tc>
        <w:tc>
          <w:tcPr>
            <w:tcW w:type="dxa" w:w="20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ED7D7" w:val="clear"/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580,000</w:t>
            </w:r>
          </w:p>
        </w:tc>
        <w:tc>
          <w:tcPr>
            <w:tcW w:type="dxa" w:w="20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ED7D7" w:val="clear"/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667,000</w:t>
            </w:r>
          </w:p>
        </w:tc>
        <w:tc>
          <w:tcPr>
            <w:tcW w:type="dxa" w:w="20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ED7D7" w:val="clear"/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767,050</w:t>
            </w:r>
          </w:p>
        </w:tc>
      </w:tr>
      <w:tr>
        <w:tc>
          <w:tcPr>
            <w:tcW w:type="dxa" w:w="312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Other / Lounge &amp; Events</w:t>
            </w:r>
          </w:p>
        </w:tc>
        <w:tc>
          <w:tcPr>
            <w:tcW w:type="dxa" w:w="20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145,000</w:t>
            </w:r>
          </w:p>
        </w:tc>
        <w:tc>
          <w:tcPr>
            <w:tcW w:type="dxa" w:w="20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166,750</w:t>
            </w:r>
          </w:p>
        </w:tc>
        <w:tc>
          <w:tcPr>
            <w:tcW w:type="dxa" w:w="20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191,763</w:t>
            </w:r>
          </w:p>
        </w:tc>
      </w:tr>
      <w:tr>
        <w:tc>
          <w:tcPr>
            <w:tcW w:type="dxa" w:w="312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02c"/>
                <w:sz w:val="18"/>
                <w:szCs w:val="18"/>
              </w:rPr>
              <w:t xml:space="preserve">Total Revenue</w:t>
            </w:r>
          </w:p>
        </w:tc>
        <w:tc>
          <w:tcPr>
            <w:tcW w:type="dxa" w:w="20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202c"/>
                <w:sz w:val="18"/>
                <w:szCs w:val="18"/>
              </w:rPr>
              <w:t xml:space="preserve">1,450,000</w:t>
            </w:r>
          </w:p>
        </w:tc>
        <w:tc>
          <w:tcPr>
            <w:tcW w:type="dxa" w:w="20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202c"/>
                <w:sz w:val="18"/>
                <w:szCs w:val="18"/>
              </w:rPr>
              <w:t xml:space="preserve">1,667,500</w:t>
            </w:r>
          </w:p>
        </w:tc>
        <w:tc>
          <w:tcPr>
            <w:tcW w:type="dxa" w:w="20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202c"/>
                <w:sz w:val="18"/>
                <w:szCs w:val="18"/>
              </w:rPr>
              <w:t xml:space="preserve">1,917,625</w:t>
            </w:r>
          </w:p>
        </w:tc>
      </w:tr>
      <w:tr>
        <w:tc>
          <w:tcPr>
            <w:tcW w:type="dxa" w:w="312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ED7D7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Cost of Goods Sold (Food &amp; Bev)</w:t>
            </w:r>
          </w:p>
        </w:tc>
        <w:tc>
          <w:tcPr>
            <w:tcW w:type="dxa" w:w="20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ED7D7" w:val="clear"/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435,000</w:t>
            </w:r>
          </w:p>
        </w:tc>
        <w:tc>
          <w:tcPr>
            <w:tcW w:type="dxa" w:w="20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ED7D7" w:val="clear"/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483,575</w:t>
            </w:r>
          </w:p>
        </w:tc>
        <w:tc>
          <w:tcPr>
            <w:tcW w:type="dxa" w:w="20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ED7D7" w:val="clear"/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536,935</w:t>
            </w:r>
          </w:p>
        </w:tc>
      </w:tr>
      <w:tr>
        <w:tc>
          <w:tcPr>
            <w:tcW w:type="dxa" w:w="312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02c"/>
                <w:sz w:val="18"/>
                <w:szCs w:val="18"/>
              </w:rPr>
              <w:t xml:space="preserve">Gross Profit</w:t>
            </w:r>
          </w:p>
        </w:tc>
        <w:tc>
          <w:tcPr>
            <w:tcW w:type="dxa" w:w="20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202c"/>
                <w:sz w:val="18"/>
                <w:szCs w:val="18"/>
              </w:rPr>
              <w:t xml:space="preserve">1,015,000</w:t>
            </w:r>
          </w:p>
        </w:tc>
        <w:tc>
          <w:tcPr>
            <w:tcW w:type="dxa" w:w="20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202c"/>
                <w:sz w:val="18"/>
                <w:szCs w:val="18"/>
              </w:rPr>
              <w:t xml:space="preserve">1,183,925</w:t>
            </w:r>
          </w:p>
        </w:tc>
        <w:tc>
          <w:tcPr>
            <w:tcW w:type="dxa" w:w="20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202c"/>
                <w:sz w:val="18"/>
                <w:szCs w:val="18"/>
              </w:rPr>
              <w:t xml:space="preserve">1,380,690</w:t>
            </w:r>
          </w:p>
        </w:tc>
      </w:tr>
      <w:tr>
        <w:tc>
          <w:tcPr>
            <w:tcW w:type="dxa" w:w="312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ED7D7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Gross Margin %</w:t>
            </w:r>
          </w:p>
        </w:tc>
        <w:tc>
          <w:tcPr>
            <w:tcW w:type="dxa" w:w="20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ED7D7" w:val="clear"/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70.0%</w:t>
            </w:r>
          </w:p>
        </w:tc>
        <w:tc>
          <w:tcPr>
            <w:tcW w:type="dxa" w:w="20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ED7D7" w:val="clear"/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71.0%</w:t>
            </w:r>
          </w:p>
        </w:tc>
        <w:tc>
          <w:tcPr>
            <w:tcW w:type="dxa" w:w="20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ED7D7" w:val="clear"/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72.0%</w:t>
            </w:r>
          </w:p>
        </w:tc>
      </w:tr>
      <w:tr>
        <w:tc>
          <w:tcPr>
            <w:tcW w:type="dxa" w:w="312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Operating Expenses</w:t>
            </w:r>
          </w:p>
        </w:tc>
        <w:tc>
          <w:tcPr>
            <w:tcW w:type="dxa" w:w="20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870,000</w:t>
            </w:r>
          </w:p>
        </w:tc>
        <w:tc>
          <w:tcPr>
            <w:tcW w:type="dxa" w:w="20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950,475</w:t>
            </w:r>
          </w:p>
        </w:tc>
        <w:tc>
          <w:tcPr>
            <w:tcW w:type="dxa" w:w="20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1,035,518</w:t>
            </w:r>
          </w:p>
        </w:tc>
      </w:tr>
      <w:tr>
        <w:tc>
          <w:tcPr>
            <w:tcW w:type="dxa" w:w="312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ED7D7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  - Salaries &amp; Benefits</w:t>
            </w:r>
          </w:p>
        </w:tc>
        <w:tc>
          <w:tcPr>
            <w:tcW w:type="dxa" w:w="20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ED7D7" w:val="clear"/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420,000</w:t>
            </w:r>
          </w:p>
        </w:tc>
        <w:tc>
          <w:tcPr>
            <w:tcW w:type="dxa" w:w="20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ED7D7" w:val="clear"/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462,000</w:t>
            </w:r>
          </w:p>
        </w:tc>
        <w:tc>
          <w:tcPr>
            <w:tcW w:type="dxa" w:w="20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ED7D7" w:val="clear"/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508,200</w:t>
            </w:r>
          </w:p>
        </w:tc>
      </w:tr>
      <w:tr>
        <w:tc>
          <w:tcPr>
            <w:tcW w:type="dxa" w:w="312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  - Rent &amp; Utilities</w:t>
            </w:r>
          </w:p>
        </w:tc>
        <w:tc>
          <w:tcPr>
            <w:tcW w:type="dxa" w:w="20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180,000</w:t>
            </w:r>
          </w:p>
        </w:tc>
        <w:tc>
          <w:tcPr>
            <w:tcW w:type="dxa" w:w="20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189,000</w:t>
            </w:r>
          </w:p>
        </w:tc>
        <w:tc>
          <w:tcPr>
            <w:tcW w:type="dxa" w:w="20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198,450</w:t>
            </w:r>
          </w:p>
        </w:tc>
      </w:tr>
      <w:tr>
        <w:tc>
          <w:tcPr>
            <w:tcW w:type="dxa" w:w="312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ED7D7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  - Marketing &amp; Promotions</w:t>
            </w:r>
          </w:p>
        </w:tc>
        <w:tc>
          <w:tcPr>
            <w:tcW w:type="dxa" w:w="20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ED7D7" w:val="clear"/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72,500</w:t>
            </w:r>
          </w:p>
        </w:tc>
        <w:tc>
          <w:tcPr>
            <w:tcW w:type="dxa" w:w="20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ED7D7" w:val="clear"/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83,375</w:t>
            </w:r>
          </w:p>
        </w:tc>
        <w:tc>
          <w:tcPr>
            <w:tcW w:type="dxa" w:w="20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ED7D7" w:val="clear"/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95,881</w:t>
            </w:r>
          </w:p>
        </w:tc>
      </w:tr>
      <w:tr>
        <w:tc>
          <w:tcPr>
            <w:tcW w:type="dxa" w:w="312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  - Insurance, Licences, Compliance</w:t>
            </w:r>
          </w:p>
        </w:tc>
        <w:tc>
          <w:tcPr>
            <w:tcW w:type="dxa" w:w="20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48,000</w:t>
            </w:r>
          </w:p>
        </w:tc>
        <w:tc>
          <w:tcPr>
            <w:tcW w:type="dxa" w:w="20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52,800</w:t>
            </w:r>
          </w:p>
        </w:tc>
        <w:tc>
          <w:tcPr>
            <w:tcW w:type="dxa" w:w="20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58,080</w:t>
            </w:r>
          </w:p>
        </w:tc>
      </w:tr>
      <w:tr>
        <w:tc>
          <w:tcPr>
            <w:tcW w:type="dxa" w:w="312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ED7D7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  - Supplies, Maintenance &amp; Other</w:t>
            </w:r>
          </w:p>
        </w:tc>
        <w:tc>
          <w:tcPr>
            <w:tcW w:type="dxa" w:w="20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ED7D7" w:val="clear"/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149,500</w:t>
            </w:r>
          </w:p>
        </w:tc>
        <w:tc>
          <w:tcPr>
            <w:tcW w:type="dxa" w:w="20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ED7D7" w:val="clear"/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163,300</w:t>
            </w:r>
          </w:p>
        </w:tc>
        <w:tc>
          <w:tcPr>
            <w:tcW w:type="dxa" w:w="20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ED7D7" w:val="clear"/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174,907</w:t>
            </w:r>
          </w:p>
        </w:tc>
      </w:tr>
      <w:tr>
        <w:tc>
          <w:tcPr>
            <w:tcW w:type="dxa" w:w="312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02c"/>
                <w:sz w:val="18"/>
                <w:szCs w:val="18"/>
              </w:rPr>
              <w:t xml:space="preserve">Net Profit Before Tax</w:t>
            </w:r>
          </w:p>
        </w:tc>
        <w:tc>
          <w:tcPr>
            <w:tcW w:type="dxa" w:w="20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202c"/>
                <w:sz w:val="18"/>
                <w:szCs w:val="18"/>
              </w:rPr>
              <w:t xml:space="preserve">145,000</w:t>
            </w:r>
          </w:p>
        </w:tc>
        <w:tc>
          <w:tcPr>
            <w:tcW w:type="dxa" w:w="20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202c"/>
                <w:sz w:val="18"/>
                <w:szCs w:val="18"/>
              </w:rPr>
              <w:t xml:space="preserve">233,450</w:t>
            </w:r>
          </w:p>
        </w:tc>
        <w:tc>
          <w:tcPr>
            <w:tcW w:type="dxa" w:w="20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202c"/>
                <w:sz w:val="18"/>
                <w:szCs w:val="18"/>
              </w:rPr>
              <w:t xml:space="preserve">345,172</w:t>
            </w:r>
          </w:p>
        </w:tc>
      </w:tr>
    </w:tbl>
    <w:p>
      <w:pPr>
        <w:pStyle w:val="Heading1"/>
        <w:spacing w:before="280"/>
      </w:pPr>
      <w:r>
        <w:t xml:space="preserve">Commentary for Lenders</w:t>
      </w:r>
    </w:p>
    <w:p>
      <w:pPr>
        <w:spacing w:after="120"/>
      </w:pPr>
      <w:r>
        <w:t xml:space="preserve">The projections are conservative for a well-located food-and-beverage operation in a cruise and duty-free hub. Gross margins reflect typical F&amp;B structures with beverage contribution supporting overall profitability. Year 1 establishes baseline covers and reputation; Years 2–3 benefit from growing local and repeat tourist traffic plus refined menu and event programming.</w:t>
      </w:r>
    </w:p>
    <w:p>
      <w:pPr>
        <w:spacing w:after="120"/>
      </w:pPr>
      <w:r>
        <w:t xml:space="preserve">These figures are presented in a clean table format suitable for inclusion in credit applications to commercial banks, credit unions and the Saint Lucia Development Bank. Detailed monthly cash-flow schedules and sensitivity analyses can be provided upon request.</w:t>
      </w:r>
    </w:p>
    <w:p>
      <w:pPr>
        <w:spacing w:before="300"/>
      </w:pPr>
      <w:r>
        <w:rPr>
          <w:i/>
          <w:iCs/>
          <w:color w:val="718096"/>
          <w:sz w:val="16"/>
          <w:szCs w:val="16"/>
        </w:rPr>
        <w:t xml:space="preserve">Figures are illustrative and based on management assumptions. Actual results will vary. Prepared for discussion with financial institutions.</w:t>
      </w:r>
    </w:p>
    <w:sectPr>
      <w:headerReference w:type="default" r:id="rId7"/>
      <w:footerReference w:type="default" r:id="rId8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0" w:sz="6"/>
      </w:pBdr>
      <w:spacing w:before="100"/>
    </w:pPr>
    <w:r>
      <w:rPr>
        <w:rFonts w:ascii="Arial" w:cs="Arial" w:eastAsia="Arial" w:hAnsi="Arial"/>
        <w:color w:val="718096"/>
        <w:sz w:val="16"/>
        <w:szCs w:val="16"/>
      </w:rPr>
      <w:t xml:space="preserve">Kafetye Bar &amp; Cafe  |  3-Year Financial Projections  |  Page </w:t>
    </w:r>
    <w:r>
      <w:rPr>
        <w:rFonts w:ascii="Arial" w:cs="Arial" w:eastAsia="Arial" w:hAnsi="Arial"/>
        <w:color w:val="71809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800"/>
      <w:gridCol w:w="7560"/>
    </w:tblGrid>
    <w:tr>
      <w:tc>
        <w:tcPr>
          <w:tcW w:type="dxa" w:w="1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drawing>
              <wp:inline distT="0" distB="0" distL="0" distR="0">
                <wp:extent cx="904875" cy="666750"/>
                <wp:effectExtent t="0" r="0" b="0" l="0"/>
                <wp:docPr id="1" name="p" descr="photo" title="Kafety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04875" cy="666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5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r>
            <w:rPr>
              <w:rFonts w:ascii="Arial" w:cs="Arial" w:eastAsia="Arial" w:hAnsi="Arial"/>
              <w:b/>
              <w:bCs/>
              <w:color w:val="9B2C2C"/>
              <w:sz w:val="28"/>
              <w:szCs w:val="28"/>
            </w:rPr>
            <w:t xml:space="preserve">KAFETYE BAR &amp; CAFE</w:t>
          </w:r>
        </w:p>
        <w:p>
          <w:r>
            <w:rPr>
              <w:rFonts w:ascii="Arial" w:cs="Arial" w:eastAsia="Arial" w:hAnsi="Arial"/>
              <w:color w:val="4a5568"/>
              <w:sz w:val="18"/>
              <w:szCs w:val="18"/>
            </w:rPr>
            <w:t xml:space="preserve">Point Seraphine, Castries, Saint Lucia  |  Soul Food &amp; Drinks</w:t>
          </w:r>
        </w:p>
        <w:p>
          <w:r>
            <w:rPr>
              <w:rFonts w:ascii="Arial" w:cs="Arial" w:eastAsia="Arial" w:hAnsi="Arial"/>
              <w:color w:val="718096"/>
              <w:sz w:val="16"/>
              <w:szCs w:val="16"/>
            </w:rPr>
            <w:t xml:space="preserve">Upscale Dining  •  Crafted Cocktails  •  Late-Night Lounge</w:t>
          </w:r>
        </w:p>
      </w:tc>
    </w:tr>
  </w:tbl>
  <w:p>
    <w:pPr>
      <w:pBdr>
        <w:bottom w:val="single" w:color="E53E3E" w:sz="12"/>
      </w:pBdr>
      <w:spacing w:after="20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240"/>
    </w:pPr>
    <w:rPr>
      <w:rFonts w:ascii="Arial" w:cs="Arial" w:eastAsia="Arial" w:hAnsi="Arial"/>
      <w:b/>
      <w:bCs/>
      <w:color w:val="9B2C2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373da11ff4f754be6d2d272c3fdcce800359e5bb.jp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2026-10-15T16:48:20.559Z</dcterms:created>
  <dcterms:modified xsi:type="dcterms:W3CDTF">2026-10-15T16:48:20.559Z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