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E53E3E"/>
          <w:sz w:val="16"/>
          <w:szCs w:val="16"/>
        </w:rPr>
        <w:t xml:space="preserve">THE BANK WHISPERER – LENDER-FOCUSED SWOT</w:t>
      </w:r>
    </w:p>
    <w:p>
      <w:pPr>
        <w:spacing w:after="120"/>
      </w:pPr>
      <w:r>
        <w:rPr>
          <w:b/>
          <w:bCs/>
          <w:color w:val="9B2C2C"/>
          <w:sz w:val="32"/>
          <w:szCs w:val="32"/>
        </w:rPr>
        <w:t xml:space="preserve">SWOT Analysis for Lenders</w:t>
      </w:r>
    </w:p>
    <w:p>
      <w:pPr>
        <w:spacing w:after="240"/>
      </w:pPr>
      <w:r>
        <w:rPr>
          <w:i/>
          <w:iCs/>
          <w:color w:val="4a5568"/>
          <w:sz w:val="18"/>
          <w:szCs w:val="18"/>
        </w:rPr>
        <w:t xml:space="preserve">Kafetye Bar &amp; Cafe – Restaurant / Food &amp; Beverage Sector</w:t>
      </w:r>
    </w:p>
    <w:p>
      <w:pPr>
        <w:pStyle w:val="Heading1"/>
      </w:pPr>
      <w:r>
        <w:t xml:space="preserve">STRENGTHS</w:t>
      </w:r>
    </w:p>
    <w:p>
      <w:pPr>
        <w:pStyle w:val="Heading2"/>
      </w:pPr>
      <w:r>
        <w:t xml:space="preserve">S1. Prime Point Seraphine Location</w:t>
      </w:r>
    </w:p>
    <w:p>
      <w:pPr>
        <w:spacing w:after="80"/>
      </w:pPr>
      <w:r>
        <w:rPr>
          <w:b/>
          <w:bCs/>
        </w:rPr>
        <w:t xml:space="preserve">Leverage plan: </w:t>
      </w:r>
      <w:r>
        <w:t xml:space="preserve">Maximise daytime cruise and duty-free traffic while converting evening local patronage through consistent quality, events and digital marketing. Location supports both volume and brand visibility.</w:t>
      </w:r>
    </w:p>
    <w:p>
      <w:pPr>
        <w:pStyle w:val="Heading2"/>
      </w:pPr>
      <w:r>
        <w:t xml:space="preserve">S2. Differentiated Soul-Food + Cocktail + Lounge Offering</w:t>
      </w:r>
    </w:p>
    <w:p>
      <w:pPr>
        <w:spacing w:after="80"/>
      </w:pPr>
      <w:r>
        <w:rPr>
          <w:b/>
          <w:bCs/>
        </w:rPr>
        <w:t xml:space="preserve">Leverage plan: </w:t>
      </w:r>
      <w:r>
        <w:t xml:space="preserve">Continue menu refinement and cocktail programme to increase average check and repeat visits; promote the dual ‘dining + nightlife’ experience.</w:t>
      </w:r>
    </w:p>
    <w:p>
      <w:pPr>
        <w:pStyle w:val="Heading2"/>
      </w:pPr>
      <w:r>
        <w:t xml:space="preserve">S3. Strong Review Profile &amp; Brand Presence</w:t>
      </w:r>
    </w:p>
    <w:p>
      <w:pPr>
        <w:spacing w:after="160"/>
      </w:pPr>
      <w:r>
        <w:rPr>
          <w:b/>
          <w:bCs/>
        </w:rPr>
        <w:t xml:space="preserve">Leverage plan: </w:t>
      </w:r>
      <w:r>
        <w:t xml:space="preserve">Maintain high service standards and encourage reviews; use social proof in marketing to accelerate new-customer acquisition.</w:t>
      </w:r>
    </w:p>
    <w:p>
      <w:pPr>
        <w:pStyle w:val="Heading1"/>
      </w:pPr>
      <w:r>
        <w:t xml:space="preserve">WEAKNESSES</w:t>
      </w:r>
    </w:p>
    <w:p>
      <w:pPr>
        <w:pStyle w:val="Heading2"/>
      </w:pPr>
      <w:r>
        <w:t xml:space="preserve">W1. Seasonality Linked to Cruise &amp; Tourism Calendar</w:t>
      </w:r>
    </w:p>
    <w:p>
      <w:pPr>
        <w:spacing w:after="80"/>
      </w:pPr>
      <w:r>
        <w:rPr>
          <w:b/>
          <w:bCs/>
        </w:rPr>
        <w:t xml:space="preserve">Mitigation: </w:t>
      </w:r>
      <w:r>
        <w:t xml:space="preserve">Build local evening and weekday loyalty programmes; develop private-event and group packages; maintain cost flexibility in quieter periods.</w:t>
      </w:r>
    </w:p>
    <w:p>
      <w:pPr>
        <w:pStyle w:val="Heading2"/>
      </w:pPr>
      <w:r>
        <w:t xml:space="preserve">W2. Reliance on Key Suppliers for Certain Ingredients &amp; Beverages</w:t>
      </w:r>
    </w:p>
    <w:p>
      <w:pPr>
        <w:spacing w:after="160"/>
      </w:pPr>
      <w:r>
        <w:rPr>
          <w:b/>
          <w:bCs/>
        </w:rPr>
        <w:t xml:space="preserve">Mitigation: </w:t>
      </w:r>
      <w:r>
        <w:t xml:space="preserve">Maintain multiple supplier relationships; engineer menu around available local produce where practical; hold buffer stock of critical dry goods and popular spirits.</w:t>
      </w:r>
    </w:p>
    <w:p>
      <w:pPr>
        <w:pStyle w:val="Heading1"/>
      </w:pPr>
      <w:r>
        <w:t xml:space="preserve">OPPORTUNITIES</w:t>
      </w:r>
    </w:p>
    <w:p>
      <w:pPr>
        <w:pStyle w:val="Heading2"/>
      </w:pPr>
      <w:r>
        <w:t xml:space="preserve">O1. Growing Cruise Arrivals and Tourism Recovery</w:t>
      </w:r>
    </w:p>
    <w:p>
      <w:pPr>
        <w:spacing w:after="80"/>
      </w:pPr>
      <w:r>
        <w:rPr>
          <w:b/>
          <w:bCs/>
        </w:rPr>
        <w:t xml:space="preserve">Leverage plan: </w:t>
      </w:r>
      <w:r>
        <w:t xml:space="preserve">Align staffing and promotions with peak ship schedules; partner with tour operators and hotels for recommended dining.</w:t>
      </w:r>
    </w:p>
    <w:p>
      <w:pPr>
        <w:pStyle w:val="Heading2"/>
      </w:pPr>
      <w:r>
        <w:t xml:space="preserve">O2. Expansion of Events, Private Dining and Takeaway</w:t>
      </w:r>
    </w:p>
    <w:p>
      <w:pPr>
        <w:spacing w:after="160"/>
      </w:pPr>
      <w:r>
        <w:rPr>
          <w:b/>
          <w:bCs/>
        </w:rPr>
        <w:t xml:space="preserve">Leverage plan: </w:t>
      </w:r>
      <w:r>
        <w:t xml:space="preserve">Grow higher-margin event and group business; expand digital ordering for takeaway and delivery where logistics allow.</w:t>
      </w:r>
    </w:p>
    <w:p>
      <w:pPr>
        <w:pStyle w:val="Heading1"/>
      </w:pPr>
      <w:r>
        <w:t xml:space="preserve">THREATS</w:t>
      </w:r>
    </w:p>
    <w:p>
      <w:pPr>
        <w:pStyle w:val="Heading2"/>
      </w:pPr>
      <w:r>
        <w:t xml:space="preserve">T1. Supply-Chain or Price Volatility on Imported Goods</w:t>
      </w:r>
    </w:p>
    <w:p>
      <w:pPr>
        <w:spacing w:after="80"/>
      </w:pPr>
      <w:r>
        <w:rPr>
          <w:b/>
          <w:bCs/>
        </w:rPr>
        <w:t xml:space="preserve">Mitigation: </w:t>
      </w:r>
      <w:r>
        <w:t xml:space="preserve">Menu flexibility, supplier diversification and regular cost reviews; pass-through pricing where market allows.</w:t>
      </w:r>
    </w:p>
    <w:p>
      <w:pPr>
        <w:pStyle w:val="Heading2"/>
      </w:pPr>
      <w:r>
        <w:t xml:space="preserve">T2. Competitive Pressure from Other Harbour-Front Outlets</w:t>
      </w:r>
    </w:p>
    <w:p>
      <w:pPr>
        <w:spacing w:after="80"/>
      </w:pPr>
      <w:r>
        <w:rPr>
          <w:b/>
          <w:bCs/>
        </w:rPr>
        <w:t xml:space="preserve">Mitigation: </w:t>
      </w:r>
      <w:r>
        <w:t xml:space="preserve">Protect differentiation through consistent quality, atmosphere and service; invest in review management and targeted promotions.</w:t>
      </w:r>
    </w:p>
    <w:p>
      <w:pPr>
        <w:pStyle w:val="Heading2"/>
      </w:pPr>
      <w:r>
        <w:t xml:space="preserve">T3. Regulatory or Licensing Changes</w:t>
      </w:r>
    </w:p>
    <w:p>
      <w:pPr>
        <w:spacing w:after="160"/>
      </w:pPr>
      <w:r>
        <w:rPr>
          <w:b/>
          <w:bCs/>
        </w:rPr>
        <w:t xml:space="preserve">Mitigation: </w:t>
      </w:r>
      <w:r>
        <w:t xml:space="preserve">Maintain full compliance with Public Health, Liquor Licence and employment regulations; stay informed via industry associations and professional advisors.</w:t>
      </w:r>
    </w:p>
    <w:p>
      <w:pPr>
        <w:spacing w:before="200"/>
      </w:pPr>
      <w:r>
        <w:rPr>
          <w:i/>
          <w:iCs/>
          <w:color w:val="718096"/>
          <w:sz w:val="16"/>
          <w:szCs w:val="16"/>
        </w:rPr>
        <w:t xml:space="preserve">This SWOT is deliberately written for credit committee officers. Every weakness and threat is paired with a concrete mitigation action to demonstrate active risk management.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6"/>
      </w:pBdr>
      <w:spacing w:before="100"/>
    </w:pPr>
    <w:r>
      <w:rPr>
        <w:rFonts w:ascii="Arial" w:cs="Arial" w:eastAsia="Arial" w:hAnsi="Arial"/>
        <w:color w:val="718096"/>
        <w:sz w:val="16"/>
        <w:szCs w:val="16"/>
      </w:rPr>
      <w:t xml:space="preserve">Kafetye Bar &amp; Cafe  |  Lender-Focused SWOT Analysis  |  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800"/>
      <w:gridCol w:w="7560"/>
    </w:tblGrid>
    <w:tr>
      <w:tc>
        <w:tcPr>
          <w:tcW w:type="dxa" w:w="1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904875" cy="666750"/>
                <wp:effectExtent t="0" r="0" b="0" l="0"/>
                <wp:docPr id="1" name="p" descr="photo" title="Kafety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5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9B2C2C"/>
              <w:sz w:val="28"/>
              <w:szCs w:val="28"/>
            </w:rPr>
            <w:t xml:space="preserve">KAFETYE BAR &amp; CAFE</w:t>
          </w:r>
        </w:p>
        <w:p>
          <w:r>
            <w:rPr>
              <w:rFonts w:ascii="Arial" w:cs="Arial" w:eastAsia="Arial" w:hAnsi="Arial"/>
              <w:color w:val="4a5568"/>
              <w:sz w:val="18"/>
              <w:szCs w:val="18"/>
            </w:rPr>
            <w:t xml:space="preserve">Point Seraphine, Castries, Saint Lucia  |  Soul Food &amp; Drinks</w:t>
          </w:r>
        </w:p>
        <w:p>
          <w:r>
            <w:rPr>
              <w:rFonts w:ascii="Arial" w:cs="Arial" w:eastAsia="Arial" w:hAnsi="Arial"/>
              <w:color w:val="718096"/>
              <w:sz w:val="16"/>
              <w:szCs w:val="16"/>
            </w:rPr>
            <w:t xml:space="preserve">Upscale Dining  •  Crafted Cocktails  •  Late-Night Lounge</w:t>
          </w:r>
        </w:p>
      </w:tc>
    </w:tr>
  </w:tbl>
  <w:p>
    <w:pPr>
      <w:pBdr>
        <w:bottom w:val="single" w:color="E53E3E" w:sz="12"/>
      </w:pBdr>
      <w:spacing w:after="2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</w:pPr>
    <w:rPr>
      <w:rFonts w:ascii="Arial" w:cs="Arial" w:eastAsia="Arial" w:hAnsi="Arial"/>
      <w:b/>
      <w:bCs/>
      <w:color w:val="9B2C2C"/>
      <w:sz w:val="26"/>
      <w:szCs w:val="26"/>
    </w:rPr>
  </w:style>
  <w:style w:type="paragraph" w:styleId="Heading2">
    <w:name w:val="Heading 2"/>
    <w:basedOn w:val="Normal"/>
    <w:next w:val="Normal"/>
    <w:pPr>
      <w:spacing w:after="80" w:before="180"/>
    </w:pPr>
    <w:rPr>
      <w:rFonts w:ascii="Arial" w:cs="Arial" w:eastAsia="Arial" w:hAnsi="Arial"/>
      <w:b/>
      <w:bCs/>
      <w:color w:val="C5303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73da11ff4f754be6d2d272c3fdcce800359e5bb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2026-10-15T16:50:16.858Z</dcterms:created>
  <dcterms:modified xsi:type="dcterms:W3CDTF">2026-10-15T16:50:16.859Z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