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53E3E"/>
          <w:sz w:val="16"/>
          <w:szCs w:val="16"/>
        </w:rPr>
        <w:t xml:space="preserve">THE GREEN LIGHT CHECKLIST</w:t>
      </w:r>
    </w:p>
    <w:p>
      <w:pPr>
        <w:spacing w:after="120"/>
      </w:pPr>
      <w:r>
        <w:rPr>
          <w:b/>
          <w:bCs/>
          <w:color w:val="9B2C2C"/>
          <w:sz w:val="30"/>
          <w:szCs w:val="30"/>
        </w:rPr>
        <w:t xml:space="preserve">Regional Compliance Checklist</w:t>
      </w:r>
    </w:p>
    <w:p>
      <w:pPr>
        <w:spacing w:after="200"/>
      </w:pPr>
      <w:r>
        <w:rPr>
          <w:i/>
          <w:iCs/>
          <w:color w:val="4a5568"/>
          <w:sz w:val="18"/>
          <w:szCs w:val="18"/>
        </w:rPr>
        <w:t xml:space="preserve">Restaurant / Bar / Café – Point Seraphine, Castries, Saint Lucia</w:t>
      </w:r>
    </w:p>
    <w:p>
      <w:pPr>
        <w:spacing w:after="140"/>
      </w:pPr>
      <w:r>
        <w:t xml:space="preserve">This checklist summarises the principal licensing, permit and statutory requirements applicable to a restaurant, bar and café operating at Point Seraphine, Castries. It is designed as a practical working tool for management and for presentation to lenders or regulators.</w:t>
      </w:r>
    </w:p>
    <w:p>
      <w:pPr>
        <w:pStyle w:val="Heading1"/>
      </w:pPr>
      <w:r>
        <w:t xml:space="preserve">A. Business Formation &amp;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Authority / Agency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 / Notes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Business Name / Company Registration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Registry of Companies &amp; Intellectual Property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Companies Act Cap. 13.01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Notice of Address / Registered Office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Registry of Companies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Local address required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Notice of Directors / Beneficial Ownership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Registry of Companies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Post-incorporation filings</w:t>
            </w:r>
          </w:p>
        </w:tc>
      </w:tr>
    </w:tbl>
    <w:p>
      <w:pPr>
        <w:pStyle w:val="Heading1"/>
      </w:pPr>
      <w:r>
        <w:t xml:space="preserve">B. Tax &amp; Social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Authority / Agency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 / Notes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Tax Identification Number (TIN) / Tax Account Number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Inland Revenue Department (IRD)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Required for all tax filings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NIC Registration (Employer &amp; Employees)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National Insurance Corporation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Statutory contributions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VAT Registration (if applicable threshold met)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Inland Revenue Department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Monitor turnover threshold</w:t>
            </w:r>
          </w:p>
        </w:tc>
      </w:tr>
    </w:tbl>
    <w:p>
      <w:pPr>
        <w:pStyle w:val="Heading1"/>
      </w:pPr>
      <w:r>
        <w:t xml:space="preserve">C. Food, Health &amp; Liquor Licensing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Authority / Agency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 / Notes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Public Health Licence (Food Establishment)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Environmental Health Division / Ministry of Health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Public Health Act – annual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Food Handler Certificates (staff)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Ministry of Health / authorised training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Required for food handlers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Liquor Licence (if serving alcohol)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Licensing Board under Liquor Licence Act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Restaurant / Refreshment House category</w:t>
            </w:r>
          </w:p>
        </w:tc>
      </w:tr>
    </w:tbl>
    <w:p>
      <w:pPr>
        <w:pStyle w:val="Heading1"/>
      </w:pPr>
      <w:r>
        <w:t xml:space="preserve">D. Premises, Planning &amp; Local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Authority / Agency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9B2C2C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 / Notes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Town &amp; Country Planning / Land Use Compliance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Development Control Authority / relevant Ministry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Confirm permitted use of premises</w:t>
            </w:r>
          </w:p>
        </w:tc>
      </w:tr>
      <w:tr>
        <w:tc>
          <w:tcPr>
            <w:tcW w:type="dxa" w:w="4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Lease / Occupancy documentation for Point Seraphine premises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Landlord / Port / relevant authority</w:t>
            </w:r>
          </w:p>
        </w:tc>
        <w:tc>
          <w:tcPr>
            <w:tcW w:type="dxa" w:w="25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ED7D7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02c"/>
                <w:sz w:val="17"/>
                <w:szCs w:val="17"/>
              </w:rPr>
              <w:t xml:space="preserve">Evidence of right to occupy</w:t>
            </w:r>
          </w:p>
        </w:tc>
      </w:tr>
    </w:tbl>
    <w:p>
      <w:pPr>
        <w:pStyle w:val="Heading1"/>
      </w:pPr>
      <w:r>
        <w:t xml:space="preserve">E. Insurance &amp; Operational</w:t>
      </w:r>
    </w:p>
    <w:p>
      <w:pPr>
        <w:spacing w:after="80"/>
      </w:pPr>
      <w:r>
        <w:t xml:space="preserve">• Public liability insurance and employers’ liability / workers’ compensation as required.</w:t>
      </w:r>
    </w:p>
    <w:p>
      <w:pPr>
        <w:spacing w:after="80"/>
      </w:pPr>
      <w:r>
        <w:t xml:space="preserve">• Compliance with Public Health (Smoking Control) Regulations for indoor/outdoor areas.</w:t>
      </w:r>
    </w:p>
    <w:p>
      <w:pPr>
        <w:spacing w:after="160"/>
      </w:pPr>
      <w:r>
        <w:t xml:space="preserve">• Record-keeping systems sufficient for IRD, NIC, Public Health and Liquor Licence obligations.</w:t>
      </w:r>
    </w:p>
    <w:p>
      <w:pPr>
        <w:spacing w:before="160"/>
      </w:pPr>
      <w:r>
        <w:rPr>
          <w:i/>
          <w:iCs/>
          <w:color w:val="718096"/>
          <w:sz w:val="15"/>
          <w:szCs w:val="15"/>
        </w:rPr>
        <w:t xml:space="preserve">This checklist is a management aid and does not constitute legal advice. Requirements should be confirmed with the relevant authorities and qualified counsel as regulations evolve.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/>
      </w:pBdr>
      <w:spacing w:before="100"/>
    </w:pPr>
    <w:r>
      <w:rPr>
        <w:rFonts w:ascii="Arial" w:cs="Arial" w:eastAsia="Arial" w:hAnsi="Arial"/>
        <w:color w:val="718096"/>
        <w:sz w:val="16"/>
        <w:szCs w:val="16"/>
      </w:rPr>
      <w:t xml:space="preserve">Kafetye Bar &amp; Cafe  |  Regional Compliance Checklist  |  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7560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904875" cy="666750"/>
                <wp:effectExtent t="0" r="0" b="0" l="0"/>
                <wp:docPr id="1" name="p" descr="photo" title="Kafety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9B2C2C"/>
              <w:sz w:val="28"/>
              <w:szCs w:val="28"/>
            </w:rPr>
            <w:t xml:space="preserve">KAFETYE BAR &amp; CAFE</w:t>
          </w:r>
        </w:p>
        <w:p>
          <w:r>
            <w:rPr>
              <w:rFonts w:ascii="Arial" w:cs="Arial" w:eastAsia="Arial" w:hAnsi="Arial"/>
              <w:color w:val="4a5568"/>
              <w:sz w:val="18"/>
              <w:szCs w:val="18"/>
            </w:rPr>
            <w:t xml:space="preserve">Point Seraphine, Castries, Saint Lucia  |  Soul Food &amp; Drinks</w:t>
          </w:r>
        </w:p>
        <w:p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Upscale Dining  •  Crafted Cocktails  •  Late-Night Lounge</w:t>
          </w:r>
        </w:p>
      </w:tc>
    </w:tr>
  </w:tbl>
  <w:p>
    <w:pPr>
      <w:pBdr>
        <w:bottom w:val="single" w:color="E53E3E" w:sz="12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20"/>
    </w:pPr>
    <w:rPr>
      <w:rFonts w:ascii="Arial" w:cs="Arial" w:eastAsia="Arial" w:hAnsi="Arial"/>
      <w:b/>
      <w:bCs/>
      <w:color w:val="9B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3da11ff4f754be6d2d272c3fdcce800359e5b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2026-10-15T16:50:16.913Z</dcterms:created>
  <dcterms:modified xsi:type="dcterms:W3CDTF">2026-10-15T16:50:16.913Z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