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53E3E"/>
          <w:sz w:val="16"/>
          <w:szCs w:val="16"/>
        </w:rPr>
        <w:t xml:space="preserve">LENDER-READY BUSINESS PLAN</w:t>
      </w:r>
    </w:p>
    <w:p>
      <w:pPr>
        <w:spacing w:after="80"/>
      </w:pPr>
      <w:r>
        <w:rPr>
          <w:b/>
          <w:bCs/>
          <w:color w:val="9B2C2C"/>
          <w:sz w:val="32"/>
          <w:szCs w:val="32"/>
        </w:rPr>
        <w:t xml:space="preserve">Comprehensive Business Plan</w:t>
      </w:r>
    </w:p>
    <w:p>
      <w:pPr>
        <w:spacing w:after="200"/>
      </w:pPr>
      <w:r>
        <w:rPr>
          <w:i/>
          <w:iCs/>
          <w:color w:val="4a5568"/>
          <w:sz w:val="18"/>
          <w:szCs w:val="18"/>
        </w:rPr>
        <w:t xml:space="preserve">Kafetye Bar &amp; Cafe – Restaurant / Food &amp; Beverage, Point Seraphine</w:t>
      </w:r>
    </w:p>
    <w:p>
      <w:pPr>
        <w:pStyle w:val="Heading1"/>
      </w:pPr>
      <w:r>
        <w:t xml:space="preserve">1. Executive Summary</w:t>
      </w:r>
    </w:p>
    <w:p>
      <w:pPr>
        <w:spacing w:after="120"/>
      </w:pPr>
      <w:r>
        <w:t xml:space="preserve">Kafetye Bar &amp; Cafe is an upscale restaurant, bar and lounge at Point Seraphine, Castries, offering soul food, local Lucian dishes, crafted cocktails and a vibrant late-night atmosphere. Positioned in a high-traffic cruise and duty-free location, the business serves both visitors and local patrons. This plan supports applications for working-capital facilities, equipment financing or growth capital from commercial banks, credit unions and the Saint Lucia Development Bank.</w:t>
      </w:r>
    </w:p>
    <w:p>
      <w:pPr>
        <w:pStyle w:val="Heading1"/>
      </w:pPr>
      <w:r>
        <w:t xml:space="preserve">2. Company Description &amp; Operations</w:t>
      </w:r>
    </w:p>
    <w:p>
      <w:pPr>
        <w:spacing w:after="100"/>
      </w:pPr>
      <w:r>
        <w:t xml:space="preserve">Located at Point Seraphine, the venue provides full-service dining, beverage service and lounge energy. Operations cover daytime visitor traffic and evening local demand. Core processes include menu execution, inventory and supplier management, guest service, reservations and compliance with public-health and liquor regulations.</w:t>
      </w:r>
    </w:p>
    <w:p>
      <w:pPr>
        <w:pStyle w:val="Heading1"/>
      </w:pPr>
      <w:r>
        <w:t xml:space="preserve">3. Regional Market Analysis</w:t>
      </w:r>
    </w:p>
    <w:p>
      <w:pPr>
        <w:spacing w:after="100"/>
      </w:pPr>
      <w:r>
        <w:t xml:space="preserve">Saint Lucia’s tourism sector continues to recover and expand, with cruise and stay-over visitors generating strong F&amp;B demand in port locations. Point Seraphine is a primary gateway. Kafetye’s dual tourist–local model and differentiated soul-food/cocktail positioning address identifiable gaps in the immediate competitive set.</w:t>
      </w:r>
    </w:p>
    <w:p>
      <w:pPr>
        <w:pStyle w:val="Heading1"/>
      </w:pPr>
      <w:r>
        <w:t xml:space="preserve">4. Operations Plan</w:t>
      </w:r>
    </w:p>
    <w:p>
      <w:pPr>
        <w:spacing w:after="80"/>
      </w:pPr>
      <w:r>
        <w:t xml:space="preserve">• Location &amp; hours aligned with cruise schedules and evening demand.</w:t>
      </w:r>
    </w:p>
    <w:p>
      <w:pPr>
        <w:spacing w:after="80"/>
      </w:pPr>
      <w:r>
        <w:t xml:space="preserve">• Menu focused on signature Lucian/soul-food dishes and craft cocktails.</w:t>
      </w:r>
    </w:p>
    <w:p>
      <w:pPr>
        <w:spacing w:after="80"/>
      </w:pPr>
      <w:r>
        <w:t xml:space="preserve">• Supplier relationships for food, beverage and consumables.</w:t>
      </w:r>
    </w:p>
    <w:p>
      <w:pPr>
        <w:spacing w:after="80"/>
      </w:pPr>
      <w:r>
        <w:t xml:space="preserve">• Staff training, Food Handler certification and service standards.</w:t>
      </w:r>
    </w:p>
    <w:p>
      <w:pPr>
        <w:spacing w:after="120"/>
      </w:pPr>
      <w:r>
        <w:t xml:space="preserve">• Compliance: Public Health Licence, Liquor Licence, TIN, NIC.</w:t>
      </w:r>
    </w:p>
    <w:p>
      <w:pPr>
        <w:pStyle w:val="Heading1"/>
      </w:pPr>
      <w:r>
        <w:t xml:space="preserve">5. Risk Management Strategy</w:t>
      </w:r>
    </w:p>
    <w:p>
      <w:pPr>
        <w:spacing w:after="100"/>
      </w:pPr>
      <w:r>
        <w:t xml:space="preserve">Key risks (seasonality, supply costs, competition, regulatory) are mitigated through local loyalty building, supplier diversification, menu flexibility, strong review management and full licensing compliance. Full SWOT with mitigations is available as a companion document.</w:t>
      </w:r>
    </w:p>
    <w:p>
      <w:pPr>
        <w:pStyle w:val="Heading1"/>
      </w:pPr>
      <w:r>
        <w:t xml:space="preserve">6. Three-Year Financial Snapshot (XCD)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A0AEC0" w:sz="4"/>
              <w:left w:val="single" w:color="A0AEC0" w:sz="4"/>
              <w:bottom w:val="single" w:color="A0AEC0" w:sz="4"/>
              <w:right w:val="single" w:color="A0AEC0" w:sz="4"/>
            </w:tcBorders>
            <w:shd w:fill="9B2C2C" w:val="clear"/>
            <w:vAlign w:val="center"/>
          </w:tcPr>
          <w:p>
            <w:pPr>
              <w:jc w:val="left"/>
            </w:pPr>
            <w:r>
              <w:rPr>
                <w:rFonts w:ascii="Arial" w:cs="Arial" w:eastAsia="Arial" w:hAnsi="Arial"/>
                <w:b/>
                <w:bCs/>
                <w:color w:val="FFFFFF"/>
                <w:sz w:val="17"/>
                <w:szCs w:val="17"/>
              </w:rPr>
              <w:t xml:space="preserve">Metric</w:t>
            </w:r>
          </w:p>
        </w:tc>
        <w:tc>
          <w:tcPr>
            <w:tcW w:type="dxa" w:w="2080"/>
            <w:tcBorders>
              <w:top w:val="single" w:color="A0AEC0" w:sz="4"/>
              <w:left w:val="single" w:color="A0AEC0" w:sz="4"/>
              <w:bottom w:val="single" w:color="A0AEC0" w:sz="4"/>
              <w:right w:val="single" w:color="A0AEC0" w:sz="4"/>
            </w:tcBorders>
            <w:shd w:fill="9B2C2C" w:val="clear"/>
            <w:vAlign w:val="center"/>
          </w:tcPr>
          <w:p>
            <w:pPr>
              <w:jc w:val="right"/>
            </w:pPr>
            <w:r>
              <w:rPr>
                <w:rFonts w:ascii="Arial" w:cs="Arial" w:eastAsia="Arial" w:hAnsi="Arial"/>
                <w:b/>
                <w:bCs/>
                <w:color w:val="FFFFFF"/>
                <w:sz w:val="17"/>
                <w:szCs w:val="17"/>
              </w:rPr>
              <w:t xml:space="preserve">Year 1</w:t>
            </w:r>
          </w:p>
        </w:tc>
        <w:tc>
          <w:tcPr>
            <w:tcW w:type="dxa" w:w="2080"/>
            <w:tcBorders>
              <w:top w:val="single" w:color="A0AEC0" w:sz="4"/>
              <w:left w:val="single" w:color="A0AEC0" w:sz="4"/>
              <w:bottom w:val="single" w:color="A0AEC0" w:sz="4"/>
              <w:right w:val="single" w:color="A0AEC0" w:sz="4"/>
            </w:tcBorders>
            <w:shd w:fill="9B2C2C" w:val="clear"/>
            <w:vAlign w:val="center"/>
          </w:tcPr>
          <w:p>
            <w:pPr>
              <w:jc w:val="right"/>
            </w:pPr>
            <w:r>
              <w:rPr>
                <w:rFonts w:ascii="Arial" w:cs="Arial" w:eastAsia="Arial" w:hAnsi="Arial"/>
                <w:b/>
                <w:bCs/>
                <w:color w:val="FFFFFF"/>
                <w:sz w:val="17"/>
                <w:szCs w:val="17"/>
              </w:rPr>
              <w:t xml:space="preserve">Year 2</w:t>
            </w:r>
          </w:p>
        </w:tc>
        <w:tc>
          <w:tcPr>
            <w:tcW w:type="dxa" w:w="2080"/>
            <w:tcBorders>
              <w:top w:val="single" w:color="A0AEC0" w:sz="4"/>
              <w:left w:val="single" w:color="A0AEC0" w:sz="4"/>
              <w:bottom w:val="single" w:color="A0AEC0" w:sz="4"/>
              <w:right w:val="single" w:color="A0AEC0" w:sz="4"/>
            </w:tcBorders>
            <w:shd w:fill="9B2C2C" w:val="clear"/>
            <w:vAlign w:val="center"/>
          </w:tcPr>
          <w:p>
            <w:pPr>
              <w:jc w:val="right"/>
            </w:pPr>
            <w:r>
              <w:rPr>
                <w:rFonts w:ascii="Arial" w:cs="Arial" w:eastAsia="Arial" w:hAnsi="Arial"/>
                <w:b/>
                <w:bCs/>
                <w:color w:val="FFFFFF"/>
                <w:sz w:val="17"/>
                <w:szCs w:val="17"/>
              </w:rPr>
              <w:t xml:space="preserve">Year 3</w:t>
            </w:r>
          </w:p>
        </w:tc>
      </w:tr>
      <w:tr>
        <w:tc>
          <w:tcPr>
            <w:tcW w:type="dxa" w:w="3120"/>
            <w:tcBorders>
              <w:top w:val="single" w:color="A0AEC0" w:sz="4"/>
              <w:left w:val="single" w:color="A0AEC0" w:sz="4"/>
              <w:bottom w:val="single" w:color="A0AEC0" w:sz="4"/>
              <w:right w:val="single" w:color="A0AEC0" w:sz="4"/>
            </w:tcBorders>
            <w:vAlign w:val="center"/>
          </w:tcPr>
          <w:p>
            <w:pPr>
              <w:jc w:val="left"/>
            </w:pPr>
            <w:r>
              <w:rPr>
                <w:rFonts w:ascii="Arial" w:cs="Arial" w:eastAsia="Arial" w:hAnsi="Arial"/>
                <w:color w:val="1a202c"/>
                <w:sz w:val="17"/>
                <w:szCs w:val="17"/>
              </w:rPr>
              <w:t xml:space="preserve">Total Revenue</w:t>
            </w:r>
          </w:p>
        </w:tc>
        <w:tc>
          <w:tcPr>
            <w:tcW w:type="dxa" w:w="2080"/>
            <w:tcBorders>
              <w:top w:val="single" w:color="A0AEC0" w:sz="4"/>
              <w:left w:val="single" w:color="A0AEC0" w:sz="4"/>
              <w:bottom w:val="single" w:color="A0AEC0" w:sz="4"/>
              <w:right w:val="single" w:color="A0AEC0" w:sz="4"/>
            </w:tcBorders>
            <w:vAlign w:val="center"/>
          </w:tcPr>
          <w:p>
            <w:pPr>
              <w:jc w:val="right"/>
            </w:pPr>
            <w:r>
              <w:rPr>
                <w:rFonts w:ascii="Arial" w:cs="Arial" w:eastAsia="Arial" w:hAnsi="Arial"/>
                <w:color w:val="1a202c"/>
                <w:sz w:val="17"/>
                <w:szCs w:val="17"/>
              </w:rPr>
              <w:t xml:space="preserve">1,450,000</w:t>
            </w:r>
          </w:p>
        </w:tc>
        <w:tc>
          <w:tcPr>
            <w:tcW w:type="dxa" w:w="2080"/>
            <w:tcBorders>
              <w:top w:val="single" w:color="A0AEC0" w:sz="4"/>
              <w:left w:val="single" w:color="A0AEC0" w:sz="4"/>
              <w:bottom w:val="single" w:color="A0AEC0" w:sz="4"/>
              <w:right w:val="single" w:color="A0AEC0" w:sz="4"/>
            </w:tcBorders>
            <w:vAlign w:val="center"/>
          </w:tcPr>
          <w:p>
            <w:pPr>
              <w:jc w:val="right"/>
            </w:pPr>
            <w:r>
              <w:rPr>
                <w:rFonts w:ascii="Arial" w:cs="Arial" w:eastAsia="Arial" w:hAnsi="Arial"/>
                <w:color w:val="1a202c"/>
                <w:sz w:val="17"/>
                <w:szCs w:val="17"/>
              </w:rPr>
              <w:t xml:space="preserve">1,667,500</w:t>
            </w:r>
          </w:p>
        </w:tc>
        <w:tc>
          <w:tcPr>
            <w:tcW w:type="dxa" w:w="2080"/>
            <w:tcBorders>
              <w:top w:val="single" w:color="A0AEC0" w:sz="4"/>
              <w:left w:val="single" w:color="A0AEC0" w:sz="4"/>
              <w:bottom w:val="single" w:color="A0AEC0" w:sz="4"/>
              <w:right w:val="single" w:color="A0AEC0" w:sz="4"/>
            </w:tcBorders>
            <w:vAlign w:val="center"/>
          </w:tcPr>
          <w:p>
            <w:pPr>
              <w:jc w:val="right"/>
            </w:pPr>
            <w:r>
              <w:rPr>
                <w:rFonts w:ascii="Arial" w:cs="Arial" w:eastAsia="Arial" w:hAnsi="Arial"/>
                <w:color w:val="1a202c"/>
                <w:sz w:val="17"/>
                <w:szCs w:val="17"/>
              </w:rPr>
              <w:t xml:space="preserve">1,917,625</w:t>
            </w:r>
          </w:p>
        </w:tc>
      </w:tr>
      <w:tr>
        <w:tc>
          <w:tcPr>
            <w:tcW w:type="dxa" w:w="3120"/>
            <w:tcBorders>
              <w:top w:val="single" w:color="A0AEC0" w:sz="4"/>
              <w:left w:val="single" w:color="A0AEC0" w:sz="4"/>
              <w:bottom w:val="single" w:color="A0AEC0" w:sz="4"/>
              <w:right w:val="single" w:color="A0AEC0" w:sz="4"/>
            </w:tcBorders>
            <w:shd w:fill="FED7D7" w:val="clear"/>
            <w:vAlign w:val="center"/>
          </w:tcPr>
          <w:p>
            <w:pPr>
              <w:jc w:val="left"/>
            </w:pPr>
            <w:r>
              <w:rPr>
                <w:rFonts w:ascii="Arial" w:cs="Arial" w:eastAsia="Arial" w:hAnsi="Arial"/>
                <w:color w:val="1a202c"/>
                <w:sz w:val="17"/>
                <w:szCs w:val="17"/>
              </w:rPr>
              <w:t xml:space="preserve">Gross Profit</w:t>
            </w:r>
          </w:p>
        </w:tc>
        <w:tc>
          <w:tcPr>
            <w:tcW w:type="dxa" w:w="2080"/>
            <w:tcBorders>
              <w:top w:val="single" w:color="A0AEC0" w:sz="4"/>
              <w:left w:val="single" w:color="A0AEC0" w:sz="4"/>
              <w:bottom w:val="single" w:color="A0AEC0" w:sz="4"/>
              <w:right w:val="single" w:color="A0AEC0" w:sz="4"/>
            </w:tcBorders>
            <w:shd w:fill="FED7D7" w:val="clear"/>
            <w:vAlign w:val="center"/>
          </w:tcPr>
          <w:p>
            <w:pPr>
              <w:jc w:val="right"/>
            </w:pPr>
            <w:r>
              <w:rPr>
                <w:rFonts w:ascii="Arial" w:cs="Arial" w:eastAsia="Arial" w:hAnsi="Arial"/>
                <w:color w:val="1a202c"/>
                <w:sz w:val="17"/>
                <w:szCs w:val="17"/>
              </w:rPr>
              <w:t xml:space="preserve">1,015,000</w:t>
            </w:r>
          </w:p>
        </w:tc>
        <w:tc>
          <w:tcPr>
            <w:tcW w:type="dxa" w:w="2080"/>
            <w:tcBorders>
              <w:top w:val="single" w:color="A0AEC0" w:sz="4"/>
              <w:left w:val="single" w:color="A0AEC0" w:sz="4"/>
              <w:bottom w:val="single" w:color="A0AEC0" w:sz="4"/>
              <w:right w:val="single" w:color="A0AEC0" w:sz="4"/>
            </w:tcBorders>
            <w:shd w:fill="FED7D7" w:val="clear"/>
            <w:vAlign w:val="center"/>
          </w:tcPr>
          <w:p>
            <w:pPr>
              <w:jc w:val="right"/>
            </w:pPr>
            <w:r>
              <w:rPr>
                <w:rFonts w:ascii="Arial" w:cs="Arial" w:eastAsia="Arial" w:hAnsi="Arial"/>
                <w:color w:val="1a202c"/>
                <w:sz w:val="17"/>
                <w:szCs w:val="17"/>
              </w:rPr>
              <w:t xml:space="preserve">1,183,925</w:t>
            </w:r>
          </w:p>
        </w:tc>
        <w:tc>
          <w:tcPr>
            <w:tcW w:type="dxa" w:w="2080"/>
            <w:tcBorders>
              <w:top w:val="single" w:color="A0AEC0" w:sz="4"/>
              <w:left w:val="single" w:color="A0AEC0" w:sz="4"/>
              <w:bottom w:val="single" w:color="A0AEC0" w:sz="4"/>
              <w:right w:val="single" w:color="A0AEC0" w:sz="4"/>
            </w:tcBorders>
            <w:shd w:fill="FED7D7" w:val="clear"/>
            <w:vAlign w:val="center"/>
          </w:tcPr>
          <w:p>
            <w:pPr>
              <w:jc w:val="right"/>
            </w:pPr>
            <w:r>
              <w:rPr>
                <w:rFonts w:ascii="Arial" w:cs="Arial" w:eastAsia="Arial" w:hAnsi="Arial"/>
                <w:color w:val="1a202c"/>
                <w:sz w:val="17"/>
                <w:szCs w:val="17"/>
              </w:rPr>
              <w:t xml:space="preserve">1,380,690</w:t>
            </w:r>
          </w:p>
        </w:tc>
      </w:tr>
      <w:tr>
        <w:tc>
          <w:tcPr>
            <w:tcW w:type="dxa" w:w="3120"/>
            <w:tcBorders>
              <w:top w:val="single" w:color="A0AEC0" w:sz="4"/>
              <w:left w:val="single" w:color="A0AEC0" w:sz="4"/>
              <w:bottom w:val="single" w:color="A0AEC0" w:sz="4"/>
              <w:right w:val="single" w:color="A0AEC0" w:sz="4"/>
            </w:tcBorders>
            <w:vAlign w:val="center"/>
          </w:tcPr>
          <w:p>
            <w:pPr>
              <w:jc w:val="left"/>
            </w:pPr>
            <w:r>
              <w:rPr>
                <w:rFonts w:ascii="Arial" w:cs="Arial" w:eastAsia="Arial" w:hAnsi="Arial"/>
                <w:color w:val="1a202c"/>
                <w:sz w:val="17"/>
                <w:szCs w:val="17"/>
              </w:rPr>
              <w:t xml:space="preserve">Operating Expenses</w:t>
            </w:r>
          </w:p>
        </w:tc>
        <w:tc>
          <w:tcPr>
            <w:tcW w:type="dxa" w:w="2080"/>
            <w:tcBorders>
              <w:top w:val="single" w:color="A0AEC0" w:sz="4"/>
              <w:left w:val="single" w:color="A0AEC0" w:sz="4"/>
              <w:bottom w:val="single" w:color="A0AEC0" w:sz="4"/>
              <w:right w:val="single" w:color="A0AEC0" w:sz="4"/>
            </w:tcBorders>
            <w:vAlign w:val="center"/>
          </w:tcPr>
          <w:p>
            <w:pPr>
              <w:jc w:val="right"/>
            </w:pPr>
            <w:r>
              <w:rPr>
                <w:rFonts w:ascii="Arial" w:cs="Arial" w:eastAsia="Arial" w:hAnsi="Arial"/>
                <w:color w:val="1a202c"/>
                <w:sz w:val="17"/>
                <w:szCs w:val="17"/>
              </w:rPr>
              <w:t xml:space="preserve">870,000</w:t>
            </w:r>
          </w:p>
        </w:tc>
        <w:tc>
          <w:tcPr>
            <w:tcW w:type="dxa" w:w="2080"/>
            <w:tcBorders>
              <w:top w:val="single" w:color="A0AEC0" w:sz="4"/>
              <w:left w:val="single" w:color="A0AEC0" w:sz="4"/>
              <w:bottom w:val="single" w:color="A0AEC0" w:sz="4"/>
              <w:right w:val="single" w:color="A0AEC0" w:sz="4"/>
            </w:tcBorders>
            <w:vAlign w:val="center"/>
          </w:tcPr>
          <w:p>
            <w:pPr>
              <w:jc w:val="right"/>
            </w:pPr>
            <w:r>
              <w:rPr>
                <w:rFonts w:ascii="Arial" w:cs="Arial" w:eastAsia="Arial" w:hAnsi="Arial"/>
                <w:color w:val="1a202c"/>
                <w:sz w:val="17"/>
                <w:szCs w:val="17"/>
              </w:rPr>
              <w:t xml:space="preserve">950,475</w:t>
            </w:r>
          </w:p>
        </w:tc>
        <w:tc>
          <w:tcPr>
            <w:tcW w:type="dxa" w:w="2080"/>
            <w:tcBorders>
              <w:top w:val="single" w:color="A0AEC0" w:sz="4"/>
              <w:left w:val="single" w:color="A0AEC0" w:sz="4"/>
              <w:bottom w:val="single" w:color="A0AEC0" w:sz="4"/>
              <w:right w:val="single" w:color="A0AEC0" w:sz="4"/>
            </w:tcBorders>
            <w:vAlign w:val="center"/>
          </w:tcPr>
          <w:p>
            <w:pPr>
              <w:jc w:val="right"/>
            </w:pPr>
            <w:r>
              <w:rPr>
                <w:rFonts w:ascii="Arial" w:cs="Arial" w:eastAsia="Arial" w:hAnsi="Arial"/>
                <w:color w:val="1a202c"/>
                <w:sz w:val="17"/>
                <w:szCs w:val="17"/>
              </w:rPr>
              <w:t xml:space="preserve">1,035,518</w:t>
            </w:r>
          </w:p>
        </w:tc>
      </w:tr>
      <w:tr>
        <w:tc>
          <w:tcPr>
            <w:tcW w:type="dxa" w:w="3120"/>
            <w:tcBorders>
              <w:top w:val="single" w:color="A0AEC0" w:sz="4"/>
              <w:left w:val="single" w:color="A0AEC0" w:sz="4"/>
              <w:bottom w:val="single" w:color="A0AEC0" w:sz="4"/>
              <w:right w:val="single" w:color="A0AEC0" w:sz="4"/>
            </w:tcBorders>
            <w:vAlign w:val="center"/>
          </w:tcPr>
          <w:p>
            <w:pPr>
              <w:jc w:val="left"/>
            </w:pPr>
            <w:r>
              <w:rPr>
                <w:rFonts w:ascii="Arial" w:cs="Arial" w:eastAsia="Arial" w:hAnsi="Arial"/>
                <w:b/>
                <w:bCs/>
                <w:color w:val="1a202c"/>
                <w:sz w:val="17"/>
                <w:szCs w:val="17"/>
              </w:rPr>
              <w:t xml:space="preserve">Net Profit Before Tax</w:t>
            </w:r>
          </w:p>
        </w:tc>
        <w:tc>
          <w:tcPr>
            <w:tcW w:type="dxa" w:w="2080"/>
            <w:tcBorders>
              <w:top w:val="single" w:color="A0AEC0" w:sz="4"/>
              <w:left w:val="single" w:color="A0AEC0" w:sz="4"/>
              <w:bottom w:val="single" w:color="A0AEC0" w:sz="4"/>
              <w:right w:val="single" w:color="A0AEC0" w:sz="4"/>
            </w:tcBorders>
            <w:vAlign w:val="center"/>
          </w:tcPr>
          <w:p>
            <w:pPr>
              <w:jc w:val="right"/>
            </w:pPr>
            <w:r>
              <w:rPr>
                <w:rFonts w:ascii="Arial" w:cs="Arial" w:eastAsia="Arial" w:hAnsi="Arial"/>
                <w:b/>
                <w:bCs/>
                <w:color w:val="1a202c"/>
                <w:sz w:val="17"/>
                <w:szCs w:val="17"/>
              </w:rPr>
              <w:t xml:space="preserve">145,000</w:t>
            </w:r>
          </w:p>
        </w:tc>
        <w:tc>
          <w:tcPr>
            <w:tcW w:type="dxa" w:w="2080"/>
            <w:tcBorders>
              <w:top w:val="single" w:color="A0AEC0" w:sz="4"/>
              <w:left w:val="single" w:color="A0AEC0" w:sz="4"/>
              <w:bottom w:val="single" w:color="A0AEC0" w:sz="4"/>
              <w:right w:val="single" w:color="A0AEC0" w:sz="4"/>
            </w:tcBorders>
            <w:vAlign w:val="center"/>
          </w:tcPr>
          <w:p>
            <w:pPr>
              <w:jc w:val="right"/>
            </w:pPr>
            <w:r>
              <w:rPr>
                <w:rFonts w:ascii="Arial" w:cs="Arial" w:eastAsia="Arial" w:hAnsi="Arial"/>
                <w:b/>
                <w:bCs/>
                <w:color w:val="1a202c"/>
                <w:sz w:val="17"/>
                <w:szCs w:val="17"/>
              </w:rPr>
              <w:t xml:space="preserve">233,450</w:t>
            </w:r>
          </w:p>
        </w:tc>
        <w:tc>
          <w:tcPr>
            <w:tcW w:type="dxa" w:w="2080"/>
            <w:tcBorders>
              <w:top w:val="single" w:color="A0AEC0" w:sz="4"/>
              <w:left w:val="single" w:color="A0AEC0" w:sz="4"/>
              <w:bottom w:val="single" w:color="A0AEC0" w:sz="4"/>
              <w:right w:val="single" w:color="A0AEC0" w:sz="4"/>
            </w:tcBorders>
            <w:vAlign w:val="center"/>
          </w:tcPr>
          <w:p>
            <w:pPr>
              <w:jc w:val="right"/>
            </w:pPr>
            <w:r>
              <w:rPr>
                <w:rFonts w:ascii="Arial" w:cs="Arial" w:eastAsia="Arial" w:hAnsi="Arial"/>
                <w:b/>
                <w:bCs/>
                <w:color w:val="1a202c"/>
                <w:sz w:val="17"/>
                <w:szCs w:val="17"/>
              </w:rPr>
              <w:t xml:space="preserve">345,172</w:t>
            </w:r>
          </w:p>
        </w:tc>
      </w:tr>
    </w:tbl>
    <w:p>
      <w:pPr>
        <w:spacing w:after="120" w:before="80"/>
      </w:pPr>
      <w:r>
        <w:rPr>
          <w:i/>
          <w:iCs/>
          <w:color w:val="4a5568"/>
          <w:sz w:val="16"/>
          <w:szCs w:val="16"/>
        </w:rPr>
        <w:t xml:space="preserve">Detailed monthly projections available on request. Trajectory shows improving profitability with scale and reputation.</w:t>
      </w:r>
    </w:p>
    <w:p>
      <w:pPr>
        <w:pStyle w:val="Heading1"/>
      </w:pPr>
      <w:r>
        <w:t xml:space="preserve">7. Funding Request Context</w:t>
      </w:r>
    </w:p>
    <w:p>
      <w:pPr>
        <w:spacing w:after="120"/>
      </w:pPr>
      <w:r>
        <w:t xml:space="preserve">This business plan is prepared for presentation to Caribbean commercial banks, credit unions and grant/funding agencies including the Saint Lucia Development Bank. It supports requests for working-capital lines, equipment or fit-out financing, backed by an operating business in a proven tourism location and a clear path to sustained profitability.</w:t>
      </w:r>
    </w:p>
    <w:p>
      <w:pPr>
        <w:spacing w:before="200"/>
      </w:pPr>
      <w:r>
        <w:rPr>
          <w:i/>
          <w:iCs/>
          <w:color w:val="718096"/>
          <w:sz w:val="15"/>
          <w:szCs w:val="15"/>
        </w:rPr>
        <w:t xml:space="preserve">Confidential – for authorised financial institutions only. Figures are management estimates.</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6"/>
      </w:pBdr>
      <w:spacing w:before="100"/>
    </w:pPr>
    <w:r>
      <w:rPr>
        <w:rFonts w:ascii="Arial" w:cs="Arial" w:eastAsia="Arial" w:hAnsi="Arial"/>
        <w:color w:val="718096"/>
        <w:sz w:val="16"/>
        <w:szCs w:val="16"/>
      </w:rPr>
      <w:t xml:space="preserve">Kafetye Bar &amp; Cafe  |  Funding-Ready Business Plan  |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Pr>
        <w:p>
          <w:r>
            <w:drawing>
              <wp:inline distT="0" distB="0" distL="0" distR="0">
                <wp:extent cx="904875" cy="666750"/>
                <wp:effectExtent t="0" r="0" b="0" l="0"/>
                <wp:docPr id="1" name="p" descr="photo" title="Kafet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666750"/>
                        </a:xfrm>
                        <a:prstGeom prst="rect">
                          <a:avLst/>
                        </a:prstGeom>
                      </pic:spPr>
                    </pic:pic>
                  </a:graphicData>
                </a:graphic>
              </wp:inline>
            </w:drawing>
          </w:r>
        </w:p>
      </w:tc>
      <w:tc>
        <w:tcPr>
          <w:tcW w:type="dxa" w:w="7560"/>
          <w:tcBorders>
            <w:top w:val="none" w:color="FFFFFF" w:sz="0"/>
            <w:left w:val="none" w:color="FFFFFF" w:sz="0"/>
            <w:bottom w:val="none" w:color="FFFFFF" w:sz="0"/>
            <w:right w:val="none" w:color="FFFFFF" w:sz="0"/>
          </w:tcBorders>
          <w:vAlign w:val="center"/>
        </w:tcPr>
        <w:p>
          <w:r>
            <w:rPr>
              <w:rFonts w:ascii="Arial" w:cs="Arial" w:eastAsia="Arial" w:hAnsi="Arial"/>
              <w:b/>
              <w:bCs/>
              <w:color w:val="9B2C2C"/>
              <w:sz w:val="28"/>
              <w:szCs w:val="28"/>
            </w:rPr>
            <w:t xml:space="preserve">KAFETYE BAR &amp; CAFE</w:t>
          </w:r>
        </w:p>
        <w:p>
          <w:r>
            <w:rPr>
              <w:rFonts w:ascii="Arial" w:cs="Arial" w:eastAsia="Arial" w:hAnsi="Arial"/>
              <w:color w:val="4a5568"/>
              <w:sz w:val="18"/>
              <w:szCs w:val="18"/>
            </w:rPr>
            <w:t xml:space="preserve">Point Seraphine, Castries, Saint Lucia  |  Soul Food &amp; Drinks</w:t>
          </w:r>
        </w:p>
        <w:p>
          <w:r>
            <w:rPr>
              <w:rFonts w:ascii="Arial" w:cs="Arial" w:eastAsia="Arial" w:hAnsi="Arial"/>
              <w:color w:val="718096"/>
              <w:sz w:val="16"/>
              <w:szCs w:val="16"/>
            </w:rPr>
            <w:t xml:space="preserve">Upscale Dining  •  Crafted Cocktails  •  Late-Night Lounge</w:t>
          </w:r>
        </w:p>
      </w:tc>
    </w:tr>
  </w:tbl>
  <w:p>
    <w:pPr>
      <w:pBdr>
        <w:bottom w:val="single" w:color="E53E3E" w:sz="12"/>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40"/>
    </w:pPr>
    <w:rPr>
      <w:rFonts w:ascii="Arial" w:cs="Arial" w:eastAsia="Arial" w:hAnsi="Arial"/>
      <w:b/>
      <w:bCs/>
      <w:color w:val="9B2C2C"/>
      <w:sz w:val="26"/>
      <w:szCs w:val="26"/>
    </w:rPr>
  </w:style>
  <w:style w:type="paragraph" w:styleId="Heading2">
    <w:name w:val="Heading 2"/>
    <w:basedOn w:val="Normal"/>
    <w:next w:val="Normal"/>
    <w:pPr>
      <w:spacing w:after="80" w:before="160"/>
    </w:pPr>
    <w:rPr>
      <w:rFonts w:ascii="Arial" w:cs="Arial" w:eastAsia="Arial" w:hAnsi="Arial"/>
      <w:b/>
      <w:bCs/>
      <w:color w:val="C530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73da11ff4f754be6d2d272c3fdcce800359e5b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2026-10-15T16:51:45.092Z</dcterms:created>
  <dcterms:modified xsi:type="dcterms:W3CDTF">2026-10-15T16:51:45.092Z</dcterms:modified>
</cp:coreProperties>
</file>

<file path=docProps/custom.xml><?xml version="1.0" encoding="utf-8"?>
<Properties xmlns="http://schemas.openxmlformats.org/officeDocument/2006/custom-properties" xmlns:vt="http://schemas.openxmlformats.org/officeDocument/2006/docPropsVTypes"/>
</file>