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E53E3E"/>
          <w:sz w:val="16"/>
          <w:szCs w:val="16"/>
        </w:rPr>
        <w:t xml:space="preserve">FOR LOANS OFFICERS &amp; INVESTORS</w:t>
      </w:r>
    </w:p>
    <w:p>
      <w:pPr>
        <w:spacing w:after="200"/>
      </w:pPr>
      <w:r>
        <w:rPr>
          <w:b/>
          <w:bCs/>
          <w:color w:val="9B2C2C"/>
          <w:sz w:val="32"/>
          <w:szCs w:val="32"/>
        </w:rPr>
        <w:t xml:space="preserve">Management &amp; Governance Summary</w:t>
      </w:r>
    </w:p>
    <w:p>
      <w:pPr>
        <w:pStyle w:val="Heading1"/>
      </w:pPr>
      <w:r>
        <w:t xml:space="preserve">Purpose of this Document</w:t>
      </w:r>
    </w:p>
    <w:p>
      <w:pPr>
        <w:spacing w:after="140"/>
      </w:pPr>
      <w:r>
        <w:t xml:space="preserve">This Management &amp; Governance Summary is prepared specifically to build trust with loans officers, credit committees and potential investors. It highlights the leadership team’s relevant experience, local industry knowledge and operational capabilities in order to demonstrate high management competence and low execution risk for Kafetye Bar &amp; Cafe.</w:t>
      </w:r>
    </w:p>
    <w:p>
      <w:pPr>
        <w:pStyle w:val="Heading1"/>
      </w:pPr>
      <w:r>
        <w:t xml:space="preserve">Leadership &amp; Operational Competence</w:t>
      </w:r>
    </w:p>
    <w:p>
      <w:pPr>
        <w:spacing w:after="120"/>
      </w:pPr>
      <w:r>
        <w:t xml:space="preserve">Day-to-day management of Kafetye combines knowledge of the Saint Lucian food-and-beverage and tourism market with practical experience in restaurant operations, guest service, inventory control and compliance. Management understands the critical path from supplier ordering through kitchen and bar execution to guest satisfaction and review generation — a sequence that requires both technical familiarity and relationship management with staff, suppliers and guests.</w:t>
      </w:r>
    </w:p>
    <w:p>
      <w:pPr>
        <w:spacing w:after="120"/>
      </w:pPr>
      <w:r>
        <w:t xml:space="preserve">The dual focus on daytime visitor traffic and evening local patronage demonstrates operational breadth and the ability to manage varying demand patterns across the week and season.</w:t>
      </w:r>
    </w:p>
    <w:p>
      <w:pPr>
        <w:pStyle w:val="Heading1"/>
      </w:pPr>
      <w:r>
        <w:t xml:space="preserve">Local Industry Knowledge</w:t>
      </w:r>
    </w:p>
    <w:p>
      <w:pPr>
        <w:spacing w:after="120"/>
      </w:pPr>
      <w:r>
        <w:t xml:space="preserve">Operating from a fixed premises at Point Seraphine, management maintains direct visibility of cruise schedules, duty-free visitor flows, local evening demand and competitor activity. Familiarity with Public Health and Liquor Licence requirements, food-handler certification and practical supplier logistics in Saint Lucia reduces friction and supports realistic forecasting for lenders.</w:t>
      </w:r>
    </w:p>
    <w:p>
      <w:pPr>
        <w:pStyle w:val="Heading1"/>
      </w:pPr>
      <w:r>
        <w:t xml:space="preserve">Governance &amp; Control Environment</w:t>
      </w:r>
    </w:p>
    <w:p>
      <w:pPr>
        <w:spacing w:after="100"/>
      </w:pPr>
      <w:r>
        <w:t xml:space="preserve">Key control elements that support lender confidence include:</w:t>
      </w:r>
    </w:p>
    <w:p>
      <w:pPr>
        <w:spacing w:after="80"/>
      </w:pPr>
      <w:r>
        <w:t xml:space="preserve">• Segregation of business banking from personal accounts.</w:t>
      </w:r>
    </w:p>
    <w:p>
      <w:pPr>
        <w:spacing w:after="80"/>
      </w:pPr>
      <w:r>
        <w:t xml:space="preserve">• Maintenance of sales, inventory and cost records suitable for credit monitoring.</w:t>
      </w:r>
    </w:p>
    <w:p>
      <w:pPr>
        <w:spacing w:after="80"/>
      </w:pPr>
      <w:r>
        <w:t xml:space="preserve">• Adherence to Public Health Licence, Liquor Licence and employment regulations.</w:t>
      </w:r>
    </w:p>
    <w:p>
      <w:pPr>
        <w:spacing w:after="80"/>
      </w:pPr>
      <w:r>
        <w:t xml:space="preserve">• Engagement with professional service providers (accountants, insurers) where specialised expertise is required.</w:t>
      </w:r>
    </w:p>
    <w:p>
      <w:pPr>
        <w:spacing w:after="140"/>
      </w:pPr>
      <w:r>
        <w:t xml:space="preserve">• Willingness to provide periodic sales, cost and financial reporting as a condition of any facility.</w:t>
      </w:r>
    </w:p>
    <w:p>
      <w:pPr>
        <w:pStyle w:val="Heading1"/>
      </w:pPr>
      <w:r>
        <w:t xml:space="preserve">Execution Risk Assessment</w:t>
      </w:r>
    </w:p>
    <w:p>
      <w:pPr>
        <w:spacing w:after="120"/>
      </w:pPr>
      <w:r>
        <w:t xml:space="preserve">From a credit perspective, execution risk is moderated by: (i) a tangible, high-visibility operating location; (ii) management familiarity with restaurant and bar operations in a tourism context; (iii) diversified revenue from food, beverage and lounge; and (iv) a compliance posture aligned with regulatory and lender expectations. These factors collectively support the conclusion that management possesses the competence necessary to operate the business and to service appropriately structured facilities.</w:t>
      </w:r>
    </w:p>
    <w:p>
      <w:pPr>
        <w:spacing w:before="240"/>
      </w:pPr>
      <w:r>
        <w:rPr>
          <w:i/>
          <w:iCs/>
          <w:color w:val="718096"/>
          <w:sz w:val="16"/>
          <w:szCs w:val="16"/>
        </w:rPr>
        <w:t xml:space="preserve">This summary is intended for inclusion in credit files and investment memoranda. It may be supplemented with CVs, organisational charts or references upon request.</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6"/>
      </w:pBdr>
      <w:spacing w:before="100"/>
    </w:pPr>
    <w:r>
      <w:rPr>
        <w:rFonts w:ascii="Arial" w:cs="Arial" w:eastAsia="Arial" w:hAnsi="Arial"/>
        <w:color w:val="718096"/>
        <w:sz w:val="16"/>
        <w:szCs w:val="16"/>
      </w:rPr>
      <w:t xml:space="preserve">Kafetye Bar &amp; Cafe  |  Management &amp; Trust Summary  |  Page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Pr>
        <w:p>
          <w:r>
            <w:drawing>
              <wp:inline distT="0" distB="0" distL="0" distR="0">
                <wp:extent cx="904875" cy="666750"/>
                <wp:effectExtent t="0" r="0" b="0" l="0"/>
                <wp:docPr id="1" name="p" descr="photo" title="Kafet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04875" cy="666750"/>
                        </a:xfrm>
                        <a:prstGeom prst="rect">
                          <a:avLst/>
                        </a:prstGeom>
                      </pic:spPr>
                    </pic:pic>
                  </a:graphicData>
                </a:graphic>
              </wp:inline>
            </w:drawing>
          </w:r>
        </w:p>
      </w:tc>
      <w:tc>
        <w:tcPr>
          <w:tcW w:type="dxa" w:w="7560"/>
          <w:tcBorders>
            <w:top w:val="none" w:color="FFFFFF" w:sz="0"/>
            <w:left w:val="none" w:color="FFFFFF" w:sz="0"/>
            <w:bottom w:val="none" w:color="FFFFFF" w:sz="0"/>
            <w:right w:val="none" w:color="FFFFFF" w:sz="0"/>
          </w:tcBorders>
          <w:vAlign w:val="center"/>
        </w:tcPr>
        <w:p>
          <w:r>
            <w:rPr>
              <w:rFonts w:ascii="Arial" w:cs="Arial" w:eastAsia="Arial" w:hAnsi="Arial"/>
              <w:b/>
              <w:bCs/>
              <w:color w:val="9B2C2C"/>
              <w:sz w:val="28"/>
              <w:szCs w:val="28"/>
            </w:rPr>
            <w:t xml:space="preserve">KAFETYE BAR &amp; CAFE</w:t>
          </w:r>
        </w:p>
        <w:p>
          <w:r>
            <w:rPr>
              <w:rFonts w:ascii="Arial" w:cs="Arial" w:eastAsia="Arial" w:hAnsi="Arial"/>
              <w:color w:val="4a5568"/>
              <w:sz w:val="18"/>
              <w:szCs w:val="18"/>
            </w:rPr>
            <w:t xml:space="preserve">Point Seraphine, Castries, Saint Lucia  |  Soul Food &amp; Drinks</w:t>
          </w:r>
        </w:p>
        <w:p>
          <w:r>
            <w:rPr>
              <w:rFonts w:ascii="Arial" w:cs="Arial" w:eastAsia="Arial" w:hAnsi="Arial"/>
              <w:color w:val="718096"/>
              <w:sz w:val="16"/>
              <w:szCs w:val="16"/>
            </w:rPr>
            <w:t xml:space="preserve">Upscale Dining  •  Crafted Cocktails  •  Late-Night Lounge</w:t>
          </w:r>
        </w:p>
      </w:tc>
    </w:tr>
  </w:tbl>
  <w:p>
    <w:pPr>
      <w:pBdr>
        <w:bottom w:val="single" w:color="E53E3E" w:sz="12"/>
      </w:pBdr>
      <w:spacing w:after="2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pPr>
    <w:rPr>
      <w:rFonts w:ascii="Arial" w:cs="Arial" w:eastAsia="Arial" w:hAnsi="Arial"/>
      <w:b/>
      <w:bCs/>
      <w:color w:val="9B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73da11ff4f754be6d2d272c3fdcce800359e5b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2026-10-15T16:51:45.134Z</dcterms:created>
  <dcterms:modified xsi:type="dcterms:W3CDTF">2026-10-15T16:51:45.134Z</dcterms:modified>
</cp:coreProperties>
</file>

<file path=docProps/custom.xml><?xml version="1.0" encoding="utf-8"?>
<Properties xmlns="http://schemas.openxmlformats.org/officeDocument/2006/custom-properties" xmlns:vt="http://schemas.openxmlformats.org/officeDocument/2006/docPropsVTypes"/>
</file>