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80"/>
        <w:jc w:val="center"/>
        <w:rPr/>
      </w:pPr>
      <w:r>
        <w:rPr>
          <w:rFonts w:ascii="Calibri" w:hAnsi="Calibri"/>
          <w:b/>
          <w:color w:val="1f4e79"/>
          <w:sz w:val="40"/>
        </w:rPr>
        <w:t>ACADEMIC PROJECT REPORT</w:t>
      </w:r>
    </w:p>
    <w:p>
      <w:pPr>
        <w:pStyle w:val="style0"/>
        <w:spacing w:after="320"/>
        <w:jc w:val="center"/>
        <w:rPr/>
      </w:pPr>
      <w:r>
        <w:rPr>
          <w:rFonts w:ascii="Calibri" w:hAnsi="Calibri"/>
          <w:i/>
          <w:color w:val="595959"/>
          <w:sz w:val="26"/>
        </w:rPr>
        <w:t>Business Analytics — Week 1 Task</w:t>
      </w:r>
    </w:p>
    <w:tbl>
      <w:tblPr>
        <w:tblW w:w="0" w:type="auto"/>
        <w:jc w:val="center"/>
        <w:tblLayout w:type="fixed"/>
        <w:tblLook w:val="04A0" w:firstRow="1" w:lastRow="0" w:firstColumn="1" w:lastColumn="0" w:noHBand="0" w:noVBand="1"/>
      </w:tblPr>
      <w:tblGrid>
        <w:gridCol w:w="4680"/>
        <w:gridCol w:w="4680"/>
      </w:tblGrid>
      <w:tr>
        <w:trPr>
          <w:jc w:val="center"/>
        </w:trPr>
        <w:tc>
          <w:tcPr>
            <w:tcW w:w="2880" w:type="dxa"/>
            <w:tcBorders/>
            <w:shd w:val="nil" w:color="auto" w:fill="f2f5f8"/>
            <w:tcMar>
              <w:top w:w="120" w:type="dxa"/>
              <w:left w:w="150" w:type="dxa"/>
              <w:bottom w:w="120" w:type="dxa"/>
              <w:right w:w="150" w:type="dxa"/>
            </w:tcMar>
          </w:tcPr>
          <w:p>
            <w:pPr>
              <w:pStyle w:val="style0"/>
              <w:spacing w:before="80" w:after="80"/>
              <w:rPr/>
            </w:pPr>
            <w:r>
              <w:rPr>
                <w:rFonts w:ascii="Calibri" w:hAnsi="Calibri"/>
                <w:b/>
                <w:color w:val="1f4e79"/>
                <w:sz w:val="21"/>
              </w:rPr>
              <w:t>Student Name:</w:t>
            </w:r>
          </w:p>
        </w:tc>
        <w:tc>
          <w:tcPr>
            <w:tcW w:w="6480" w:type="dxa"/>
            <w:tcBorders/>
            <w:shd w:val="nil" w:color="auto" w:fill="f9fbfd"/>
            <w:tcMar>
              <w:top w:w="120" w:type="dxa"/>
              <w:left w:w="150" w:type="dxa"/>
              <w:bottom w:w="120" w:type="dxa"/>
              <w:right w:w="150" w:type="dxa"/>
            </w:tcMar>
          </w:tcPr>
          <w:p>
            <w:pPr>
              <w:pStyle w:val="style0"/>
              <w:spacing w:before="80" w:after="80"/>
              <w:rPr/>
            </w:pPr>
            <w:r>
              <w:rPr>
                <w:lang w:val="en-US"/>
              </w:rPr>
              <w:t>Sai Lochan.P</w:t>
            </w:r>
          </w:p>
        </w:tc>
      </w:tr>
      <w:tr>
        <w:tblPrEx/>
        <w:trPr>
          <w:jc w:val="center"/>
        </w:trPr>
        <w:tc>
          <w:tcPr>
            <w:tcW w:w="2880" w:type="dxa"/>
            <w:tcBorders/>
            <w:shd w:val="nil" w:color="auto" w:fill="f2f5f8"/>
            <w:tcMar>
              <w:top w:w="120" w:type="dxa"/>
              <w:left w:w="150" w:type="dxa"/>
              <w:bottom w:w="120" w:type="dxa"/>
              <w:right w:w="150" w:type="dxa"/>
            </w:tcMar>
          </w:tcPr>
          <w:p>
            <w:pPr>
              <w:pStyle w:val="style0"/>
              <w:spacing w:before="80" w:after="80"/>
              <w:rPr/>
            </w:pPr>
            <w:r>
              <w:rPr>
                <w:rFonts w:ascii="Calibri" w:hAnsi="Calibri"/>
                <w:b/>
                <w:color w:val="1f4e79"/>
                <w:sz w:val="21"/>
              </w:rPr>
              <w:t>Enrollment Number:</w:t>
            </w:r>
          </w:p>
        </w:tc>
        <w:tc>
          <w:tcPr>
            <w:tcW w:w="6480" w:type="dxa"/>
            <w:tcBorders/>
            <w:shd w:val="nil" w:color="auto" w:fill="f9fbfd"/>
            <w:tcMar>
              <w:top w:w="120" w:type="dxa"/>
              <w:left w:w="150" w:type="dxa"/>
              <w:bottom w:w="120" w:type="dxa"/>
              <w:right w:w="150" w:type="dxa"/>
            </w:tcMar>
          </w:tcPr>
          <w:p>
            <w:pPr>
              <w:pStyle w:val="style0"/>
              <w:spacing w:before="80" w:after="80"/>
              <w:rPr/>
            </w:pPr>
            <w:r>
              <w:rPr>
                <w:rFonts w:ascii="Calibri" w:hAnsi="Calibri"/>
                <w:color w:val="333333"/>
                <w:sz w:val="21"/>
              </w:rPr>
              <w:t>TU62532102110</w:t>
            </w:r>
            <w:r>
              <w:rPr>
                <w:rFonts w:hAnsi="Calibri"/>
                <w:color w:val="333333"/>
                <w:sz w:val="21"/>
                <w:lang w:val="en-US"/>
              </w:rPr>
              <w:t>39</w:t>
            </w:r>
          </w:p>
        </w:tc>
      </w:tr>
      <w:tr>
        <w:tblPrEx/>
        <w:trPr>
          <w:jc w:val="center"/>
        </w:trPr>
        <w:tc>
          <w:tcPr>
            <w:tcW w:w="2880" w:type="dxa"/>
            <w:tcBorders/>
            <w:shd w:val="nil" w:color="auto" w:fill="f2f5f8"/>
            <w:tcMar>
              <w:top w:w="120" w:type="dxa"/>
              <w:left w:w="150" w:type="dxa"/>
              <w:bottom w:w="120" w:type="dxa"/>
              <w:right w:w="150" w:type="dxa"/>
            </w:tcMar>
          </w:tcPr>
          <w:p>
            <w:pPr>
              <w:pStyle w:val="style0"/>
              <w:spacing w:before="80" w:after="80"/>
              <w:rPr/>
            </w:pPr>
            <w:r>
              <w:rPr>
                <w:rFonts w:ascii="Calibri" w:hAnsi="Calibri"/>
                <w:b/>
                <w:color w:val="1f4e79"/>
                <w:sz w:val="21"/>
              </w:rPr>
              <w:t>Subject:</w:t>
            </w:r>
          </w:p>
        </w:tc>
        <w:tc>
          <w:tcPr>
            <w:tcW w:w="6480" w:type="dxa"/>
            <w:tcBorders/>
            <w:shd w:val="nil" w:color="auto" w:fill="f9fbfd"/>
            <w:tcMar>
              <w:top w:w="120" w:type="dxa"/>
              <w:left w:w="150" w:type="dxa"/>
              <w:bottom w:w="120" w:type="dxa"/>
              <w:right w:w="150" w:type="dxa"/>
            </w:tcMar>
          </w:tcPr>
          <w:p>
            <w:pPr>
              <w:pStyle w:val="style0"/>
              <w:spacing w:before="80" w:after="80"/>
              <w:rPr/>
            </w:pPr>
            <w:r>
              <w:rPr>
                <w:rFonts w:ascii="Calibri" w:hAnsi="Calibri"/>
                <w:color w:val="333333"/>
                <w:sz w:val="21"/>
              </w:rPr>
              <w:t>Business Analytics</w:t>
            </w:r>
          </w:p>
        </w:tc>
      </w:tr>
      <w:tr>
        <w:tblPrEx/>
        <w:trPr>
          <w:jc w:val="center"/>
        </w:trPr>
        <w:tc>
          <w:tcPr>
            <w:tcW w:w="2880" w:type="dxa"/>
            <w:tcBorders/>
            <w:shd w:val="nil" w:color="auto" w:fill="f2f5f8"/>
            <w:tcMar>
              <w:top w:w="120" w:type="dxa"/>
              <w:left w:w="150" w:type="dxa"/>
              <w:bottom w:w="120" w:type="dxa"/>
              <w:right w:w="150" w:type="dxa"/>
            </w:tcMar>
          </w:tcPr>
          <w:p>
            <w:pPr>
              <w:pStyle w:val="style0"/>
              <w:spacing w:before="80" w:after="80"/>
              <w:rPr/>
            </w:pPr>
            <w:r>
              <w:rPr>
                <w:rFonts w:ascii="Calibri" w:hAnsi="Calibri"/>
                <w:b/>
                <w:color w:val="1f4e79"/>
                <w:sz w:val="21"/>
              </w:rPr>
              <w:t>Task Name:</w:t>
            </w:r>
          </w:p>
        </w:tc>
        <w:tc>
          <w:tcPr>
            <w:tcW w:w="6480" w:type="dxa"/>
            <w:tcBorders/>
            <w:shd w:val="nil" w:color="auto" w:fill="f9fbfd"/>
            <w:tcMar>
              <w:top w:w="120" w:type="dxa"/>
              <w:left w:w="150" w:type="dxa"/>
              <w:bottom w:w="120" w:type="dxa"/>
              <w:right w:w="150" w:type="dxa"/>
            </w:tcMar>
          </w:tcPr>
          <w:p>
            <w:pPr>
              <w:pStyle w:val="style0"/>
              <w:spacing w:before="80" w:after="80"/>
              <w:rPr/>
            </w:pPr>
            <w:r>
              <w:rPr>
                <w:rFonts w:ascii="Calibri" w:hAnsi="Calibri"/>
                <w:color w:val="333333"/>
                <w:sz w:val="21"/>
              </w:rPr>
              <w:t>Mathematical Customer Lifetime Value (CLV) Projection via BG/NBD Model from Scratch</w:t>
            </w:r>
          </w:p>
        </w:tc>
      </w:tr>
    </w:tbl>
    <w:p>
      <w:pPr>
        <w:pStyle w:val="style0"/>
        <w:spacing w:before="240" w:after="0"/>
        <w:rPr/>
      </w:pPr>
    </w:p>
    <w:p>
      <w:pPr>
        <w:pStyle w:val="style0"/>
        <w:keepNext/>
        <w:spacing w:before="360" w:after="120"/>
        <w:rPr/>
      </w:pPr>
      <w:r>
        <w:rPr>
          <w:rFonts w:ascii="Calibri" w:hAnsi="Calibri"/>
          <w:b/>
          <w:color w:val="1f4e79"/>
          <w:sz w:val="28"/>
        </w:rPr>
        <w:t>1. Introduction</w:t>
      </w:r>
    </w:p>
    <w:p>
      <w:pPr>
        <w:pStyle w:val="style0"/>
        <w:spacing w:before="0" w:after="120" w:lineRule="auto" w:line="276"/>
        <w:rPr/>
      </w:pPr>
      <w:r>
        <w:rPr>
          <w:rFonts w:ascii="Calibri" w:hAnsi="Calibri"/>
          <w:color w:val="333333"/>
          <w:sz w:val="22"/>
        </w:rPr>
        <w:t>In modern data-driven enterprises, understanding and maximizing Customer Lifetime Value (CLV) is fundamental to strategic decision-making, resource allocation, and long-term profitability. Traditional descriptive analytics often look backward at historical revenue, whereas advanced predictive analytics aim to forecast future customer behavior.</w:t>
      </w:r>
    </w:p>
    <w:p>
      <w:pPr>
        <w:pStyle w:val="style0"/>
        <w:spacing w:before="0" w:after="120" w:lineRule="auto" w:line="276"/>
        <w:rPr/>
      </w:pPr>
      <w:r>
        <w:rPr>
          <w:rFonts w:ascii="Calibri" w:hAnsi="Calibri"/>
          <w:color w:val="333333"/>
          <w:sz w:val="22"/>
        </w:rPr>
        <w:t>Within the domain of Business Analytics, probabilistic customer-base analysis bridges quantitative modeling and marketing strategy. Non-contractual business settings—such as e-commerce, retail, and digital media—pose unique analytical challenges because customer churn is unobserved; a customer simply stops purchasing without formally canceling a subscription. To address this, the Beta-Geometric/Negative Binomial Distribution (BG/NBD) model serves as a gold-standard probabilistic framework.</w:t>
      </w:r>
    </w:p>
    <w:p>
      <w:pPr>
        <w:pStyle w:val="style0"/>
        <w:spacing w:before="0" w:after="120" w:lineRule="auto" w:line="276"/>
        <w:rPr/>
      </w:pPr>
      <w:r>
        <w:rPr>
          <w:rFonts w:ascii="Calibri" w:hAnsi="Calibri"/>
          <w:color w:val="333333"/>
          <w:sz w:val="22"/>
        </w:rPr>
        <w:t>This project explores Business Analytics from an engineering perspective by implementing the BG/NBD model entirely from scratch. By avoiding black-box marketing libraries and writing custom vectorized numerical optimization routines using SciPy's L-BFGS-B algorithm, this work demonstrates how underlying consumer purchasing rates (r, α) and dropout probabilities (a, b) can be accurately estimated from millions of raw transaction logs.</w:t>
      </w:r>
    </w:p>
    <w:p>
      <w:pPr>
        <w:pStyle w:val="style0"/>
        <w:keepNext/>
        <w:spacing w:before="360" w:after="120"/>
        <w:rPr/>
      </w:pPr>
      <w:r>
        <w:rPr>
          <w:rFonts w:ascii="Calibri" w:hAnsi="Calibri"/>
          <w:b/>
          <w:color w:val="1f4e79"/>
          <w:sz w:val="28"/>
        </w:rPr>
        <w:t>2. Mathematical Formulation</w:t>
      </w:r>
    </w:p>
    <w:p>
      <w:pPr>
        <w:pStyle w:val="style0"/>
        <w:spacing w:before="0" w:after="120" w:lineRule="auto" w:line="276"/>
        <w:rPr/>
      </w:pPr>
      <w:r>
        <w:rPr>
          <w:rFonts w:ascii="Calibri" w:hAnsi="Calibri"/>
          <w:color w:val="333333"/>
          <w:sz w:val="22"/>
        </w:rPr>
        <w:t>The BG/NBD model relies on two primary stochastic processes governing customer behavior:</w:t>
      </w:r>
    </w:p>
    <w:p>
      <w:pPr>
        <w:pStyle w:val="style48"/>
        <w:spacing w:before="0" w:after="80" w:lineRule="auto" w:line="276"/>
        <w:rPr/>
      </w:pPr>
      <w:r>
        <w:rPr>
          <w:rFonts w:ascii="Calibri" w:hAnsi="Calibri"/>
          <w:b/>
          <w:color w:val="1f4e79"/>
          <w:sz w:val="22"/>
        </w:rPr>
        <w:t xml:space="preserve">Purchasing Process: </w:t>
      </w:r>
      <w:r>
        <w:rPr>
          <w:rFonts w:ascii="Calibri" w:hAnsi="Calibri"/>
          <w:color w:val="333333"/>
          <w:sz w:val="22"/>
        </w:rPr>
        <w:t>While active, a customer's transaction rate follows a Poisson process with a specific purchase rate parameter λ. Across the customer base, λ follows a Gamma distribution with shape parameter r and scale parameter α.</w:t>
      </w:r>
    </w:p>
    <w:p>
      <w:pPr>
        <w:pStyle w:val="style48"/>
        <w:spacing w:before="0" w:after="80" w:lineRule="auto" w:line="276"/>
        <w:rPr/>
      </w:pPr>
      <w:r>
        <w:rPr>
          <w:rFonts w:ascii="Calibri" w:hAnsi="Calibri"/>
          <w:b/>
          <w:color w:val="1f4e79"/>
          <w:sz w:val="22"/>
        </w:rPr>
        <w:t xml:space="preserve">Dropout Process: </w:t>
      </w:r>
      <w:r>
        <w:rPr>
          <w:rFonts w:ascii="Calibri" w:hAnsi="Calibri"/>
          <w:color w:val="333333"/>
          <w:sz w:val="22"/>
        </w:rPr>
        <w:t>After any given transaction, a customer drops out with probability p. The dropout probability across the customer base follows a Beta distribution with shape parameters a and b.</w:t>
      </w:r>
    </w:p>
    <w:p>
      <w:pPr>
        <w:pStyle w:val="style0"/>
        <w:spacing w:before="0" w:after="120" w:lineRule="auto" w:line="276"/>
        <w:rPr/>
      </w:pPr>
      <w:r>
        <w:rPr>
          <w:rFonts w:ascii="Calibri" w:hAnsi="Calibri"/>
          <w:color w:val="333333"/>
          <w:sz w:val="22"/>
        </w:rPr>
        <w:t>For a given customer with frequency x (number of repeat transactions), recency t_x (time of the last transaction), and total observation period T, the marginal likelihood of the parameters Θ = (r, α, a, b) is derived by integrating out the unobserved parameters λ and p:</w:t>
      </w:r>
    </w:p>
    <w:p>
      <w:pPr>
        <w:pStyle w:val="style0"/>
        <w:spacing w:before="120" w:after="120"/>
        <w:jc w:val="center"/>
        <w:rPr/>
      </w:pPr>
      <w:r>
        <w:rPr>
          <w:rFonts w:ascii="Cambria Math" w:hAnsi="Cambria Math"/>
          <w:i/>
          <w:color w:val="1f4e79"/>
          <w:sz w:val="23"/>
        </w:rPr>
        <w:t>L(r, α, a, b | x, t_x, T) = ∫₀^∞ ∫₀¹ L(λ, p | x, t_x, T) f(λ | r, α) g(p | a, b) dp dλ</w:t>
      </w:r>
    </w:p>
    <w:p>
      <w:pPr>
        <w:pStyle w:val="style0"/>
        <w:spacing w:before="0" w:after="120" w:lineRule="auto" w:line="276"/>
        <w:rPr/>
      </w:pPr>
      <w:r>
        <w:rPr>
          <w:rFonts w:ascii="Calibri" w:hAnsi="Calibri"/>
          <w:color w:val="333333"/>
          <w:sz w:val="22"/>
        </w:rPr>
        <w:t>This yields the computational likelihood equation incorporating Gamma functions and hypergeometric series expansion terms for maximum likelihood estimation over cohort data.</w:t>
      </w:r>
    </w:p>
    <w:p>
      <w:pPr>
        <w:pStyle w:val="style0"/>
        <w:keepNext/>
        <w:spacing w:before="360" w:after="120"/>
        <w:rPr/>
      </w:pPr>
      <w:r>
        <w:rPr>
          <w:rFonts w:ascii="Calibri" w:hAnsi="Calibri"/>
          <w:b/>
          <w:color w:val="1f4e79"/>
          <w:sz w:val="28"/>
        </w:rPr>
        <w:t>3. Implementation Architecture</w:t>
      </w:r>
    </w:p>
    <w:p>
      <w:pPr>
        <w:pStyle w:val="style0"/>
        <w:spacing w:before="0" w:after="120" w:lineRule="auto" w:line="276"/>
        <w:rPr/>
      </w:pPr>
      <w:r>
        <w:rPr>
          <w:rFonts w:ascii="Calibri" w:hAnsi="Calibri"/>
          <w:color w:val="333333"/>
          <w:sz w:val="22"/>
        </w:rPr>
        <w:t>The project is structured into three core Python modules optimized for high-performance vectorized operations:</w:t>
      </w:r>
    </w:p>
    <w:p>
      <w:pPr>
        <w:pStyle w:val="style48"/>
        <w:spacing w:before="0" w:after="80" w:lineRule="auto" w:line="276"/>
        <w:rPr/>
      </w:pPr>
      <w:r>
        <w:rPr>
          <w:rFonts w:ascii="Calibri" w:hAnsi="Calibri"/>
          <w:b/>
          <w:color w:val="1f4e79"/>
          <w:sz w:val="22"/>
        </w:rPr>
        <w:t xml:space="preserve">Data Aggregation Engine: </w:t>
      </w:r>
      <w:r>
        <w:rPr>
          <w:rFonts w:ascii="Calibri" w:hAnsi="Calibri"/>
          <w:color w:val="333333"/>
          <w:sz w:val="22"/>
        </w:rPr>
        <w:t>Transforms raw transaction logs into RFM (Recency, Frequency, Monetary) summary tuples (x, t_x, T) per customer identifier.</w:t>
      </w:r>
    </w:p>
    <w:p>
      <w:pPr>
        <w:pStyle w:val="style48"/>
        <w:spacing w:before="0" w:after="80" w:lineRule="auto" w:line="276"/>
        <w:rPr/>
      </w:pPr>
      <w:r>
        <w:rPr>
          <w:rFonts w:ascii="Calibri" w:hAnsi="Calibri"/>
          <w:b/>
          <w:color w:val="1f4e79"/>
          <w:sz w:val="22"/>
        </w:rPr>
        <w:t xml:space="preserve">Log-Likelihood Objective Function: </w:t>
      </w:r>
      <w:r>
        <w:rPr>
          <w:rFonts w:ascii="Calibri" w:hAnsi="Calibri"/>
          <w:color w:val="333333"/>
          <w:sz w:val="22"/>
        </w:rPr>
        <w:t>Implements the mathematically stable log-likelihood function using scipy.special.gammaln to prevent numerical overflow and underflow over millions of records.</w:t>
      </w:r>
    </w:p>
    <w:p>
      <w:pPr>
        <w:pStyle w:val="style48"/>
        <w:spacing w:before="0" w:after="80" w:lineRule="auto" w:line="276"/>
        <w:rPr/>
      </w:pPr>
      <w:r>
        <w:rPr>
          <w:rFonts w:ascii="Calibri" w:hAnsi="Calibri"/>
          <w:b/>
          <w:color w:val="1f4e79"/>
          <w:sz w:val="22"/>
        </w:rPr>
        <w:t xml:space="preserve">Vectorized Optimization Routine: </w:t>
      </w:r>
      <w:r>
        <w:rPr>
          <w:rFonts w:ascii="Calibri" w:hAnsi="Calibri"/>
          <w:color w:val="333333"/>
          <w:sz w:val="22"/>
        </w:rPr>
        <w:t>Leverages scipy.optimize.minimize utilizing the L-BFGS-B optimization algorithm with bound constraints (r &gt; 0, α &gt; 0, a &gt; 0, b &gt; 0).</w:t>
      </w:r>
    </w:p>
    <w:p>
      <w:pPr>
        <w:pStyle w:val="style0"/>
        <w:keepNext/>
        <w:spacing w:before="360" w:after="120"/>
        <w:rPr/>
      </w:pPr>
      <w:r>
        <w:rPr>
          <w:rFonts w:ascii="Calibri" w:hAnsi="Calibri"/>
          <w:b/>
          <w:color w:val="1f4e79"/>
          <w:sz w:val="28"/>
        </w:rPr>
        <w:t>4. Sample Code Skeleton</w:t>
      </w:r>
    </w:p>
    <w:p>
      <w:pPr>
        <w:pStyle w:val="style0"/>
        <w:spacing w:before="0" w:after="120" w:lineRule="auto" w:line="276"/>
        <w:rPr/>
      </w:pPr>
      <w:r>
        <w:rPr>
          <w:rFonts w:ascii="Calibri" w:hAnsi="Calibri"/>
          <w:color w:val="333333"/>
          <w:sz w:val="22"/>
        </w:rPr>
        <w:t>Below is the core implementation skeleton illustrating the log-likelihood and optimization structure:</w:t>
      </w:r>
    </w:p>
    <w:tbl>
      <w:tblPr>
        <w:tblW w:w="0" w:type="auto"/>
        <w:jc w:val="center"/>
        <w:tblLook w:val="04A0" w:firstRow="1" w:lastRow="0" w:firstColumn="1" w:lastColumn="0" w:noHBand="0" w:noVBand="1"/>
      </w:tblPr>
      <w:tblGrid>
        <w:gridCol w:w="9360"/>
      </w:tblGrid>
      <w:tr>
        <w:trPr>
          <w:jc w:val="center"/>
        </w:trPr>
        <w:tc>
          <w:tcPr>
            <w:tcW w:w="9360" w:type="dxa"/>
            <w:tcBorders/>
            <w:shd w:val="nil" w:color="auto" w:fill="f4f6f9"/>
            <w:tcMar>
              <w:top w:w="140" w:type="dxa"/>
              <w:left w:w="180" w:type="dxa"/>
              <w:bottom w:w="140" w:type="dxa"/>
              <w:right w:w="180" w:type="dxa"/>
            </w:tcMar>
          </w:tcPr>
          <w:p>
            <w:pPr>
              <w:pStyle w:val="style0"/>
              <w:spacing w:before="0" w:after="0"/>
              <w:rPr/>
            </w:pPr>
            <w:r>
              <w:rPr>
                <w:rFonts w:ascii="Consolas" w:hAnsi="Consolas"/>
                <w:color w:val="282828"/>
                <w:sz w:val="19"/>
              </w:rPr>
              <w:t>import numpy as np</w:t>
            </w:r>
            <w:r>
              <w:rPr>
                <w:rFonts w:ascii="Consolas" w:hAnsi="Consolas"/>
                <w:color w:val="282828"/>
                <w:sz w:val="19"/>
              </w:rPr>
              <w:br/>
            </w:r>
            <w:r>
              <w:rPr>
                <w:rFonts w:ascii="Consolas" w:hAnsi="Consolas"/>
                <w:color w:val="282828"/>
                <w:sz w:val="19"/>
              </w:rPr>
              <w:t>from scipy.optimize import minimize</w:t>
            </w:r>
            <w:r>
              <w:rPr>
                <w:rFonts w:ascii="Consolas" w:hAnsi="Consolas"/>
                <w:color w:val="282828"/>
                <w:sz w:val="19"/>
              </w:rPr>
              <w:br/>
            </w:r>
            <w:r>
              <w:rPr>
                <w:rFonts w:ascii="Consolas" w:hAnsi="Consolas"/>
                <w:color w:val="282828"/>
                <w:sz w:val="19"/>
              </w:rPr>
              <w:t>from scipy.special import gammaln</w:t>
            </w:r>
            <w:r>
              <w:rPr>
                <w:rFonts w:ascii="Consolas" w:hAnsi="Consolas"/>
                <w:color w:val="282828"/>
                <w:sz w:val="19"/>
              </w:rPr>
              <w:br/>
            </w:r>
            <w:r>
              <w:rPr>
                <w:rFonts w:ascii="Consolas" w:hAnsi="Consolas"/>
                <w:color w:val="282828"/>
                <w:sz w:val="19"/>
              </w:rPr>
              <w:br/>
            </w:r>
            <w:r>
              <w:rPr>
                <w:rFonts w:ascii="Consolas" w:hAnsi="Consolas"/>
                <w:color w:val="282828"/>
                <w:sz w:val="19"/>
              </w:rPr>
              <w:t>def bg_nbd_log_likelihood(params, freq, recency, T):</w:t>
            </w:r>
            <w:r>
              <w:rPr>
                <w:rFonts w:ascii="Consolas" w:hAnsi="Consolas"/>
                <w:color w:val="282828"/>
                <w:sz w:val="19"/>
              </w:rPr>
              <w:br/>
            </w:r>
            <w:r>
              <w:rPr>
                <w:rFonts w:ascii="Consolas" w:hAnsi="Consolas"/>
                <w:color w:val="282828"/>
                <w:sz w:val="19"/>
              </w:rPr>
              <w:t xml:space="preserve">    r, alpha, a, b = params</w:t>
            </w:r>
            <w:r>
              <w:rPr>
                <w:rFonts w:ascii="Consolas" w:hAnsi="Consolas"/>
                <w:color w:val="282828"/>
                <w:sz w:val="19"/>
              </w:rPr>
              <w:br/>
            </w:r>
            <w:r>
              <w:rPr>
                <w:rFonts w:ascii="Consolas" w:hAnsi="Consolas"/>
                <w:color w:val="282828"/>
                <w:sz w:val="19"/>
              </w:rPr>
              <w:t xml:space="preserve">    # Vectorized computation terms to avoid numerical instability</w:t>
            </w:r>
            <w:r>
              <w:rPr>
                <w:rFonts w:ascii="Consolas" w:hAnsi="Consolas"/>
                <w:color w:val="282828"/>
                <w:sz w:val="19"/>
              </w:rPr>
              <w:br/>
            </w:r>
            <w:r>
              <w:rPr>
                <w:rFonts w:ascii="Consolas" w:hAnsi="Consolas"/>
                <w:color w:val="282828"/>
                <w:sz w:val="19"/>
              </w:rPr>
              <w:t xml:space="preserve">    term1 = gammaln(r + freq) - gammaln(r) + r * np.log(alpha)</w:t>
            </w:r>
            <w:r>
              <w:rPr>
                <w:rFonts w:ascii="Consolas" w:hAnsi="Consolas"/>
                <w:color w:val="282828"/>
                <w:sz w:val="19"/>
              </w:rPr>
              <w:br/>
            </w:r>
            <w:r>
              <w:rPr>
                <w:rFonts w:ascii="Consolas" w:hAnsi="Consolas"/>
                <w:color w:val="282828"/>
                <w:sz w:val="19"/>
              </w:rPr>
              <w:t xml:space="preserve">    term2 = gammaln(a + b) - gammaln(a) - gammaln(b)</w:t>
            </w:r>
            <w:r>
              <w:rPr>
                <w:rFonts w:ascii="Consolas" w:hAnsi="Consolas"/>
                <w:color w:val="282828"/>
                <w:sz w:val="19"/>
              </w:rPr>
              <w:br/>
            </w:r>
            <w:r>
              <w:rPr>
                <w:rFonts w:ascii="Consolas" w:hAnsi="Consolas"/>
                <w:color w:val="282828"/>
                <w:sz w:val="19"/>
              </w:rPr>
              <w:t xml:space="preserve">    term3 = gammaln(a + freq) + gammaln(b + freq) - gammaln(a + b + freq)</w:t>
            </w:r>
            <w:r>
              <w:rPr>
                <w:rFonts w:ascii="Consolas" w:hAnsi="Consolas"/>
                <w:color w:val="282828"/>
                <w:sz w:val="19"/>
              </w:rPr>
              <w:br/>
            </w:r>
            <w:r>
              <w:rPr>
                <w:rFonts w:ascii="Consolas" w:hAnsi="Consolas"/>
                <w:color w:val="282828"/>
                <w:sz w:val="19"/>
              </w:rPr>
              <w:t xml:space="preserve">    return -np.sum(term1 + term2 + term3)  # Negative log-likelihood</w:t>
            </w:r>
            <w:r>
              <w:rPr>
                <w:rFonts w:ascii="Consolas" w:hAnsi="Consolas"/>
                <w:color w:val="282828"/>
                <w:sz w:val="19"/>
              </w:rPr>
              <w:br/>
            </w:r>
            <w:r>
              <w:rPr>
                <w:rFonts w:ascii="Consolas" w:hAnsi="Consolas"/>
                <w:color w:val="282828"/>
                <w:sz w:val="19"/>
              </w:rPr>
              <w:br/>
            </w:r>
            <w:r>
              <w:rPr>
                <w:rFonts w:ascii="Consolas" w:hAnsi="Consolas"/>
                <w:color w:val="282828"/>
                <w:sz w:val="19"/>
              </w:rPr>
              <w:t>def optimize_bg_nbd(freq, recency, T):</w:t>
            </w:r>
            <w:r>
              <w:rPr>
                <w:rFonts w:ascii="Consolas" w:hAnsi="Consolas"/>
                <w:color w:val="282828"/>
                <w:sz w:val="19"/>
              </w:rPr>
              <w:br/>
            </w:r>
            <w:r>
              <w:rPr>
                <w:rFonts w:ascii="Consolas" w:hAnsi="Consolas"/>
                <w:color w:val="282828"/>
                <w:sz w:val="19"/>
              </w:rPr>
              <w:t xml:space="preserve">    bounds = [(1e-5, None)] * 4</w:t>
            </w:r>
            <w:r>
              <w:rPr>
                <w:rFonts w:ascii="Consolas" w:hAnsi="Consolas"/>
                <w:color w:val="282828"/>
                <w:sz w:val="19"/>
              </w:rPr>
              <w:br/>
            </w:r>
            <w:r>
              <w:rPr>
                <w:rFonts w:ascii="Consolas" w:hAnsi="Consolas"/>
                <w:color w:val="282828"/>
                <w:sz w:val="19"/>
              </w:rPr>
              <w:t xml:space="preserve">    result = minimize(bg_nbd_log_likelihood, [1.0, 10.0, 1.0, 1.0],</w:t>
            </w:r>
            <w:r>
              <w:rPr>
                <w:rFonts w:ascii="Consolas" w:hAnsi="Consolas"/>
                <w:color w:val="282828"/>
                <w:sz w:val="19"/>
              </w:rPr>
              <w:br/>
            </w:r>
            <w:r>
              <w:rPr>
                <w:rFonts w:ascii="Consolas" w:hAnsi="Consolas"/>
                <w:color w:val="282828"/>
                <w:sz w:val="19"/>
              </w:rPr>
              <w:t xml:space="preserve">                      args=(freq, recency, T), method='L-BFGS-B', bounds=bounds)</w:t>
            </w:r>
            <w:r>
              <w:rPr>
                <w:rFonts w:ascii="Consolas" w:hAnsi="Consolas"/>
                <w:color w:val="282828"/>
                <w:sz w:val="19"/>
              </w:rPr>
              <w:br/>
            </w:r>
            <w:r>
              <w:rPr>
                <w:rFonts w:ascii="Consolas" w:hAnsi="Consolas"/>
                <w:color w:val="282828"/>
                <w:sz w:val="19"/>
              </w:rPr>
              <w:t xml:space="preserve">    return result.x</w:t>
            </w:r>
          </w:p>
        </w:tc>
      </w:tr>
    </w:tbl>
    <w:p>
      <w:pPr>
        <w:pStyle w:val="style0"/>
        <w:spacing w:before="120" w:after="0"/>
        <w:rPr/>
      </w:pPr>
    </w:p>
    <w:p>
      <w:pPr>
        <w:pStyle w:val="style0"/>
        <w:keepNext/>
        <w:spacing w:before="360" w:after="120"/>
        <w:rPr/>
      </w:pPr>
      <w:r>
        <w:rPr>
          <w:rFonts w:ascii="Calibri" w:hAnsi="Calibri"/>
          <w:b/>
          <w:color w:val="1f4e79"/>
          <w:sz w:val="28"/>
        </w:rPr>
        <w:t>5. Projected Outcomes &amp; Results Analysis</w:t>
      </w:r>
    </w:p>
    <w:p>
      <w:pPr>
        <w:pStyle w:val="style48"/>
        <w:spacing w:before="0" w:after="80" w:lineRule="auto" w:line="276"/>
        <w:rPr/>
      </w:pPr>
      <w:r>
        <w:rPr>
          <w:rFonts w:ascii="Calibri" w:hAnsi="Calibri"/>
          <w:b/>
          <w:color w:val="1f4e79"/>
          <w:sz w:val="22"/>
        </w:rPr>
        <w:t xml:space="preserve">Parameter Convergence: </w:t>
      </w:r>
      <w:r>
        <w:rPr>
          <w:rFonts w:ascii="Calibri" w:hAnsi="Calibri"/>
          <w:color w:val="333333"/>
          <w:sz w:val="22"/>
        </w:rPr>
        <w:t>The L-BFGS-B optimizer successfully converges within standard iteration limits (&lt; 100 steps) when initialized with sensible defaults.</w:t>
      </w:r>
    </w:p>
    <w:p>
      <w:pPr>
        <w:pStyle w:val="style48"/>
        <w:spacing w:before="0" w:after="80" w:lineRule="auto" w:line="276"/>
        <w:rPr/>
      </w:pPr>
      <w:r>
        <w:rPr>
          <w:rFonts w:ascii="Calibri" w:hAnsi="Calibri"/>
          <w:b/>
          <w:color w:val="1f4e79"/>
          <w:sz w:val="22"/>
        </w:rPr>
        <w:t xml:space="preserve">Heterogeneity Insight: </w:t>
      </w:r>
      <w:r>
        <w:rPr>
          <w:rFonts w:ascii="Calibri" w:hAnsi="Calibri"/>
          <w:color w:val="333333"/>
          <w:sz w:val="22"/>
        </w:rPr>
        <w:t>Estimated values for (r, α) quantify transaction frequency distribution across the active base, while (a, b) map customer churn sensitivity and tenure decay curves.</w:t>
      </w:r>
    </w:p>
    <w:p>
      <w:pPr>
        <w:pStyle w:val="style48"/>
        <w:spacing w:before="0" w:after="80" w:lineRule="auto" w:line="276"/>
        <w:rPr/>
      </w:pPr>
      <w:r>
        <w:rPr>
          <w:rFonts w:ascii="Calibri" w:hAnsi="Calibri"/>
          <w:b/>
          <w:color w:val="1f4e79"/>
          <w:sz w:val="22"/>
        </w:rPr>
        <w:t xml:space="preserve">Scalability: </w:t>
      </w:r>
      <w:r>
        <w:rPr>
          <w:rFonts w:ascii="Calibri" w:hAnsi="Calibri"/>
          <w:color w:val="333333"/>
          <w:sz w:val="22"/>
        </w:rPr>
        <w:t>Vectorization via NumPy array operations ensures processing efficiency across millions of row-level transaction records without memory bottlenecks.</w:t>
      </w:r>
    </w:p>
    <w:p>
      <w:pPr>
        <w:pStyle w:val="style0"/>
        <w:keepNext/>
        <w:spacing w:before="360" w:after="120"/>
        <w:rPr/>
      </w:pPr>
      <w:r>
        <w:rPr>
          <w:rFonts w:ascii="Calibri" w:hAnsi="Calibri"/>
          <w:b/>
          <w:color w:val="1f4e79"/>
          <w:sz w:val="28"/>
        </w:rPr>
        <w:t>6. Conclusion</w:t>
      </w:r>
    </w:p>
    <w:p>
      <w:pPr>
        <w:pStyle w:val="style0"/>
        <w:spacing w:before="0" w:after="120" w:lineRule="auto" w:line="276"/>
        <w:rPr/>
      </w:pPr>
      <w:r>
        <w:rPr>
          <w:rFonts w:ascii="Calibri" w:hAnsi="Calibri"/>
          <w:color w:val="333333"/>
          <w:sz w:val="22"/>
        </w:rPr>
        <w:t>This assignment successfully bridges theoretical business metrics with rigorous mathematical execution. By building the BG/NBD model from first principles rather than relying on automated wrapper packages, this project highlights the core mechanics of customer-base analysis in Business Analytics.</w:t>
      </w:r>
    </w:p>
    <w:p>
      <w:pPr>
        <w:pStyle w:val="style0"/>
        <w:spacing w:before="0" w:after="120" w:lineRule="auto" w:line="276"/>
        <w:rPr/>
      </w:pPr>
      <w:r>
        <w:rPr>
          <w:rFonts w:ascii="Calibri" w:hAnsi="Calibri"/>
          <w:color w:val="333333"/>
          <w:sz w:val="22"/>
        </w:rPr>
        <w:t>The implementation demonstrates that massive transactional datasets can be effectively translated into actionable predictive insights regarding customer loyalty and churn. The resulting parameters empower organizations to optimize marketing budgets, identify high-value customer segments, and formulate robust, data-backed retention strategies for sustainable business growth.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74a4646-cbba-4142-aff8-a19940d97bb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97039bb-8214-40e4-aa19-e81fd8defac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9d304ae7-856d-4207-9c5d-8c7e61c0499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bfc03ab-7bc8-4c05-b500-c9b47fd3f22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412bde6a-3875-49e7-8387-d38f73fbafe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7d3cf92-224b-4cd2-b966-26c5097455b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d3412151-c0ce-4781-9d87-076e72ee5ca3"/>
    <w:basedOn w:val="style65"/>
    <w:next w:val="style4108"/>
    <w:link w:val="style180"/>
    <w:uiPriority w:val="29"/>
    <w:rPr>
      <w:i/>
      <w:iCs/>
      <w:color w:val="000000"/>
    </w:rPr>
  </w:style>
  <w:style w:type="character" w:customStyle="1" w:styleId="style4109">
    <w:name w:val="Heading 4 Char_16cf32b5-b278-404e-83d6-8d5a21f9583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341ad7c-b141-4c53-9b53-105e4b2b4765"/>
    <w:basedOn w:val="style65"/>
    <w:next w:val="style4110"/>
    <w:link w:val="style5"/>
    <w:uiPriority w:val="9"/>
    <w:rPr>
      <w:rFonts w:ascii="Calibri" w:cs="宋体" w:eastAsia="ＭＳ ゴシック" w:hAnsi="Calibri"/>
      <w:color w:val="243f60"/>
    </w:rPr>
  </w:style>
  <w:style w:type="character" w:customStyle="1" w:styleId="style4111">
    <w:name w:val="Heading 6 Char_df5001d2-2a57-4073-b6f7-4d4257d8c779"/>
    <w:basedOn w:val="style65"/>
    <w:next w:val="style4111"/>
    <w:link w:val="style6"/>
    <w:uiPriority w:val="9"/>
    <w:rPr>
      <w:rFonts w:ascii="Calibri" w:cs="宋体" w:eastAsia="ＭＳ ゴシック" w:hAnsi="Calibri"/>
      <w:i/>
      <w:iCs/>
      <w:color w:val="243f60"/>
    </w:rPr>
  </w:style>
  <w:style w:type="character" w:customStyle="1" w:styleId="style4112">
    <w:name w:val="Heading 7 Char_fc74a96b-4920-4b00-bfb6-eaf2171d8d64"/>
    <w:basedOn w:val="style65"/>
    <w:next w:val="style4112"/>
    <w:link w:val="style7"/>
    <w:uiPriority w:val="9"/>
    <w:rPr>
      <w:rFonts w:ascii="Calibri" w:cs="宋体" w:eastAsia="ＭＳ ゴシック" w:hAnsi="Calibri"/>
      <w:i/>
      <w:iCs/>
      <w:color w:val="404040"/>
    </w:rPr>
  </w:style>
  <w:style w:type="character" w:customStyle="1" w:styleId="style4113">
    <w:name w:val="Heading 8 Char_ded41eb6-3945-4ba5-adfa-eca0089bacd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0965048-96eb-4afb-8737-5270b654d64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828e0e5-8cd9-47e2-8f3d-1ffbcb16053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715</Words>
  <Pages>1</Pages>
  <Characters>4592</Characters>
  <Application>WPS Office</Application>
  <DocSecurity>0</DocSecurity>
  <Paragraphs>43</Paragraphs>
  <ScaleCrop>false</ScaleCrop>
  <LinksUpToDate>false</LinksUpToDate>
  <CharactersWithSpaces>5331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24090RA29I</lastModifiedBy>
  <dcterms:modified xsi:type="dcterms:W3CDTF">2026-08-05T05:39:03Z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360e8914646f4466917c3a215052d213</vt:lpwstr>
  </property>
</Properties>
</file>