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56"/>
        </w:rPr>
        <w:t>Insurance XML Platform</w:t>
      </w:r>
    </w:p>
    <w:p>
      <w:pPr>
        <w:jc w:val="center"/>
      </w:pPr>
      <w:r>
        <w:rPr>
          <w:color w:val="2E75B6"/>
          <w:sz w:val="36"/>
        </w:rPr>
        <w:t>Complete Project Report</w:t>
      </w:r>
    </w:p>
    <w:p>
      <w:pPr>
        <w:jc w:val="center"/>
      </w:pPr>
      <w:r>
        <w:rPr>
          <w:color w:val="606060"/>
          <w:sz w:val="22"/>
        </w:rPr>
        <w:t>March 28, 2026  |  Version 1.0</w:t>
      </w:r>
    </w:p>
    <w:p/>
    <w:p>
      <w:pPr>
        <w:pBdr>
          <w:bottom w:val="single" w:sz="6" w:space="1" w:color="1F4E79"/>
        </w:pBdr>
        <w:spacing w:after="160"/>
      </w:pPr>
    </w:p>
    <w:p>
      <w:pPr>
        <w:pStyle w:val="Heading1"/>
      </w:pPr>
      <w:r>
        <w:rPr>
          <w:color w:val="1F4E79"/>
        </w:rPr>
        <w:t>1. Executive Summary</w:t>
      </w:r>
    </w:p>
    <w:p>
      <w:pPr>
        <w:spacing w:after="120"/>
      </w:pPr>
      <w:r>
        <w:rPr>
          <w:b w:val="0"/>
          <w:i w:val="0"/>
          <w:sz w:val="22"/>
        </w:rPr>
        <w:t>The Insurance XML Platform is a portfolio-grade, end-to-end data engineering project that demonstrates how a real-world insurance data platform is built — from raw XML source files through to queryable, tested analytics tables. The platform ingests commercial auto insurance policy XML files, shreds them into structured Bronze Iceberg tables using AWS Glue and PySpark, and promotes them to Silver analytics models using dbt on Amazon Athena.</w:t>
      </w:r>
    </w:p>
    <w:p>
      <w:pPr>
        <w:spacing w:after="120"/>
      </w:pPr>
      <w:r>
        <w:rPr>
          <w:b w:val="0"/>
          <w:i w:val="0"/>
          <w:sz w:val="22"/>
        </w:rPr>
        <w:t>The project is designed to be explainable in interviews, reproducible by any engineer with AWS credentials, and representative of the layered architecture used in enterprise data platforms. All infrastructure is provisioned as code using Terraform and all transformations are version-controlled in Git.</w:t>
      </w:r>
    </w:p>
    <w:p>
      <w:pPr>
        <w:pBdr>
          <w:bottom w:val="single" w:sz="6" w:space="1" w:color="1F4E79"/>
        </w:pBdr>
        <w:spacing w:after="160"/>
      </w:pPr>
    </w:p>
    <w:p>
      <w:pPr>
        <w:pStyle w:val="Heading1"/>
      </w:pPr>
      <w:r>
        <w:rPr>
          <w:color w:val="1F4E79"/>
        </w:rPr>
        <w:t>2. Project Goals</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1F4E79"/>
          </w:tcPr>
          <w:p>
            <w:r>
              <w:rPr>
                <w:b/>
                <w:color w:val="FFFFFF"/>
                <w:sz w:val="20"/>
              </w:rPr>
              <w:t>Goal</w:t>
            </w:r>
          </w:p>
        </w:tc>
        <w:tc>
          <w:tcPr>
            <w:tcW w:type="dxa" w:w="6768"/>
            <w:shd w:val="clear" w:color="auto" w:fill="1F4E79"/>
          </w:tcPr>
          <w:p>
            <w:r>
              <w:rPr>
                <w:b/>
                <w:color w:val="FFFFFF"/>
                <w:sz w:val="20"/>
              </w:rPr>
              <w:t>Detail</w:t>
            </w:r>
          </w:p>
        </w:tc>
      </w:tr>
      <w:tr>
        <w:tc>
          <w:tcPr>
            <w:tcW w:type="dxa" w:w="2880"/>
          </w:tcPr>
          <w:p>
            <w:r>
              <w:rPr>
                <w:sz w:val="20"/>
              </w:rPr>
              <w:t>Portfolio strength</w:t>
            </w:r>
          </w:p>
        </w:tc>
        <w:tc>
          <w:tcPr>
            <w:tcW w:type="dxa" w:w="6768"/>
          </w:tcPr>
          <w:p>
            <w:r>
              <w:rPr>
                <w:sz w:val="20"/>
              </w:rPr>
              <w:t>Demonstrate end-to-end platform thinking: ingestion, storage, transformation, testing, and documentation</w:t>
            </w:r>
          </w:p>
        </w:tc>
      </w:tr>
      <w:tr>
        <w:tc>
          <w:tcPr>
            <w:tcW w:type="dxa" w:w="2880"/>
          </w:tcPr>
          <w:p>
            <w:r>
              <w:rPr>
                <w:sz w:val="20"/>
              </w:rPr>
              <w:t>No black-box tools</w:t>
            </w:r>
          </w:p>
        </w:tc>
        <w:tc>
          <w:tcPr>
            <w:tcW w:type="dxa" w:w="6768"/>
          </w:tcPr>
          <w:p>
            <w:r>
              <w:rPr>
                <w:sz w:val="20"/>
              </w:rPr>
              <w:t>Replace proprietary XML shredders (e.g. Flexter) with open, explainable PySpark code</w:t>
            </w:r>
          </w:p>
        </w:tc>
      </w:tr>
      <w:tr>
        <w:tc>
          <w:tcPr>
            <w:tcW w:type="dxa" w:w="2880"/>
          </w:tcPr>
          <w:p>
            <w:r>
              <w:rPr>
                <w:sz w:val="20"/>
              </w:rPr>
              <w:t>Infrastructure as code</w:t>
            </w:r>
          </w:p>
        </w:tc>
        <w:tc>
          <w:tcPr>
            <w:tcW w:type="dxa" w:w="6768"/>
          </w:tcPr>
          <w:p>
            <w:r>
              <w:rPr>
                <w:sz w:val="20"/>
              </w:rPr>
              <w:t>All AWS resources provisioned via Terraform — no manual console clicks</w:t>
            </w:r>
          </w:p>
        </w:tc>
      </w:tr>
      <w:tr>
        <w:tc>
          <w:tcPr>
            <w:tcW w:type="dxa" w:w="2880"/>
          </w:tcPr>
          <w:p>
            <w:r>
              <w:rPr>
                <w:sz w:val="20"/>
              </w:rPr>
              <w:t>Enterprise patterns</w:t>
            </w:r>
          </w:p>
        </w:tc>
        <w:tc>
          <w:tcPr>
            <w:tcW w:type="dxa" w:w="6768"/>
          </w:tcPr>
          <w:p>
            <w:r>
              <w:rPr>
                <w:sz w:val="20"/>
              </w:rPr>
              <w:t>Layered architecture (Bronze / Silver / Gold), Iceberg tables, dbt modeling, and data quality tests</w:t>
            </w:r>
          </w:p>
        </w:tc>
      </w:tr>
      <w:tr>
        <w:tc>
          <w:tcPr>
            <w:tcW w:type="dxa" w:w="2880"/>
          </w:tcPr>
          <w:p>
            <w:r>
              <w:rPr>
                <w:sz w:val="20"/>
              </w:rPr>
              <w:t>Cost-conscious</w:t>
            </w:r>
          </w:p>
        </w:tc>
        <w:tc>
          <w:tcPr>
            <w:tcW w:type="dxa" w:w="6768"/>
          </w:tcPr>
          <w:p>
            <w:r>
              <w:rPr>
                <w:sz w:val="20"/>
              </w:rPr>
              <w:t>Designed for a learning budget of $20-$100/month using minimal Glue workers and small datasets</w:t>
            </w:r>
          </w:p>
        </w:tc>
      </w:tr>
      <w:tr>
        <w:tc>
          <w:tcPr>
            <w:tcW w:type="dxa" w:w="2880"/>
          </w:tcPr>
          <w:p>
            <w:r>
              <w:rPr>
                <w:sz w:val="20"/>
              </w:rPr>
              <w:t>Laptop as cockpit</w:t>
            </w:r>
          </w:p>
        </w:tc>
        <w:tc>
          <w:tcPr>
            <w:tcW w:type="dxa" w:w="6768"/>
          </w:tcPr>
          <w:p>
            <w:r>
              <w:rPr>
                <w:sz w:val="20"/>
              </w:rPr>
              <w:t>All development happens locally; AWS runs the managed services</w:t>
            </w:r>
          </w:p>
        </w:tc>
      </w:tr>
    </w:tbl>
    <w:p/>
    <w:p>
      <w:pPr>
        <w:pBdr>
          <w:bottom w:val="single" w:sz="6" w:space="1" w:color="1F4E79"/>
        </w:pBdr>
        <w:spacing w:after="160"/>
      </w:pPr>
    </w:p>
    <w:p>
      <w:pPr>
        <w:pStyle w:val="Heading1"/>
      </w:pPr>
      <w:r>
        <w:rPr>
          <w:color w:val="1F4E79"/>
        </w:rPr>
        <w:t>3. Architecture</w:t>
      </w:r>
    </w:p>
    <w:p>
      <w:pPr>
        <w:spacing w:after="120"/>
      </w:pPr>
      <w:r>
        <w:rPr>
          <w:b w:val="0"/>
          <w:i w:val="0"/>
          <w:sz w:val="22"/>
        </w:rPr>
        <w:t>The platform is organized into four layers that mirror a real enterprise data platform:</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F4E79"/>
          </w:tcPr>
          <w:p>
            <w:r>
              <w:rPr>
                <w:b/>
                <w:color w:val="FFFFFF"/>
                <w:sz w:val="20"/>
              </w:rPr>
              <w:t>Layer</w:t>
            </w:r>
          </w:p>
        </w:tc>
        <w:tc>
          <w:tcPr>
            <w:tcW w:type="dxa" w:w="3456"/>
            <w:shd w:val="clear" w:color="auto" w:fill="1F4E79"/>
          </w:tcPr>
          <w:p>
            <w:r>
              <w:rPr>
                <w:b/>
                <w:color w:val="FFFFFF"/>
                <w:sz w:val="20"/>
              </w:rPr>
              <w:t>Technology</w:t>
            </w:r>
          </w:p>
        </w:tc>
        <w:tc>
          <w:tcPr>
            <w:tcW w:type="dxa" w:w="3600"/>
            <w:shd w:val="clear" w:color="auto" w:fill="1F4E79"/>
          </w:tcPr>
          <w:p>
            <w:r>
              <w:rPr>
                <w:b/>
                <w:color w:val="FFFFFF"/>
                <w:sz w:val="20"/>
              </w:rPr>
              <w:t>Purpose</w:t>
            </w:r>
          </w:p>
        </w:tc>
      </w:tr>
      <w:tr>
        <w:tc>
          <w:tcPr>
            <w:tcW w:type="dxa" w:w="2592"/>
          </w:tcPr>
          <w:p>
            <w:r>
              <w:rPr>
                <w:sz w:val="20"/>
              </w:rPr>
              <w:t>Infrastructure</w:t>
            </w:r>
          </w:p>
        </w:tc>
        <w:tc>
          <w:tcPr>
            <w:tcW w:type="dxa" w:w="3456"/>
          </w:tcPr>
          <w:p>
            <w:r>
              <w:rPr>
                <w:sz w:val="20"/>
              </w:rPr>
              <w:t>Terraform Community Edition</w:t>
            </w:r>
          </w:p>
        </w:tc>
        <w:tc>
          <w:tcPr>
            <w:tcW w:type="dxa" w:w="3600"/>
          </w:tcPr>
          <w:p>
            <w:r>
              <w:rPr>
                <w:sz w:val="20"/>
              </w:rPr>
              <w:t>Provision all AWS resources as code</w:t>
            </w:r>
          </w:p>
        </w:tc>
      </w:tr>
      <w:tr>
        <w:tc>
          <w:tcPr>
            <w:tcW w:type="dxa" w:w="2592"/>
          </w:tcPr>
          <w:p>
            <w:r>
              <w:rPr>
                <w:sz w:val="20"/>
              </w:rPr>
              <w:t>Source / Movement</w:t>
            </w:r>
          </w:p>
        </w:tc>
        <w:tc>
          <w:tcPr>
            <w:tcW w:type="dxa" w:w="3456"/>
          </w:tcPr>
          <w:p>
            <w:r>
              <w:rPr>
                <w:sz w:val="20"/>
              </w:rPr>
              <w:t>Amazon S3 + AWS DataSync</w:t>
            </w:r>
          </w:p>
        </w:tc>
        <w:tc>
          <w:tcPr>
            <w:tcW w:type="dxa" w:w="3600"/>
          </w:tcPr>
          <w:p>
            <w:r>
              <w:rPr>
                <w:sz w:val="20"/>
              </w:rPr>
              <w:t>Store and move raw XML files from source to landing</w:t>
            </w:r>
          </w:p>
        </w:tc>
      </w:tr>
      <w:tr>
        <w:tc>
          <w:tcPr>
            <w:tcW w:type="dxa" w:w="2592"/>
          </w:tcPr>
          <w:p>
            <w:r>
              <w:rPr>
                <w:sz w:val="20"/>
              </w:rPr>
              <w:t>Bronze (Raw)</w:t>
            </w:r>
          </w:p>
        </w:tc>
        <w:tc>
          <w:tcPr>
            <w:tcW w:type="dxa" w:w="3456"/>
          </w:tcPr>
          <w:p>
            <w:r>
              <w:rPr>
                <w:sz w:val="20"/>
              </w:rPr>
              <w:t>AWS Glue 4.0 PySpark + Apache Iceberg</w:t>
            </w:r>
          </w:p>
        </w:tc>
        <w:tc>
          <w:tcPr>
            <w:tcW w:type="dxa" w:w="3600"/>
          </w:tcPr>
          <w:p>
            <w:r>
              <w:rPr>
                <w:sz w:val="20"/>
              </w:rPr>
              <w:t>Parse XML and write normalized tables to S3 as Iceberg</w:t>
            </w:r>
          </w:p>
        </w:tc>
      </w:tr>
      <w:tr>
        <w:tc>
          <w:tcPr>
            <w:tcW w:type="dxa" w:w="2592"/>
          </w:tcPr>
          <w:p>
            <w:r>
              <w:rPr>
                <w:sz w:val="20"/>
              </w:rPr>
              <w:t>Catalog / Query</w:t>
            </w:r>
          </w:p>
        </w:tc>
        <w:tc>
          <w:tcPr>
            <w:tcW w:type="dxa" w:w="3456"/>
          </w:tcPr>
          <w:p>
            <w:r>
              <w:rPr>
                <w:sz w:val="20"/>
              </w:rPr>
              <w:t>AWS Glue Data Catalog + Amazon Athena</w:t>
            </w:r>
          </w:p>
        </w:tc>
        <w:tc>
          <w:tcPr>
            <w:tcW w:type="dxa" w:w="3600"/>
          </w:tcPr>
          <w:p>
            <w:r>
              <w:rPr>
                <w:sz w:val="20"/>
              </w:rPr>
              <w:t>Register table metadata and query Bronze/Silver tables</w:t>
            </w:r>
          </w:p>
        </w:tc>
      </w:tr>
      <w:tr>
        <w:tc>
          <w:tcPr>
            <w:tcW w:type="dxa" w:w="2592"/>
          </w:tcPr>
          <w:p>
            <w:r>
              <w:rPr>
                <w:sz w:val="20"/>
              </w:rPr>
              <w:t>Silver (Modeled)</w:t>
            </w:r>
          </w:p>
        </w:tc>
        <w:tc>
          <w:tcPr>
            <w:tcW w:type="dxa" w:w="3456"/>
          </w:tcPr>
          <w:p>
            <w:r>
              <w:rPr>
                <w:sz w:val="20"/>
              </w:rPr>
              <w:t>dbt Core + dbt-athena-community</w:t>
            </w:r>
          </w:p>
        </w:tc>
        <w:tc>
          <w:tcPr>
            <w:tcW w:type="dxa" w:w="3600"/>
          </w:tcPr>
          <w:p>
            <w:r>
              <w:rPr>
                <w:sz w:val="20"/>
              </w:rPr>
              <w:t>Transform Bronze into clean, tested analytics entities</w:t>
            </w:r>
          </w:p>
        </w:tc>
      </w:tr>
      <w:tr>
        <w:tc>
          <w:tcPr>
            <w:tcW w:type="dxa" w:w="2592"/>
          </w:tcPr>
          <w:p>
            <w:r>
              <w:rPr>
                <w:sz w:val="20"/>
              </w:rPr>
              <w:t>Gold (Aggregated)</w:t>
            </w:r>
          </w:p>
        </w:tc>
        <w:tc>
          <w:tcPr>
            <w:tcW w:type="dxa" w:w="3456"/>
          </w:tcPr>
          <w:p>
            <w:r>
              <w:rPr>
                <w:sz w:val="20"/>
              </w:rPr>
              <w:t>dbt Core</w:t>
            </w:r>
          </w:p>
        </w:tc>
        <w:tc>
          <w:tcPr>
            <w:tcW w:type="dxa" w:w="3600"/>
          </w:tcPr>
          <w:p>
            <w:r>
              <w:rPr>
                <w:sz w:val="20"/>
              </w:rPr>
              <w:t>Policy summaries and coverage rollups for reporting</w:t>
            </w:r>
          </w:p>
        </w:tc>
      </w:tr>
      <w:tr>
        <w:tc>
          <w:tcPr>
            <w:tcW w:type="dxa" w:w="2592"/>
          </w:tcPr>
          <w:p>
            <w:r>
              <w:rPr>
                <w:sz w:val="20"/>
              </w:rPr>
              <w:t>Version Control / CI</w:t>
            </w:r>
          </w:p>
        </w:tc>
        <w:tc>
          <w:tcPr>
            <w:tcW w:type="dxa" w:w="3456"/>
          </w:tcPr>
          <w:p>
            <w:r>
              <w:rPr>
                <w:sz w:val="20"/>
              </w:rPr>
              <w:t>GitHub + GitHub Actions (Phase 7)</w:t>
            </w:r>
          </w:p>
        </w:tc>
        <w:tc>
          <w:tcPr>
            <w:tcW w:type="dxa" w:w="3600"/>
          </w:tcPr>
          <w:p>
            <w:r>
              <w:rPr>
                <w:sz w:val="20"/>
              </w:rPr>
              <w:t>Code review, linting, and automated dbt parse/test</w:t>
            </w:r>
          </w:p>
        </w:tc>
      </w:tr>
    </w:tbl>
    <w:p/>
    <w:p>
      <w:pPr>
        <w:pStyle w:val="Heading2"/>
      </w:pPr>
      <w:r>
        <w:t>3.1  Data Flow</w:t>
      </w:r>
    </w:p>
    <w:p>
      <w:pPr>
        <w:spacing w:after="120"/>
      </w:pPr>
      <w:r>
        <w:rPr>
          <w:b w:val="0"/>
          <w:i w:val="0"/>
          <w:sz w:val="22"/>
        </w:rPr>
        <w:t>The data flows through the platform in the following sequence:</w:t>
      </w:r>
    </w:p>
    <w:p>
      <w:pPr>
        <w:pStyle w:val="ListNumber"/>
        <w:spacing w:after="60"/>
      </w:pPr>
      <w:r>
        <w:t>XML files are placed in the S3 source bucket (ins-xml-dev-source/inbound/)</w:t>
      </w:r>
    </w:p>
    <w:p>
      <w:pPr>
        <w:pStyle w:val="ListNumber"/>
        <w:spacing w:after="60"/>
      </w:pPr>
      <w:r>
        <w:t>AWS DataSync copies XML files to the landing bucket (ins-xml-dev-landing/xml/)</w:t>
      </w:r>
    </w:p>
    <w:p>
      <w:pPr>
        <w:pStyle w:val="ListNumber"/>
        <w:spacing w:after="60"/>
      </w:pPr>
      <w:r>
        <w:t>The Glue shredding job reads XMLs from landing, parses each document, and writes 8 Bronze Iceberg tables to the bronze bucket</w:t>
      </w:r>
    </w:p>
    <w:p>
      <w:pPr>
        <w:pStyle w:val="ListNumber"/>
        <w:spacing w:after="60"/>
      </w:pPr>
      <w:r>
        <w:t>Tables are registered in the Glue Data Catalog database (insurance_bronze)</w:t>
      </w:r>
    </w:p>
    <w:p>
      <w:pPr>
        <w:pStyle w:val="ListNumber"/>
        <w:spacing w:after="60"/>
      </w:pPr>
      <w:r>
        <w:t>Athena queries the Bronze tables for validation and ad-hoc analysis</w:t>
      </w:r>
    </w:p>
    <w:p>
      <w:pPr>
        <w:pStyle w:val="ListNumber"/>
        <w:spacing w:after="60"/>
      </w:pPr>
      <w:r>
        <w:t>dbt reads Bronze tables and writes Silver models to the Glue Catalog (insurance_silver schema)</w:t>
      </w:r>
    </w:p>
    <w:p>
      <w:pPr>
        <w:pBdr>
          <w:bottom w:val="single" w:sz="6" w:space="1" w:color="1F4E79"/>
        </w:pBdr>
        <w:spacing w:after="160"/>
      </w:pPr>
    </w:p>
    <w:p>
      <w:pPr>
        <w:pStyle w:val="Heading1"/>
      </w:pPr>
      <w:r>
        <w:rPr>
          <w:color w:val="1F4E79"/>
        </w:rPr>
        <w:t>4. AWS Infrastructure</w:t>
      </w:r>
    </w:p>
    <w:p>
      <w:pPr>
        <w:spacing w:after="120"/>
      </w:pPr>
      <w:r>
        <w:rPr>
          <w:b w:val="0"/>
          <w:i w:val="0"/>
          <w:sz w:val="22"/>
        </w:rPr>
        <w:t>All resources live in AWS account 252334402175, region us-east-1. They are managed by Terraform in infra/terraform/ with a modular structure.</w:t>
      </w:r>
    </w:p>
    <w:p>
      <w:pPr>
        <w:pStyle w:val="Heading2"/>
      </w:pPr>
      <w:r>
        <w:t>4.1  S3 Buckets</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F4E79"/>
          </w:tcPr>
          <w:p>
            <w:r>
              <w:rPr>
                <w:b/>
                <w:color w:val="FFFFFF"/>
                <w:sz w:val="20"/>
              </w:rPr>
              <w:t>Bucket Name</w:t>
            </w:r>
          </w:p>
        </w:tc>
        <w:tc>
          <w:tcPr>
            <w:tcW w:type="dxa" w:w="3456"/>
            <w:shd w:val="clear" w:color="auto" w:fill="1F4E79"/>
          </w:tcPr>
          <w:p>
            <w:r>
              <w:rPr>
                <w:b/>
                <w:color w:val="FFFFFF"/>
                <w:sz w:val="20"/>
              </w:rPr>
              <w:t>Purpose</w:t>
            </w:r>
          </w:p>
        </w:tc>
        <w:tc>
          <w:tcPr>
            <w:tcW w:type="dxa" w:w="3024"/>
            <w:shd w:val="clear" w:color="auto" w:fill="1F4E79"/>
          </w:tcPr>
          <w:p>
            <w:r>
              <w:rPr>
                <w:b/>
                <w:color w:val="FFFFFF"/>
                <w:sz w:val="20"/>
              </w:rPr>
              <w:t>Notes</w:t>
            </w:r>
          </w:p>
        </w:tc>
      </w:tr>
      <w:tr>
        <w:tc>
          <w:tcPr>
            <w:tcW w:type="dxa" w:w="3168"/>
          </w:tcPr>
          <w:p>
            <w:r>
              <w:rPr>
                <w:sz w:val="20"/>
              </w:rPr>
              <w:t>ins-xml-dev-source</w:t>
            </w:r>
          </w:p>
        </w:tc>
        <w:tc>
          <w:tcPr>
            <w:tcW w:type="dxa" w:w="3456"/>
          </w:tcPr>
          <w:p>
            <w:r>
              <w:rPr>
                <w:sz w:val="20"/>
              </w:rPr>
              <w:t>Raw inbound XML files</w:t>
            </w:r>
          </w:p>
        </w:tc>
        <w:tc>
          <w:tcPr>
            <w:tcW w:type="dxa" w:w="3024"/>
          </w:tcPr>
          <w:p>
            <w:r>
              <w:rPr>
                <w:sz w:val="20"/>
              </w:rPr>
              <w:t>Versioning enabled</w:t>
            </w:r>
          </w:p>
        </w:tc>
      </w:tr>
      <w:tr>
        <w:tc>
          <w:tcPr>
            <w:tcW w:type="dxa" w:w="3168"/>
          </w:tcPr>
          <w:p>
            <w:r>
              <w:rPr>
                <w:sz w:val="20"/>
              </w:rPr>
              <w:t>ins-xml-dev-landing</w:t>
            </w:r>
          </w:p>
        </w:tc>
        <w:tc>
          <w:tcPr>
            <w:tcW w:type="dxa" w:w="3456"/>
          </w:tcPr>
          <w:p>
            <w:r>
              <w:rPr>
                <w:sz w:val="20"/>
              </w:rPr>
              <w:t>DataSync destination</w:t>
            </w:r>
          </w:p>
        </w:tc>
        <w:tc>
          <w:tcPr>
            <w:tcW w:type="dxa" w:w="3024"/>
          </w:tcPr>
          <w:p>
            <w:r>
              <w:rPr>
                <w:sz w:val="20"/>
              </w:rPr>
              <w:t>Versioning enabled</w:t>
            </w:r>
          </w:p>
        </w:tc>
      </w:tr>
      <w:tr>
        <w:tc>
          <w:tcPr>
            <w:tcW w:type="dxa" w:w="3168"/>
          </w:tcPr>
          <w:p>
            <w:r>
              <w:rPr>
                <w:sz w:val="20"/>
              </w:rPr>
              <w:t>ins-xml-dev-bronze</w:t>
            </w:r>
          </w:p>
        </w:tc>
        <w:tc>
          <w:tcPr>
            <w:tcW w:type="dxa" w:w="3456"/>
          </w:tcPr>
          <w:p>
            <w:r>
              <w:rPr>
                <w:sz w:val="20"/>
              </w:rPr>
              <w:t>Iceberg table data (Parquet files)</w:t>
            </w:r>
          </w:p>
        </w:tc>
        <w:tc>
          <w:tcPr>
            <w:tcW w:type="dxa" w:w="3024"/>
          </w:tcPr>
          <w:p>
            <w:r>
              <w:rPr>
                <w:sz w:val="20"/>
              </w:rPr>
              <w:t>Glue reads and writes here</w:t>
            </w:r>
          </w:p>
        </w:tc>
      </w:tr>
      <w:tr>
        <w:tc>
          <w:tcPr>
            <w:tcW w:type="dxa" w:w="3168"/>
          </w:tcPr>
          <w:p>
            <w:r>
              <w:rPr>
                <w:sz w:val="20"/>
              </w:rPr>
              <w:t>ins-xml-dev-silver</w:t>
            </w:r>
          </w:p>
        </w:tc>
        <w:tc>
          <w:tcPr>
            <w:tcW w:type="dxa" w:w="3456"/>
          </w:tcPr>
          <w:p>
            <w:r>
              <w:rPr>
                <w:sz w:val="20"/>
              </w:rPr>
              <w:t>dbt Silver model output</w:t>
            </w:r>
          </w:p>
        </w:tc>
        <w:tc>
          <w:tcPr>
            <w:tcW w:type="dxa" w:w="3024"/>
          </w:tcPr>
          <w:p>
            <w:r>
              <w:rPr>
                <w:sz w:val="20"/>
              </w:rPr>
              <w:t>Written by dbt via Athena</w:t>
            </w:r>
          </w:p>
        </w:tc>
      </w:tr>
      <w:tr>
        <w:tc>
          <w:tcPr>
            <w:tcW w:type="dxa" w:w="3168"/>
          </w:tcPr>
          <w:p>
            <w:r>
              <w:rPr>
                <w:sz w:val="20"/>
              </w:rPr>
              <w:t>ins-xml-dev-athena-results</w:t>
            </w:r>
          </w:p>
        </w:tc>
        <w:tc>
          <w:tcPr>
            <w:tcW w:type="dxa" w:w="3456"/>
          </w:tcPr>
          <w:p>
            <w:r>
              <w:rPr>
                <w:sz w:val="20"/>
              </w:rPr>
              <w:t>Athena query result files</w:t>
            </w:r>
          </w:p>
        </w:tc>
        <w:tc>
          <w:tcPr>
            <w:tcW w:type="dxa" w:w="3024"/>
          </w:tcPr>
          <w:p>
            <w:r>
              <w:rPr>
                <w:sz w:val="20"/>
              </w:rPr>
              <w:t>Auto-deleted after 30 days</w:t>
            </w:r>
          </w:p>
        </w:tc>
      </w:tr>
    </w:tbl>
    <w:p/>
    <w:p>
      <w:pPr>
        <w:pStyle w:val="Heading2"/>
      </w:pPr>
      <w:r>
        <w:t>4.2  IAM Roles</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F4E79"/>
          </w:tcPr>
          <w:p>
            <w:r>
              <w:rPr>
                <w:b/>
                <w:color w:val="FFFFFF"/>
                <w:sz w:val="20"/>
              </w:rPr>
              <w:t>Role Name</w:t>
            </w:r>
          </w:p>
        </w:tc>
        <w:tc>
          <w:tcPr>
            <w:tcW w:type="dxa" w:w="2304"/>
            <w:shd w:val="clear" w:color="auto" w:fill="1F4E79"/>
          </w:tcPr>
          <w:p>
            <w:r>
              <w:rPr>
                <w:b/>
                <w:color w:val="FFFFFF"/>
                <w:sz w:val="20"/>
              </w:rPr>
              <w:t>Used By</w:t>
            </w:r>
          </w:p>
        </w:tc>
        <w:tc>
          <w:tcPr>
            <w:tcW w:type="dxa" w:w="4176"/>
            <w:shd w:val="clear" w:color="auto" w:fill="1F4E79"/>
          </w:tcPr>
          <w:p>
            <w:r>
              <w:rPr>
                <w:b/>
                <w:color w:val="FFFFFF"/>
                <w:sz w:val="20"/>
              </w:rPr>
              <w:t>Key Permissions</w:t>
            </w:r>
          </w:p>
        </w:tc>
      </w:tr>
      <w:tr>
        <w:tc>
          <w:tcPr>
            <w:tcW w:type="dxa" w:w="3168"/>
          </w:tcPr>
          <w:p>
            <w:r>
              <w:rPr>
                <w:sz w:val="20"/>
              </w:rPr>
              <w:t>ins-xml-dev-glue-role</w:t>
            </w:r>
          </w:p>
        </w:tc>
        <w:tc>
          <w:tcPr>
            <w:tcW w:type="dxa" w:w="2304"/>
          </w:tcPr>
          <w:p>
            <w:r>
              <w:rPr>
                <w:sz w:val="20"/>
              </w:rPr>
              <w:t>AWS Glue ETL jobs</w:t>
            </w:r>
          </w:p>
        </w:tc>
        <w:tc>
          <w:tcPr>
            <w:tcW w:type="dxa" w:w="4176"/>
          </w:tcPr>
          <w:p>
            <w:r>
              <w:rPr>
                <w:sz w:val="20"/>
              </w:rPr>
              <w:t>S3 read/write on landing+bronze+silver, Glue Catalog full access, Athena query</w:t>
            </w:r>
          </w:p>
        </w:tc>
      </w:tr>
      <w:tr>
        <w:tc>
          <w:tcPr>
            <w:tcW w:type="dxa" w:w="3168"/>
          </w:tcPr>
          <w:p>
            <w:r>
              <w:rPr>
                <w:sz w:val="20"/>
              </w:rPr>
              <w:t>ins-xml-dev-datasync-role</w:t>
            </w:r>
          </w:p>
        </w:tc>
        <w:tc>
          <w:tcPr>
            <w:tcW w:type="dxa" w:w="2304"/>
          </w:tcPr>
          <w:p>
            <w:r>
              <w:rPr>
                <w:sz w:val="20"/>
              </w:rPr>
              <w:t>AWS DataSync tasks</w:t>
            </w:r>
          </w:p>
        </w:tc>
        <w:tc>
          <w:tcPr>
            <w:tcW w:type="dxa" w:w="4176"/>
          </w:tcPr>
          <w:p>
            <w:r>
              <w:rPr>
                <w:sz w:val="20"/>
              </w:rPr>
              <w:t>S3 read on source, S3 read/write/delete on landing</w:t>
            </w:r>
          </w:p>
        </w:tc>
      </w:tr>
    </w:tbl>
    <w:p/>
    <w:p>
      <w:pPr>
        <w:pStyle w:val="Heading2"/>
      </w:pPr>
      <w:r>
        <w:t>4.3  Glue Resources</w:t>
      </w:r>
    </w:p>
    <w:p>
      <w:pPr>
        <w:pStyle w:val="ListBullet"/>
        <w:spacing w:after="60"/>
      </w:pPr>
      <w:r>
        <w:rPr>
          <w:b/>
        </w:rPr>
        <w:t xml:space="preserve">Catalog Database: </w:t>
      </w:r>
      <w:r>
        <w:t>insurance_bronze — Glue Data Catalog database holding all Bronze table definitions</w:t>
      </w:r>
    </w:p>
    <w:p>
      <w:pPr>
        <w:pStyle w:val="ListBullet"/>
        <w:spacing w:after="60"/>
      </w:pPr>
      <w:r>
        <w:rPr>
          <w:b/>
        </w:rPr>
        <w:t xml:space="preserve">Glue Job: </w:t>
      </w:r>
      <w:r>
        <w:t>ins-xml-dev-xml-shredder — Glue 4.0 ETL job, G.1X worker, 2 workers, script at s3://ins-xml-dev-landing/scripts/</w:t>
      </w:r>
    </w:p>
    <w:p>
      <w:pPr>
        <w:pStyle w:val="Heading2"/>
      </w:pPr>
      <w:r>
        <w:t>4.4  Athena Workgroup</w:t>
      </w:r>
    </w:p>
    <w:p>
      <w:pPr>
        <w:pStyle w:val="ListBullet"/>
        <w:spacing w:after="60"/>
      </w:pPr>
      <w:r>
        <w:rPr>
          <w:b/>
        </w:rPr>
        <w:t xml:space="preserve">Workgroup: </w:t>
      </w:r>
      <w:r>
        <w:t>insurance-wg — Engine v3 (Iceberg-native), results pinned to ins-xml-dev-athena-results/query-results/, SSE-S3 encryption</w:t>
      </w:r>
    </w:p>
    <w:p>
      <w:pPr>
        <w:pStyle w:val="Heading2"/>
      </w:pPr>
      <w:r>
        <w:t>4.5  DataSync Task</w:t>
      </w:r>
    </w:p>
    <w:p>
      <w:pPr>
        <w:pStyle w:val="ListBullet"/>
        <w:spacing w:after="60"/>
      </w:pPr>
      <w:r>
        <w:rPr>
          <w:b/>
        </w:rPr>
        <w:t xml:space="preserve">Task: </w:t>
      </w:r>
      <w:r>
        <w:t>ins-xml-dev-xml-copy — Copies all files from ins-xml-dev-source/inbound/ to ins-xml-dev-landing/xml/</w:t>
      </w:r>
    </w:p>
    <w:p>
      <w:pPr>
        <w:pBdr>
          <w:bottom w:val="single" w:sz="6" w:space="1" w:color="1F4E79"/>
        </w:pBdr>
        <w:spacing w:after="160"/>
      </w:pPr>
    </w:p>
    <w:p>
      <w:pPr>
        <w:pStyle w:val="Heading1"/>
      </w:pPr>
      <w:r>
        <w:rPr>
          <w:color w:val="1F4E79"/>
        </w:rPr>
        <w:t>5. Bronze Table Design</w:t>
      </w:r>
    </w:p>
    <w:p>
      <w:pPr>
        <w:spacing w:after="120"/>
      </w:pPr>
      <w:r>
        <w:rPr>
          <w:b w:val="0"/>
          <w:i w:val="0"/>
          <w:sz w:val="22"/>
        </w:rPr>
        <w:t>The Glue shredding job parses each XML document and writes one row per entity into 8 Bronze Iceberg tables. All tables include source_file_name and source_load_ts for full data lineage.</w:t>
      </w:r>
    </w:p>
    <w:tbl>
      <w:tblPr>
        <w:tblStyle w:val="TableGrid"/>
        <w:tblW w:type="auto" w:w="0"/>
        <w:jc w:val="left"/>
        <w:tblLook w:firstColumn="1" w:firstRow="1" w:lastColumn="0" w:lastRow="0" w:noHBand="0" w:noVBand="1" w:val="04A0"/>
      </w:tblPr>
      <w:tblGrid>
        <w:gridCol w:w="3024"/>
        <w:gridCol w:w="3024"/>
        <w:gridCol w:w="3024"/>
      </w:tblGrid>
      <w:tr>
        <w:tc>
          <w:tcPr>
            <w:tcW w:type="dxa" w:w="4032"/>
            <w:shd w:val="clear" w:color="auto" w:fill="1F4E79"/>
          </w:tcPr>
          <w:p>
            <w:r>
              <w:rPr>
                <w:b/>
                <w:color w:val="FFFFFF"/>
                <w:sz w:val="20"/>
              </w:rPr>
              <w:t>Table Name</w:t>
            </w:r>
          </w:p>
        </w:tc>
        <w:tc>
          <w:tcPr>
            <w:tcW w:type="dxa" w:w="2592"/>
            <w:shd w:val="clear" w:color="auto" w:fill="1F4E79"/>
          </w:tcPr>
          <w:p>
            <w:r>
              <w:rPr>
                <w:b/>
                <w:color w:val="FFFFFF"/>
                <w:sz w:val="20"/>
              </w:rPr>
              <w:t>Grain</w:t>
            </w:r>
          </w:p>
        </w:tc>
        <w:tc>
          <w:tcPr>
            <w:tcW w:type="dxa" w:w="3024"/>
            <w:shd w:val="clear" w:color="auto" w:fill="1F4E79"/>
          </w:tcPr>
          <w:p>
            <w:r>
              <w:rPr>
                <w:b/>
                <w:color w:val="FFFFFF"/>
                <w:sz w:val="20"/>
              </w:rPr>
              <w:t>Key Columns</w:t>
            </w:r>
          </w:p>
        </w:tc>
      </w:tr>
      <w:tr>
        <w:tc>
          <w:tcPr>
            <w:tcW w:type="dxa" w:w="4032"/>
          </w:tcPr>
          <w:p>
            <w:r>
              <w:rPr>
                <w:sz w:val="20"/>
              </w:rPr>
              <w:t>br_policy_transaction</w:t>
            </w:r>
          </w:p>
        </w:tc>
        <w:tc>
          <w:tcPr>
            <w:tcW w:type="dxa" w:w="2592"/>
          </w:tcPr>
          <w:p>
            <w:r>
              <w:rPr>
                <w:sz w:val="20"/>
              </w:rPr>
              <w:t>1 row per XML file</w:t>
            </w:r>
          </w:p>
        </w:tc>
        <w:tc>
          <w:tcPr>
            <w:tcW w:type="dxa" w:w="3024"/>
          </w:tcPr>
          <w:p>
            <w:r>
              <w:rPr>
                <w:sz w:val="20"/>
              </w:rPr>
              <w:t>transaction_id, transaction_type, source_system</w:t>
            </w:r>
          </w:p>
        </w:tc>
      </w:tr>
      <w:tr>
        <w:tc>
          <w:tcPr>
            <w:tcW w:type="dxa" w:w="4032"/>
          </w:tcPr>
          <w:p>
            <w:r>
              <w:rPr>
                <w:sz w:val="20"/>
              </w:rPr>
              <w:t>br_policy_transaction_object_document</w:t>
            </w:r>
          </w:p>
        </w:tc>
        <w:tc>
          <w:tcPr>
            <w:tcW w:type="dxa" w:w="2592"/>
          </w:tcPr>
          <w:p>
            <w:r>
              <w:rPr>
                <w:sz w:val="20"/>
              </w:rPr>
              <w:t>1 row per policy document</w:t>
            </w:r>
          </w:p>
        </w:tc>
        <w:tc>
          <w:tcPr>
            <w:tcW w:type="dxa" w:w="3024"/>
          </w:tcPr>
          <w:p>
            <w:r>
              <w:rPr>
                <w:sz w:val="20"/>
              </w:rPr>
              <w:t>transaction_id, document_id, document_type</w:t>
            </w:r>
          </w:p>
        </w:tc>
      </w:tr>
      <w:tr>
        <w:tc>
          <w:tcPr>
            <w:tcW w:type="dxa" w:w="4032"/>
          </w:tcPr>
          <w:p>
            <w:r>
              <w:rPr>
                <w:sz w:val="20"/>
              </w:rPr>
              <w:t>br_policy_transaction_object_document_covered</w:t>
            </w:r>
          </w:p>
        </w:tc>
        <w:tc>
          <w:tcPr>
            <w:tcW w:type="dxa" w:w="2592"/>
          </w:tcPr>
          <w:p>
            <w:r>
              <w:rPr>
                <w:sz w:val="20"/>
              </w:rPr>
              <w:t>1 row per covered party</w:t>
            </w:r>
          </w:p>
        </w:tc>
        <w:tc>
          <w:tcPr>
            <w:tcW w:type="dxa" w:w="3024"/>
          </w:tcPr>
          <w:p>
            <w:r>
              <w:rPr>
                <w:sz w:val="20"/>
              </w:rPr>
              <w:t>transaction_id, document_id, covered_sequence, covered_type</w:t>
            </w:r>
          </w:p>
        </w:tc>
      </w:tr>
      <w:tr>
        <w:tc>
          <w:tcPr>
            <w:tcW w:type="dxa" w:w="4032"/>
          </w:tcPr>
          <w:p>
            <w:r>
              <w:rPr>
                <w:sz w:val="20"/>
              </w:rPr>
              <w:t>br_policy_transaction_policy</w:t>
            </w:r>
          </w:p>
        </w:tc>
        <w:tc>
          <w:tcPr>
            <w:tcW w:type="dxa" w:w="2592"/>
          </w:tcPr>
          <w:p>
            <w:r>
              <w:rPr>
                <w:sz w:val="20"/>
              </w:rPr>
              <w:t>1 row per policy header</w:t>
            </w:r>
          </w:p>
        </w:tc>
        <w:tc>
          <w:tcPr>
            <w:tcW w:type="dxa" w:w="3024"/>
          </w:tcPr>
          <w:p>
            <w:r>
              <w:rPr>
                <w:sz w:val="20"/>
              </w:rPr>
              <w:t>transaction_id, policy_number, insured_name, premium_amount</w:t>
            </w:r>
          </w:p>
        </w:tc>
      </w:tr>
      <w:tr>
        <w:tc>
          <w:tcPr>
            <w:tcW w:type="dxa" w:w="4032"/>
          </w:tcPr>
          <w:p>
            <w:r>
              <w:rPr>
                <w:sz w:val="20"/>
              </w:rPr>
              <w:t>br_policy_auto</w:t>
            </w:r>
          </w:p>
        </w:tc>
        <w:tc>
          <w:tcPr>
            <w:tcW w:type="dxa" w:w="2592"/>
          </w:tcPr>
          <w:p>
            <w:r>
              <w:rPr>
                <w:sz w:val="20"/>
              </w:rPr>
              <w:t>1 row per auto policy</w:t>
            </w:r>
          </w:p>
        </w:tc>
        <w:tc>
          <w:tcPr>
            <w:tcW w:type="dxa" w:w="3024"/>
          </w:tcPr>
          <w:p>
            <w:r>
              <w:rPr>
                <w:sz w:val="20"/>
              </w:rPr>
              <w:t>transaction_id, policy_number, fleet_indicator, primary_use</w:t>
            </w:r>
          </w:p>
        </w:tc>
      </w:tr>
      <w:tr>
        <w:tc>
          <w:tcPr>
            <w:tcW w:type="dxa" w:w="4032"/>
          </w:tcPr>
          <w:p>
            <w:r>
              <w:rPr>
                <w:sz w:val="20"/>
              </w:rPr>
              <w:t>br_policy_auto_vehicle</w:t>
            </w:r>
          </w:p>
        </w:tc>
        <w:tc>
          <w:tcPr>
            <w:tcW w:type="dxa" w:w="2592"/>
          </w:tcPr>
          <w:p>
            <w:r>
              <w:rPr>
                <w:sz w:val="20"/>
              </w:rPr>
              <w:t>1 row per vehicle</w:t>
            </w:r>
          </w:p>
        </w:tc>
        <w:tc>
          <w:tcPr>
            <w:tcW w:type="dxa" w:w="3024"/>
          </w:tcPr>
          <w:p>
            <w:r>
              <w:rPr>
                <w:sz w:val="20"/>
              </w:rPr>
              <w:t>transaction_id, vehicle_id, vin, make, model, stated_value</w:t>
            </w:r>
          </w:p>
        </w:tc>
      </w:tr>
      <w:tr>
        <w:tc>
          <w:tcPr>
            <w:tcW w:type="dxa" w:w="4032"/>
          </w:tcPr>
          <w:p>
            <w:r>
              <w:rPr>
                <w:sz w:val="20"/>
              </w:rPr>
              <w:t>br_policy_vehicle_registrants</w:t>
            </w:r>
          </w:p>
        </w:tc>
        <w:tc>
          <w:tcPr>
            <w:tcW w:type="dxa" w:w="2592"/>
          </w:tcPr>
          <w:p>
            <w:r>
              <w:rPr>
                <w:sz w:val="20"/>
              </w:rPr>
              <w:t>1 row per registrant/vehicle</w:t>
            </w:r>
          </w:p>
        </w:tc>
        <w:tc>
          <w:tcPr>
            <w:tcW w:type="dxa" w:w="3024"/>
          </w:tcPr>
          <w:p>
            <w:r>
              <w:rPr>
                <w:sz w:val="20"/>
              </w:rPr>
              <w:t>transaction_id, vehicle_id, registrant_sequence, registrant_type</w:t>
            </w:r>
          </w:p>
        </w:tc>
      </w:tr>
      <w:tr>
        <w:tc>
          <w:tcPr>
            <w:tcW w:type="dxa" w:w="4032"/>
          </w:tcPr>
          <w:p>
            <w:r>
              <w:rPr>
                <w:sz w:val="20"/>
              </w:rPr>
              <w:t>br_object_coverage_information</w:t>
            </w:r>
          </w:p>
        </w:tc>
        <w:tc>
          <w:tcPr>
            <w:tcW w:type="dxa" w:w="2592"/>
          </w:tcPr>
          <w:p>
            <w:r>
              <w:rPr>
                <w:sz w:val="20"/>
              </w:rPr>
              <w:t>1 row per coverage/vehicle</w:t>
            </w:r>
          </w:p>
        </w:tc>
        <w:tc>
          <w:tcPr>
            <w:tcW w:type="dxa" w:w="3024"/>
          </w:tcPr>
          <w:p>
            <w:r>
              <w:rPr>
                <w:sz w:val="20"/>
              </w:rPr>
              <w:t>transaction_id, vehicle_id, coverage_code, premium, deductible</w:t>
            </w:r>
          </w:p>
        </w:tc>
      </w:tr>
    </w:tbl>
    <w:p/>
    <w:p>
      <w:pPr>
        <w:pBdr>
          <w:bottom w:val="single" w:sz="6" w:space="1" w:color="1F4E79"/>
        </w:pBdr>
        <w:spacing w:after="160"/>
      </w:pPr>
    </w:p>
    <w:p>
      <w:pPr>
        <w:pStyle w:val="Heading1"/>
      </w:pPr>
      <w:r>
        <w:rPr>
          <w:color w:val="1F4E79"/>
        </w:rPr>
        <w:t>6. Sample Data</w:t>
      </w:r>
    </w:p>
    <w:p>
      <w:pPr>
        <w:spacing w:after="120"/>
      </w:pPr>
      <w:r>
        <w:rPr>
          <w:b w:val="0"/>
          <w:i w:val="0"/>
          <w:sz w:val="22"/>
        </w:rPr>
        <w:t>A sample XML file (ingestion/sample_xml/policy_001.xml) is included to exercise the full pipeline. It represents a realistic commercial auto insurance policy for Keystone Freight Solutions LLC.</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1F4E79"/>
          </w:tcPr>
          <w:p>
            <w:r>
              <w:rPr>
                <w:b/>
                <w:color w:val="FFFFFF"/>
                <w:sz w:val="20"/>
              </w:rPr>
              <w:t>Element</w:t>
            </w:r>
          </w:p>
        </w:tc>
        <w:tc>
          <w:tcPr>
            <w:tcW w:type="dxa" w:w="6768"/>
            <w:shd w:val="clear" w:color="auto" w:fill="1F4E79"/>
          </w:tcPr>
          <w:p>
            <w:r>
              <w:rPr>
                <w:b/>
                <w:color w:val="FFFFFF"/>
                <w:sz w:val="20"/>
              </w:rPr>
              <w:t>Value</w:t>
            </w:r>
          </w:p>
        </w:tc>
      </w:tr>
      <w:tr>
        <w:tc>
          <w:tcPr>
            <w:tcW w:type="dxa" w:w="2880"/>
          </w:tcPr>
          <w:p>
            <w:r>
              <w:rPr>
                <w:sz w:val="20"/>
              </w:rPr>
              <w:t>Transaction ID</w:t>
            </w:r>
          </w:p>
        </w:tc>
        <w:tc>
          <w:tcPr>
            <w:tcW w:type="dxa" w:w="6768"/>
          </w:tcPr>
          <w:p>
            <w:r>
              <w:rPr>
                <w:sz w:val="20"/>
              </w:rPr>
              <w:t>TXN-2024-000001</w:t>
            </w:r>
          </w:p>
        </w:tc>
      </w:tr>
      <w:tr>
        <w:tc>
          <w:tcPr>
            <w:tcW w:type="dxa" w:w="2880"/>
          </w:tcPr>
          <w:p>
            <w:r>
              <w:rPr>
                <w:sz w:val="20"/>
              </w:rPr>
              <w:t>Policy Number</w:t>
            </w:r>
          </w:p>
        </w:tc>
        <w:tc>
          <w:tcPr>
            <w:tcW w:type="dxa" w:w="6768"/>
          </w:tcPr>
          <w:p>
            <w:r>
              <w:rPr>
                <w:sz w:val="20"/>
              </w:rPr>
              <w:t>CAP-2024-987654</w:t>
            </w:r>
          </w:p>
        </w:tc>
      </w:tr>
      <w:tr>
        <w:tc>
          <w:tcPr>
            <w:tcW w:type="dxa" w:w="2880"/>
          </w:tcPr>
          <w:p>
            <w:r>
              <w:rPr>
                <w:sz w:val="20"/>
              </w:rPr>
              <w:t>Insured</w:t>
            </w:r>
          </w:p>
        </w:tc>
        <w:tc>
          <w:tcPr>
            <w:tcW w:type="dxa" w:w="6768"/>
          </w:tcPr>
          <w:p>
            <w:r>
              <w:rPr>
                <w:sz w:val="20"/>
              </w:rPr>
              <w:t>Keystone Freight Solutions LLC</w:t>
            </w:r>
          </w:p>
        </w:tc>
      </w:tr>
      <w:tr>
        <w:tc>
          <w:tcPr>
            <w:tcW w:type="dxa" w:w="2880"/>
          </w:tcPr>
          <w:p>
            <w:r>
              <w:rPr>
                <w:sz w:val="20"/>
              </w:rPr>
              <w:t>Policy State</w:t>
            </w:r>
          </w:p>
        </w:tc>
        <w:tc>
          <w:tcPr>
            <w:tcW w:type="dxa" w:w="6768"/>
          </w:tcPr>
          <w:p>
            <w:r>
              <w:rPr>
                <w:sz w:val="20"/>
              </w:rPr>
              <w:t>PA</w:t>
            </w:r>
          </w:p>
        </w:tc>
      </w:tr>
      <w:tr>
        <w:tc>
          <w:tcPr>
            <w:tcW w:type="dxa" w:w="2880"/>
          </w:tcPr>
          <w:p>
            <w:r>
              <w:rPr>
                <w:sz w:val="20"/>
              </w:rPr>
              <w:t>Effective Date</w:t>
            </w:r>
          </w:p>
        </w:tc>
        <w:tc>
          <w:tcPr>
            <w:tcW w:type="dxa" w:w="6768"/>
          </w:tcPr>
          <w:p>
            <w:r>
              <w:rPr>
                <w:sz w:val="20"/>
              </w:rPr>
              <w:t>2024-01-15</w:t>
            </w:r>
          </w:p>
        </w:tc>
      </w:tr>
      <w:tr>
        <w:tc>
          <w:tcPr>
            <w:tcW w:type="dxa" w:w="2880"/>
          </w:tcPr>
          <w:p>
            <w:r>
              <w:rPr>
                <w:sz w:val="20"/>
              </w:rPr>
              <w:t>Total Premium</w:t>
            </w:r>
          </w:p>
        </w:tc>
        <w:tc>
          <w:tcPr>
            <w:tcW w:type="dxa" w:w="6768"/>
          </w:tcPr>
          <w:p>
            <w:r>
              <w:rPr>
                <w:sz w:val="20"/>
              </w:rPr>
              <w:t>$18,450.00</w:t>
            </w:r>
          </w:p>
        </w:tc>
      </w:tr>
      <w:tr>
        <w:tc>
          <w:tcPr>
            <w:tcW w:type="dxa" w:w="2880"/>
          </w:tcPr>
          <w:p>
            <w:r>
              <w:rPr>
                <w:sz w:val="20"/>
              </w:rPr>
              <w:t>Vehicles</w:t>
            </w:r>
          </w:p>
        </w:tc>
        <w:tc>
          <w:tcPr>
            <w:tcW w:type="dxa" w:w="6768"/>
          </w:tcPr>
          <w:p>
            <w:r>
              <w:rPr>
                <w:sz w:val="20"/>
              </w:rPr>
              <w:t>3 (2 tractors: International LT625, Freightliner Cascadia; 1 trailer: Utility 3000R)</w:t>
            </w:r>
          </w:p>
        </w:tc>
      </w:tr>
      <w:tr>
        <w:tc>
          <w:tcPr>
            <w:tcW w:type="dxa" w:w="2880"/>
          </w:tcPr>
          <w:p>
            <w:r>
              <w:rPr>
                <w:sz w:val="20"/>
              </w:rPr>
              <w:t>Registrants</w:t>
            </w:r>
          </w:p>
        </w:tc>
        <w:tc>
          <w:tcPr>
            <w:tcW w:type="dxa" w:w="6768"/>
          </w:tcPr>
          <w:p>
            <w:r>
              <w:rPr>
                <w:sz w:val="20"/>
              </w:rPr>
              <w:t>4 (owner on all vehicles, named driver on Vehicle 2)</w:t>
            </w:r>
          </w:p>
        </w:tc>
      </w:tr>
      <w:tr>
        <w:tc>
          <w:tcPr>
            <w:tcW w:type="dxa" w:w="2880"/>
          </w:tcPr>
          <w:p>
            <w:r>
              <w:rPr>
                <w:sz w:val="20"/>
              </w:rPr>
              <w:t>Coverages</w:t>
            </w:r>
          </w:p>
        </w:tc>
        <w:tc>
          <w:tcPr>
            <w:tcW w:type="dxa" w:w="6768"/>
          </w:tcPr>
          <w:p>
            <w:r>
              <w:rPr>
                <w:sz w:val="20"/>
              </w:rPr>
              <w:t>9 (BI, PD, COMP, COLL across vehicles)</w:t>
            </w:r>
          </w:p>
        </w:tc>
      </w:tr>
    </w:tbl>
    <w:p/>
    <w:p>
      <w:pPr>
        <w:pBdr>
          <w:bottom w:val="single" w:sz="6" w:space="1" w:color="1F4E79"/>
        </w:pBdr>
        <w:spacing w:after="160"/>
      </w:pPr>
    </w:p>
    <w:p>
      <w:pPr>
        <w:pStyle w:val="Heading1"/>
      </w:pPr>
      <w:r>
        <w:rPr>
          <w:color w:val="1F4E79"/>
        </w:rPr>
        <w:t>7. Build Plan and Current Status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296"/>
            <w:shd w:val="clear" w:color="auto" w:fill="1F4E79"/>
          </w:tcPr>
          <w:p>
            <w:r>
              <w:rPr>
                <w:b/>
                <w:color w:val="FFFFFF"/>
                <w:sz w:val="20"/>
              </w:rPr>
              <w:t>Phase</w:t>
            </w:r>
          </w:p>
        </w:tc>
        <w:tc>
          <w:tcPr>
            <w:tcW w:type="dxa" w:w="2592"/>
            <w:shd w:val="clear" w:color="auto" w:fill="1F4E79"/>
          </w:tcPr>
          <w:p>
            <w:r>
              <w:rPr>
                <w:b/>
                <w:color w:val="FFFFFF"/>
                <w:sz w:val="20"/>
              </w:rPr>
              <w:t>Description</w:t>
            </w:r>
          </w:p>
        </w:tc>
        <w:tc>
          <w:tcPr>
            <w:tcW w:type="dxa" w:w="4032"/>
            <w:shd w:val="clear" w:color="auto" w:fill="1F4E79"/>
          </w:tcPr>
          <w:p>
            <w:r>
              <w:rPr>
                <w:b/>
                <w:color w:val="FFFFFF"/>
                <w:sz w:val="20"/>
              </w:rPr>
              <w:t>Deliverable</w:t>
            </w:r>
          </w:p>
        </w:tc>
        <w:tc>
          <w:tcPr>
            <w:tcW w:type="dxa" w:w="1728"/>
            <w:shd w:val="clear" w:color="auto" w:fill="1F4E79"/>
          </w:tcPr>
          <w:p>
            <w:r>
              <w:rPr>
                <w:b/>
                <w:color w:val="FFFFFF"/>
                <w:sz w:val="20"/>
              </w:rPr>
              <w:t>Status</w:t>
            </w:r>
          </w:p>
        </w:tc>
      </w:tr>
      <w:tr>
        <w:tc>
          <w:tcPr>
            <w:tcW w:type="dxa" w:w="1296"/>
          </w:tcPr>
          <w:p>
            <w:r>
              <w:rPr>
                <w:sz w:val="20"/>
              </w:rPr>
              <w:t>Phase 0</w:t>
            </w:r>
          </w:p>
        </w:tc>
        <w:tc>
          <w:tcPr>
            <w:tcW w:type="dxa" w:w="2592"/>
          </w:tcPr>
          <w:p>
            <w:r>
              <w:rPr>
                <w:sz w:val="20"/>
              </w:rPr>
              <w:t>Preparation</w:t>
            </w:r>
          </w:p>
        </w:tc>
        <w:tc>
          <w:tcPr>
            <w:tcW w:type="dxa" w:w="4032"/>
          </w:tcPr>
          <w:p>
            <w:r>
              <w:rPr>
                <w:sz w:val="20"/>
              </w:rPr>
              <w:t>Local env, GitHub repo, naming convention</w:t>
            </w:r>
          </w:p>
        </w:tc>
        <w:tc>
          <w:tcPr>
            <w:tcW w:type="dxa" w:w="1728"/>
          </w:tcPr>
          <w:p>
            <w:r>
              <w:rPr>
                <w:sz w:val="20"/>
              </w:rPr>
              <w:t>Complete</w:t>
            </w:r>
          </w:p>
        </w:tc>
      </w:tr>
      <w:tr>
        <w:tc>
          <w:tcPr>
            <w:tcW w:type="dxa" w:w="1296"/>
          </w:tcPr>
          <w:p>
            <w:r>
              <w:rPr>
                <w:sz w:val="20"/>
              </w:rPr>
              <w:t>Phase 1</w:t>
            </w:r>
          </w:p>
        </w:tc>
        <w:tc>
          <w:tcPr>
            <w:tcW w:type="dxa" w:w="2592"/>
          </w:tcPr>
          <w:p>
            <w:r>
              <w:rPr>
                <w:sz w:val="20"/>
              </w:rPr>
              <w:t>Terraform baseline</w:t>
            </w:r>
          </w:p>
        </w:tc>
        <w:tc>
          <w:tcPr>
            <w:tcW w:type="dxa" w:w="4032"/>
          </w:tcPr>
          <w:p>
            <w:r>
              <w:rPr>
                <w:sz w:val="20"/>
              </w:rPr>
              <w:t>5 S3 buckets, 2 IAM roles, Glue DB, Athena workgroup</w:t>
            </w:r>
          </w:p>
        </w:tc>
        <w:tc>
          <w:tcPr>
            <w:tcW w:type="dxa" w:w="1728"/>
          </w:tcPr>
          <w:p>
            <w:r>
              <w:rPr>
                <w:sz w:val="20"/>
              </w:rPr>
              <w:t>Complete</w:t>
            </w:r>
          </w:p>
        </w:tc>
      </w:tr>
      <w:tr>
        <w:tc>
          <w:tcPr>
            <w:tcW w:type="dxa" w:w="1296"/>
          </w:tcPr>
          <w:p>
            <w:r>
              <w:rPr>
                <w:sz w:val="20"/>
              </w:rPr>
              <w:t>Phase 2</w:t>
            </w:r>
          </w:p>
        </w:tc>
        <w:tc>
          <w:tcPr>
            <w:tcW w:type="dxa" w:w="2592"/>
          </w:tcPr>
          <w:p>
            <w:r>
              <w:rPr>
                <w:sz w:val="20"/>
              </w:rPr>
              <w:t>DataSync</w:t>
            </w:r>
          </w:p>
        </w:tc>
        <w:tc>
          <w:tcPr>
            <w:tcW w:type="dxa" w:w="4032"/>
          </w:tcPr>
          <w:p>
            <w:r>
              <w:rPr>
                <w:sz w:val="20"/>
              </w:rPr>
              <w:t>Files copied source to landing</w:t>
            </w:r>
          </w:p>
        </w:tc>
        <w:tc>
          <w:tcPr>
            <w:tcW w:type="dxa" w:w="1728"/>
          </w:tcPr>
          <w:p>
            <w:r>
              <w:rPr>
                <w:sz w:val="20"/>
              </w:rPr>
              <w:t>Complete</w:t>
            </w:r>
          </w:p>
        </w:tc>
      </w:tr>
      <w:tr>
        <w:tc>
          <w:tcPr>
            <w:tcW w:type="dxa" w:w="1296"/>
          </w:tcPr>
          <w:p>
            <w:r>
              <w:rPr>
                <w:sz w:val="20"/>
              </w:rPr>
              <w:t>Phase 3</w:t>
            </w:r>
          </w:p>
        </w:tc>
        <w:tc>
          <w:tcPr>
            <w:tcW w:type="dxa" w:w="2592"/>
          </w:tcPr>
          <w:p>
            <w:r>
              <w:rPr>
                <w:sz w:val="20"/>
              </w:rPr>
              <w:t>XML shredding to Bronze</w:t>
            </w:r>
          </w:p>
        </w:tc>
        <w:tc>
          <w:tcPr>
            <w:tcW w:type="dxa" w:w="4032"/>
          </w:tcPr>
          <w:p>
            <w:r>
              <w:rPr>
                <w:sz w:val="20"/>
              </w:rPr>
              <w:t>Glue job + 8 Bronze Iceberg tables</w:t>
            </w:r>
          </w:p>
        </w:tc>
        <w:tc>
          <w:tcPr>
            <w:tcW w:type="dxa" w:w="1728"/>
          </w:tcPr>
          <w:p>
            <w:r>
              <w:rPr>
                <w:sz w:val="20"/>
              </w:rPr>
              <w:t>Complete</w:t>
            </w:r>
          </w:p>
        </w:tc>
      </w:tr>
      <w:tr>
        <w:tc>
          <w:tcPr>
            <w:tcW w:type="dxa" w:w="1296"/>
          </w:tcPr>
          <w:p>
            <w:r>
              <w:rPr>
                <w:sz w:val="20"/>
              </w:rPr>
              <w:t>Phase 4</w:t>
            </w:r>
          </w:p>
        </w:tc>
        <w:tc>
          <w:tcPr>
            <w:tcW w:type="dxa" w:w="2592"/>
          </w:tcPr>
          <w:p>
            <w:r>
              <w:rPr>
                <w:sz w:val="20"/>
              </w:rPr>
              <w:t>Athena validation</w:t>
            </w:r>
          </w:p>
        </w:tc>
        <w:tc>
          <w:tcPr>
            <w:tcW w:type="dxa" w:w="4032"/>
          </w:tcPr>
          <w:p>
            <w:r>
              <w:rPr>
                <w:sz w:val="20"/>
              </w:rPr>
              <w:t>All 8 Bronze tables validated in Athena — row counts match</w:t>
            </w:r>
          </w:p>
        </w:tc>
        <w:tc>
          <w:tcPr>
            <w:tcW w:type="dxa" w:w="1728"/>
          </w:tcPr>
          <w:p>
            <w:r>
              <w:rPr>
                <w:sz w:val="20"/>
              </w:rPr>
              <w:t>Complete</w:t>
            </w:r>
          </w:p>
        </w:tc>
      </w:tr>
      <w:tr>
        <w:tc>
          <w:tcPr>
            <w:tcW w:type="dxa" w:w="1296"/>
          </w:tcPr>
          <w:p>
            <w:r>
              <w:rPr>
                <w:sz w:val="20"/>
              </w:rPr>
              <w:t>Phase 5</w:t>
            </w:r>
          </w:p>
        </w:tc>
        <w:tc>
          <w:tcPr>
            <w:tcW w:type="dxa" w:w="2592"/>
          </w:tcPr>
          <w:p>
            <w:r>
              <w:rPr>
                <w:sz w:val="20"/>
              </w:rPr>
              <w:t>dbt Silver layer</w:t>
            </w:r>
          </w:p>
        </w:tc>
        <w:tc>
          <w:tcPr>
            <w:tcW w:type="dxa" w:w="4032"/>
          </w:tcPr>
          <w:p>
            <w:r>
              <w:rPr>
                <w:sz w:val="20"/>
              </w:rPr>
              <w:t>5 staging views + 4 Silver Iceberg tables + 25 dbt tests</w:t>
            </w:r>
          </w:p>
        </w:tc>
        <w:tc>
          <w:tcPr>
            <w:tcW w:type="dxa" w:w="1728"/>
          </w:tcPr>
          <w:p>
            <w:r>
              <w:rPr>
                <w:sz w:val="20"/>
              </w:rPr>
              <w:t>Complete</w:t>
            </w:r>
          </w:p>
        </w:tc>
      </w:tr>
      <w:tr>
        <w:tc>
          <w:tcPr>
            <w:tcW w:type="dxa" w:w="1296"/>
          </w:tcPr>
          <w:p>
            <w:r>
              <w:rPr>
                <w:sz w:val="20"/>
              </w:rPr>
              <w:t>Phase 6</w:t>
            </w:r>
          </w:p>
        </w:tc>
        <w:tc>
          <w:tcPr>
            <w:tcW w:type="dxa" w:w="2592"/>
          </w:tcPr>
          <w:p>
            <w:r>
              <w:rPr>
                <w:sz w:val="20"/>
              </w:rPr>
              <w:t>Gold + documentation</w:t>
            </w:r>
          </w:p>
        </w:tc>
        <w:tc>
          <w:tcPr>
            <w:tcW w:type="dxa" w:w="4032"/>
          </w:tcPr>
          <w:p>
            <w:r>
              <w:rPr>
                <w:sz w:val="20"/>
              </w:rPr>
              <w:t>gl_policy_premium_summary, gl_fleet_risk_profile, dbt docs</w:t>
            </w:r>
          </w:p>
        </w:tc>
        <w:tc>
          <w:tcPr>
            <w:tcW w:type="dxa" w:w="1728"/>
          </w:tcPr>
          <w:p>
            <w:r>
              <w:rPr>
                <w:sz w:val="20"/>
              </w:rPr>
              <w:t>Complete</w:t>
            </w:r>
          </w:p>
        </w:tc>
      </w:tr>
      <w:tr>
        <w:tc>
          <w:tcPr>
            <w:tcW w:type="dxa" w:w="1296"/>
          </w:tcPr>
          <w:p>
            <w:r>
              <w:rPr>
                <w:sz w:val="20"/>
              </w:rPr>
              <w:t>Phase 7</w:t>
            </w:r>
          </w:p>
        </w:tc>
        <w:tc>
          <w:tcPr>
            <w:tcW w:type="dxa" w:w="2592"/>
          </w:tcPr>
          <w:p>
            <w:r>
              <w:rPr>
                <w:sz w:val="20"/>
              </w:rPr>
              <w:t>CI/CD polish</w:t>
            </w:r>
          </w:p>
        </w:tc>
        <w:tc>
          <w:tcPr>
            <w:tcW w:type="dxa" w:w="4032"/>
          </w:tcPr>
          <w:p>
            <w:r>
              <w:rPr>
                <w:sz w:val="20"/>
              </w:rPr>
              <w:t>GitHub Actions: tf fmt, ruff lint, dbt parse/test</w:t>
            </w:r>
          </w:p>
        </w:tc>
        <w:tc>
          <w:tcPr>
            <w:tcW w:type="dxa" w:w="1728"/>
          </w:tcPr>
          <w:p>
            <w:r>
              <w:rPr>
                <w:sz w:val="20"/>
              </w:rPr>
              <w:t>Pending</w:t>
            </w:r>
          </w:p>
        </w:tc>
      </w:tr>
    </w:tbl>
    <w:p/>
    <w:p>
      <w:pPr>
        <w:pBdr>
          <w:bottom w:val="single" w:sz="6" w:space="1" w:color="1F4E79"/>
        </w:pBdr>
        <w:spacing w:after="160"/>
      </w:pPr>
    </w:p>
    <w:p>
      <w:pPr>
        <w:pStyle w:val="Heading1"/>
      </w:pPr>
      <w:r>
        <w:rPr>
          <w:color w:val="1F4E79"/>
        </w:rPr>
        <w:t>8. Repository Structure</w:t>
      </w:r>
    </w:p>
    <w:p>
      <w:pPr>
        <w:spacing w:after="80"/>
        <w:ind w:left="432"/>
        <w:shd w:val="clear" w:color="auto" w:fill="F2F2F2"/>
      </w:pPr>
      <w:r>
        <w:rPr>
          <w:rFonts w:ascii="Courier New" w:hAnsi="Courier New"/>
          <w:color w:val="1A1A2E"/>
          <w:sz w:val="18"/>
        </w:rPr>
        <w:t>insurance-xml-platform/</w:t>
      </w:r>
    </w:p>
    <w:p>
      <w:pPr>
        <w:spacing w:after="80"/>
        <w:ind w:left="432"/>
        <w:shd w:val="clear" w:color="auto" w:fill="F2F2F2"/>
      </w:pPr>
      <w:r>
        <w:rPr>
          <w:rFonts w:ascii="Courier New" w:hAnsi="Courier New"/>
          <w:color w:val="1A1A2E"/>
          <w:sz w:val="18"/>
        </w:rPr>
        <w:t xml:space="preserve">  infra/terraform/              # Terraform root + 5 modules</w:t>
      </w:r>
    </w:p>
    <w:p>
      <w:pPr>
        <w:spacing w:after="80"/>
        <w:ind w:left="432"/>
        <w:shd w:val="clear" w:color="auto" w:fill="F2F2F2"/>
      </w:pPr>
      <w:r>
        <w:rPr>
          <w:rFonts w:ascii="Courier New" w:hAnsi="Courier New"/>
          <w:color w:val="1A1A2E"/>
          <w:sz w:val="18"/>
        </w:rPr>
        <w:t xml:space="preserve">    modules/s3/                 # 5 S3 buckets</w:t>
      </w:r>
    </w:p>
    <w:p>
      <w:pPr>
        <w:spacing w:after="80"/>
        <w:ind w:left="432"/>
        <w:shd w:val="clear" w:color="auto" w:fill="F2F2F2"/>
      </w:pPr>
      <w:r>
        <w:rPr>
          <w:rFonts w:ascii="Courier New" w:hAnsi="Courier New"/>
          <w:color w:val="1A1A2E"/>
          <w:sz w:val="18"/>
        </w:rPr>
        <w:t xml:space="preserve">    modules/iam/                # Glue + DataSync roles</w:t>
      </w:r>
    </w:p>
    <w:p>
      <w:pPr>
        <w:spacing w:after="80"/>
        <w:ind w:left="432"/>
        <w:shd w:val="clear" w:color="auto" w:fill="F2F2F2"/>
      </w:pPr>
      <w:r>
        <w:rPr>
          <w:rFonts w:ascii="Courier New" w:hAnsi="Courier New"/>
          <w:color w:val="1A1A2E"/>
          <w:sz w:val="18"/>
        </w:rPr>
        <w:t xml:space="preserve">    modules/glue/               # Catalog DB + Glue job</w:t>
      </w:r>
    </w:p>
    <w:p>
      <w:pPr>
        <w:spacing w:after="80"/>
        <w:ind w:left="432"/>
        <w:shd w:val="clear" w:color="auto" w:fill="F2F2F2"/>
      </w:pPr>
      <w:r>
        <w:rPr>
          <w:rFonts w:ascii="Courier New" w:hAnsi="Courier New"/>
          <w:color w:val="1A1A2E"/>
          <w:sz w:val="18"/>
        </w:rPr>
        <w:t xml:space="preserve">    modules/athena/             # Athena workgroup</w:t>
      </w:r>
    </w:p>
    <w:p>
      <w:pPr>
        <w:spacing w:after="80"/>
        <w:ind w:left="432"/>
        <w:shd w:val="clear" w:color="auto" w:fill="F2F2F2"/>
      </w:pPr>
      <w:r>
        <w:rPr>
          <w:rFonts w:ascii="Courier New" w:hAnsi="Courier New"/>
          <w:color w:val="1A1A2E"/>
          <w:sz w:val="18"/>
        </w:rPr>
        <w:t xml:space="preserve">    modules/datasync/           # DataSync task</w:t>
      </w:r>
    </w:p>
    <w:p>
      <w:pPr>
        <w:spacing w:after="80"/>
        <w:ind w:left="432"/>
        <w:shd w:val="clear" w:color="auto" w:fill="F2F2F2"/>
      </w:pPr>
      <w:r>
        <w:rPr>
          <w:rFonts w:ascii="Courier New" w:hAnsi="Courier New"/>
          <w:color w:val="1A1A2E"/>
          <w:sz w:val="18"/>
        </w:rPr>
        <w:t xml:space="preserve">  ingestion/</w:t>
      </w:r>
    </w:p>
    <w:p>
      <w:pPr>
        <w:spacing w:after="80"/>
        <w:ind w:left="432"/>
        <w:shd w:val="clear" w:color="auto" w:fill="F2F2F2"/>
      </w:pPr>
      <w:r>
        <w:rPr>
          <w:rFonts w:ascii="Courier New" w:hAnsi="Courier New"/>
          <w:color w:val="1A1A2E"/>
          <w:sz w:val="18"/>
        </w:rPr>
        <w:t xml:space="preserve">    glue_jobs/                  # PySpark shredding job</w:t>
      </w:r>
    </w:p>
    <w:p>
      <w:pPr>
        <w:spacing w:after="80"/>
        <w:ind w:left="432"/>
        <w:shd w:val="clear" w:color="auto" w:fill="F2F2F2"/>
      </w:pPr>
      <w:r>
        <w:rPr>
          <w:rFonts w:ascii="Courier New" w:hAnsi="Courier New"/>
          <w:color w:val="1A1A2E"/>
          <w:sz w:val="18"/>
        </w:rPr>
        <w:t xml:space="preserve">    sample_xml/                 # Test XML files</w:t>
      </w:r>
    </w:p>
    <w:p>
      <w:pPr>
        <w:spacing w:after="80"/>
        <w:ind w:left="432"/>
        <w:shd w:val="clear" w:color="auto" w:fill="F2F2F2"/>
      </w:pPr>
      <w:r>
        <w:rPr>
          <w:rFonts w:ascii="Courier New" w:hAnsi="Courier New"/>
          <w:color w:val="1A1A2E"/>
          <w:sz w:val="18"/>
        </w:rPr>
        <w:t xml:space="preserve">  dbt/insurance_silver/         # dbt project: 5 staging views + 4 Silver Iceberg tables</w:t>
      </w:r>
    </w:p>
    <w:p>
      <w:pPr>
        <w:spacing w:after="80"/>
        <w:ind w:left="432"/>
        <w:shd w:val="clear" w:color="auto" w:fill="F2F2F2"/>
      </w:pPr>
      <w:r>
        <w:rPr>
          <w:rFonts w:ascii="Courier New" w:hAnsi="Courier New"/>
          <w:color w:val="1A1A2E"/>
          <w:sz w:val="18"/>
        </w:rPr>
        <w:t xml:space="preserve">  docs/                         # Runbook, report, architecture</w:t>
      </w:r>
    </w:p>
    <w:p>
      <w:pPr>
        <w:pBdr>
          <w:bottom w:val="single" w:sz="6" w:space="1" w:color="1F4E79"/>
        </w:pBdr>
        <w:spacing w:after="160"/>
      </w:pPr>
    </w:p>
    <w:p>
      <w:pPr>
        <w:pStyle w:val="Heading1"/>
      </w:pPr>
      <w:r>
        <w:rPr>
          <w:color w:val="1F4E79"/>
        </w:rPr>
        <w:t>9. Cost Planning</w:t>
      </w:r>
    </w:p>
    <w:tbl>
      <w:tblPr>
        <w:tblStyle w:val="TableGrid"/>
        <w:tblW w:type="auto" w:w="0"/>
        <w:jc w:val="left"/>
        <w:tblLook w:firstColumn="1" w:firstRow="1" w:lastColumn="0" w:lastRow="0" w:noHBand="0" w:noVBand="1" w:val="04A0"/>
      </w:tblPr>
      <w:tblGrid>
        <w:gridCol w:w="3024"/>
        <w:gridCol w:w="3024"/>
        <w:gridCol w:w="3024"/>
      </w:tblGrid>
      <w:tr>
        <w:tc>
          <w:tcPr>
            <w:tcW w:type="dxa" w:w="2016"/>
            <w:shd w:val="clear" w:color="auto" w:fill="1F4E79"/>
          </w:tcPr>
          <w:p>
            <w:r>
              <w:rPr>
                <w:b/>
                <w:color w:val="FFFFFF"/>
                <w:sz w:val="20"/>
              </w:rPr>
              <w:t>Service</w:t>
            </w:r>
          </w:p>
        </w:tc>
        <w:tc>
          <w:tcPr>
            <w:tcW w:type="dxa" w:w="2880"/>
            <w:shd w:val="clear" w:color="auto" w:fill="1F4E79"/>
          </w:tcPr>
          <w:p>
            <w:r>
              <w:rPr>
                <w:b/>
                <w:color w:val="FFFFFF"/>
                <w:sz w:val="20"/>
              </w:rPr>
              <w:t>Cost Driver</w:t>
            </w:r>
          </w:p>
        </w:tc>
        <w:tc>
          <w:tcPr>
            <w:tcW w:type="dxa" w:w="4752"/>
            <w:shd w:val="clear" w:color="auto" w:fill="1F4E79"/>
          </w:tcPr>
          <w:p>
            <w:r>
              <w:rPr>
                <w:b/>
                <w:color w:val="FFFFFF"/>
                <w:sz w:val="20"/>
              </w:rPr>
              <w:t>Learning Strategy</w:t>
            </w:r>
          </w:p>
        </w:tc>
      </w:tr>
      <w:tr>
        <w:tc>
          <w:tcPr>
            <w:tcW w:type="dxa" w:w="2016"/>
          </w:tcPr>
          <w:p>
            <w:r>
              <w:rPr>
                <w:sz w:val="20"/>
              </w:rPr>
              <w:t>S3</w:t>
            </w:r>
          </w:p>
        </w:tc>
        <w:tc>
          <w:tcPr>
            <w:tcW w:type="dxa" w:w="2880"/>
          </w:tcPr>
          <w:p>
            <w:r>
              <w:rPr>
                <w:sz w:val="20"/>
              </w:rPr>
              <w:t>Storage + requests</w:t>
            </w:r>
          </w:p>
        </w:tc>
        <w:tc>
          <w:tcPr>
            <w:tcW w:type="dxa" w:w="4752"/>
          </w:tcPr>
          <w:p>
            <w:r>
              <w:rPr>
                <w:sz w:val="20"/>
              </w:rPr>
              <w:t>Keep XML and Parquet tiny; delete unused results</w:t>
            </w:r>
          </w:p>
        </w:tc>
      </w:tr>
      <w:tr>
        <w:tc>
          <w:tcPr>
            <w:tcW w:type="dxa" w:w="2016"/>
          </w:tcPr>
          <w:p>
            <w:r>
              <w:rPr>
                <w:sz w:val="20"/>
              </w:rPr>
              <w:t>DataSync</w:t>
            </w:r>
          </w:p>
        </w:tc>
        <w:tc>
          <w:tcPr>
            <w:tcW w:type="dxa" w:w="2880"/>
          </w:tcPr>
          <w:p>
            <w:r>
              <w:rPr>
                <w:sz w:val="20"/>
              </w:rPr>
              <w:t>Per GB transferred</w:t>
            </w:r>
          </w:p>
        </w:tc>
        <w:tc>
          <w:tcPr>
            <w:tcW w:type="dxa" w:w="4752"/>
          </w:tcPr>
          <w:p>
            <w:r>
              <w:rPr>
                <w:sz w:val="20"/>
              </w:rPr>
              <w:t>Small XML payloads, run only on demand</w:t>
            </w:r>
          </w:p>
        </w:tc>
      </w:tr>
      <w:tr>
        <w:tc>
          <w:tcPr>
            <w:tcW w:type="dxa" w:w="2016"/>
          </w:tcPr>
          <w:p>
            <w:r>
              <w:rPr>
                <w:sz w:val="20"/>
              </w:rPr>
              <w:t>Glue ETL</w:t>
            </w:r>
          </w:p>
        </w:tc>
        <w:tc>
          <w:tcPr>
            <w:tcW w:type="dxa" w:w="2880"/>
          </w:tcPr>
          <w:p>
            <w:r>
              <w:rPr>
                <w:sz w:val="20"/>
              </w:rPr>
              <w:t>Per DPU-hour</w:t>
            </w:r>
          </w:p>
        </w:tc>
        <w:tc>
          <w:tcPr>
            <w:tcW w:type="dxa" w:w="4752"/>
          </w:tcPr>
          <w:p>
            <w:r>
              <w:rPr>
                <w:sz w:val="20"/>
              </w:rPr>
              <w:t>2 workers, small files, avoid re-runs</w:t>
            </w:r>
          </w:p>
        </w:tc>
      </w:tr>
      <w:tr>
        <w:tc>
          <w:tcPr>
            <w:tcW w:type="dxa" w:w="2016"/>
          </w:tcPr>
          <w:p>
            <w:r>
              <w:rPr>
                <w:sz w:val="20"/>
              </w:rPr>
              <w:t>Athena</w:t>
            </w:r>
          </w:p>
        </w:tc>
        <w:tc>
          <w:tcPr>
            <w:tcW w:type="dxa" w:w="2880"/>
          </w:tcPr>
          <w:p>
            <w:r>
              <w:rPr>
                <w:sz w:val="20"/>
              </w:rPr>
              <w:t>Per TB scanned</w:t>
            </w:r>
          </w:p>
        </w:tc>
        <w:tc>
          <w:tcPr>
            <w:tcW w:type="dxa" w:w="4752"/>
          </w:tcPr>
          <w:p>
            <w:r>
              <w:rPr>
                <w:sz w:val="20"/>
              </w:rPr>
              <w:t>Use Iceberg/Parquet, avoid SELECT *, prune columns</w:t>
            </w:r>
          </w:p>
        </w:tc>
      </w:tr>
      <w:tr>
        <w:tc>
          <w:tcPr>
            <w:tcW w:type="dxa" w:w="2016"/>
          </w:tcPr>
          <w:p>
            <w:r>
              <w:rPr>
                <w:sz w:val="20"/>
              </w:rPr>
              <w:t>Glue Catalog</w:t>
            </w:r>
          </w:p>
        </w:tc>
        <w:tc>
          <w:tcPr>
            <w:tcW w:type="dxa" w:w="2880"/>
          </w:tcPr>
          <w:p>
            <w:r>
              <w:rPr>
                <w:sz w:val="20"/>
              </w:rPr>
              <w:t>Metadata accesses</w:t>
            </w:r>
          </w:p>
        </w:tc>
        <w:tc>
          <w:tcPr>
            <w:tcW w:type="dxa" w:w="4752"/>
          </w:tcPr>
          <w:p>
            <w:r>
              <w:rPr>
                <w:sz w:val="20"/>
              </w:rPr>
              <w:t>Tiny project stays within free tier</w:t>
            </w:r>
          </w:p>
        </w:tc>
      </w:tr>
      <w:tr>
        <w:tc>
          <w:tcPr>
            <w:tcW w:type="dxa" w:w="2016"/>
          </w:tcPr>
          <w:p>
            <w:r>
              <w:rPr>
                <w:sz w:val="20"/>
              </w:rPr>
              <w:t>CloudWatch</w:t>
            </w:r>
          </w:p>
        </w:tc>
        <w:tc>
          <w:tcPr>
            <w:tcW w:type="dxa" w:w="2880"/>
          </w:tcPr>
          <w:p>
            <w:r>
              <w:rPr>
                <w:sz w:val="20"/>
              </w:rPr>
              <w:t>Log ingestion + retention</w:t>
            </w:r>
          </w:p>
        </w:tc>
        <w:tc>
          <w:tcPr>
            <w:tcW w:type="dxa" w:w="4752"/>
          </w:tcPr>
          <w:p>
            <w:r>
              <w:rPr>
                <w:sz w:val="20"/>
              </w:rPr>
              <w:t>Short retention period during learning</w:t>
            </w:r>
          </w:p>
        </w:tc>
      </w:tr>
    </w:tbl>
    <w:p/>
    <w:p>
      <w:pPr>
        <w:spacing w:after="120"/>
      </w:pPr>
      <w:r>
        <w:rPr>
          <w:b w:val="0"/>
          <w:i/>
          <w:sz w:val="22"/>
        </w:rPr>
        <w:t>Recommended monthly budget: $20-$40 (ultra-safe learning) or $50-$100 (comfortable experimentation).</w:t>
      </w:r>
    </w:p>
    <w:p>
      <w:pPr>
        <w:pBdr>
          <w:bottom w:val="single" w:sz="6" w:space="1" w:color="1F4E79"/>
        </w:pBdr>
        <w:spacing w:after="160"/>
      </w:pPr>
    </w:p>
    <w:p>
      <w:pPr>
        <w:pStyle w:val="Heading1"/>
      </w:pPr>
      <w:r>
        <w:rPr>
          <w:color w:val="1F4E79"/>
        </w:rPr>
        <w:t>10. Portfolio Story</w:t>
      </w:r>
    </w:p>
    <w:p>
      <w:pPr>
        <w:spacing w:after="120"/>
      </w:pPr>
      <w:r>
        <w:rPr>
          <w:b/>
          <w:i w:val="0"/>
          <w:sz w:val="22"/>
        </w:rPr>
        <w:t>When complete, this project supports the following interview narrative:</w:t>
      </w:r>
    </w:p>
    <w:p>
      <w:pPr>
        <w:spacing w:after="160"/>
        <w:ind w:left="576" w:right="576"/>
      </w:pPr>
      <w:r>
        <w:rPr>
          <w:i/>
          <w:color w:val="1F4E79"/>
          <w:sz w:val="22"/>
        </w:rPr>
        <w:t>"Built an end-to-end insurance data platform using Terraform, AWS DataSync, AWS Glue, Apache Iceberg, Athena, and dbt. Implemented XML-to-Bronze shredding into Iceberg tables on S3, then modeled Silver analytics entities with dbt on Athena, including automated data quality tests and warehouse-style business modeling."</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Insurance XML Platform — Project Report  |  March 28, 2026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