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color w:val="1F4E79"/>
          <w:sz w:val="52"/>
        </w:rPr>
        <w:t>Insurance XML Platform</w:t>
      </w:r>
    </w:p>
    <w:p>
      <w:pPr>
        <w:jc w:val="center"/>
      </w:pPr>
      <w:r>
        <w:rPr>
          <w:color w:val="2E75B6"/>
          <w:sz w:val="32"/>
        </w:rPr>
        <w:t>Operational Runbook</w:t>
      </w:r>
    </w:p>
    <w:p>
      <w:pPr>
        <w:jc w:val="center"/>
      </w:pPr>
      <w:r>
        <w:rPr>
          <w:color w:val="606060"/>
          <w:sz w:val="20"/>
        </w:rPr>
        <w:t>Version 1.0  |  March 28, 2026  |  Stack: Terraform + AWS Glue + S3 + Iceberg + Athena + dbt</w:t>
      </w:r>
    </w:p>
    <w:p>
      <w:pPr>
        <w:pBdr>
          <w:bottom w:val="single" w:sz="6" w:space="1" w:color="1F4E79"/>
        </w:pBdr>
        <w:spacing w:after="160"/>
      </w:pPr>
    </w:p>
    <w:p>
      <w:pPr>
        <w:pStyle w:val="Heading1"/>
      </w:pPr>
      <w:r>
        <w:rPr>
          <w:color w:val="1F4E79"/>
        </w:rPr>
        <w:t>1. Purpose and Scope</w:t>
      </w:r>
    </w:p>
    <w:p>
      <w:pPr>
        <w:spacing w:after="120"/>
      </w:pPr>
      <w:r>
        <w:rPr>
          <w:b w:val="0"/>
          <w:i w:val="0"/>
          <w:sz w:val="22"/>
        </w:rPr>
        <w:t>This runbook covers the day-to-day operational steps for running the Insurance XML Platform pipeline end-to-end. It is intended for any engineer or data practitioner who needs to ingest commercial auto insurance XML files, shred them into Bronze Iceberg tables, and promote them to Silver analytics models using dbt on Athena.</w:t>
      </w:r>
    </w:p>
    <w:p>
      <w:pPr>
        <w:pBdr>
          <w:bottom w:val="single" w:sz="6" w:space="1" w:color="1F4E79"/>
        </w:pBdr>
        <w:spacing w:after="160"/>
      </w:pPr>
    </w:p>
    <w:p>
      <w:pPr>
        <w:pStyle w:val="Heading1"/>
      </w:pPr>
      <w:r>
        <w:rPr>
          <w:color w:val="1F4E79"/>
        </w:rPr>
        <w:t>2. Prerequisites</w:t>
      </w:r>
    </w:p>
    <w:p>
      <w:pPr>
        <w:spacing w:after="120"/>
      </w:pPr>
      <w:r>
        <w:rPr>
          <w:b/>
          <w:i w:val="0"/>
          <w:sz w:val="22"/>
        </w:rPr>
        <w:t>Confirm the following before running any pipeline step:</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F4E79"/>
          </w:tcPr>
          <w:p>
            <w:r>
              <w:rPr>
                <w:b/>
                <w:color w:val="FFFFFF"/>
                <w:sz w:val="20"/>
              </w:rPr>
              <w:t>Tool / Service</w:t>
            </w:r>
          </w:p>
        </w:tc>
        <w:tc>
          <w:tcPr>
            <w:tcW w:type="dxa" w:w="2160"/>
            <w:shd w:val="clear" w:color="auto" w:fill="1F4E79"/>
          </w:tcPr>
          <w:p>
            <w:r>
              <w:rPr>
                <w:b/>
                <w:color w:val="FFFFFF"/>
                <w:sz w:val="20"/>
              </w:rPr>
              <w:t>Minimum Version</w:t>
            </w:r>
          </w:p>
        </w:tc>
        <w:tc>
          <w:tcPr>
            <w:tcW w:type="dxa" w:w="4032"/>
            <w:shd w:val="clear" w:color="auto" w:fill="1F4E79"/>
          </w:tcPr>
          <w:p>
            <w:r>
              <w:rPr>
                <w:b/>
                <w:color w:val="FFFFFF"/>
                <w:sz w:val="20"/>
              </w:rPr>
              <w:t>How to Verify</w:t>
            </w:r>
          </w:p>
        </w:tc>
      </w:tr>
      <w:tr>
        <w:tc>
          <w:tcPr>
            <w:tcW w:type="dxa" w:w="3168"/>
          </w:tcPr>
          <w:p>
            <w:r>
              <w:rPr>
                <w:sz w:val="20"/>
              </w:rPr>
              <w:t>AWS CLI</w:t>
            </w:r>
          </w:p>
        </w:tc>
        <w:tc>
          <w:tcPr>
            <w:tcW w:type="dxa" w:w="2160"/>
          </w:tcPr>
          <w:p>
            <w:r>
              <w:rPr>
                <w:sz w:val="20"/>
              </w:rPr>
              <w:t>v2.x</w:t>
            </w:r>
          </w:p>
        </w:tc>
        <w:tc>
          <w:tcPr>
            <w:tcW w:type="dxa" w:w="4032"/>
          </w:tcPr>
          <w:p>
            <w:r>
              <w:rPr>
                <w:sz w:val="20"/>
              </w:rPr>
              <w:t>aws --version</w:t>
            </w:r>
          </w:p>
        </w:tc>
      </w:tr>
      <w:tr>
        <w:tc>
          <w:tcPr>
            <w:tcW w:type="dxa" w:w="3168"/>
          </w:tcPr>
          <w:p>
            <w:r>
              <w:rPr>
                <w:sz w:val="20"/>
              </w:rPr>
              <w:t>Terraform</w:t>
            </w:r>
          </w:p>
        </w:tc>
        <w:tc>
          <w:tcPr>
            <w:tcW w:type="dxa" w:w="2160"/>
          </w:tcPr>
          <w:p>
            <w:r>
              <w:rPr>
                <w:sz w:val="20"/>
              </w:rPr>
              <w:t>v1.5+</w:t>
            </w:r>
          </w:p>
        </w:tc>
        <w:tc>
          <w:tcPr>
            <w:tcW w:type="dxa" w:w="4032"/>
          </w:tcPr>
          <w:p>
            <w:r>
              <w:rPr>
                <w:sz w:val="20"/>
              </w:rPr>
              <w:t>terraform --version</w:t>
            </w:r>
          </w:p>
        </w:tc>
      </w:tr>
      <w:tr>
        <w:tc>
          <w:tcPr>
            <w:tcW w:type="dxa" w:w="3168"/>
          </w:tcPr>
          <w:p>
            <w:r>
              <w:rPr>
                <w:sz w:val="20"/>
              </w:rPr>
              <w:t>Python</w:t>
            </w:r>
          </w:p>
        </w:tc>
        <w:tc>
          <w:tcPr>
            <w:tcW w:type="dxa" w:w="2160"/>
          </w:tcPr>
          <w:p>
            <w:r>
              <w:rPr>
                <w:sz w:val="20"/>
              </w:rPr>
              <w:t>3.11+</w:t>
            </w:r>
          </w:p>
        </w:tc>
        <w:tc>
          <w:tcPr>
            <w:tcW w:type="dxa" w:w="4032"/>
          </w:tcPr>
          <w:p>
            <w:r>
              <w:rPr>
                <w:sz w:val="20"/>
              </w:rPr>
              <w:t>python3 --version</w:t>
            </w:r>
          </w:p>
        </w:tc>
      </w:tr>
      <w:tr>
        <w:tc>
          <w:tcPr>
            <w:tcW w:type="dxa" w:w="3168"/>
          </w:tcPr>
          <w:p>
            <w:r>
              <w:rPr>
                <w:sz w:val="20"/>
              </w:rPr>
              <w:t>dbt Core</w:t>
            </w:r>
          </w:p>
        </w:tc>
        <w:tc>
          <w:tcPr>
            <w:tcW w:type="dxa" w:w="2160"/>
          </w:tcPr>
          <w:p>
            <w:r>
              <w:rPr>
                <w:sz w:val="20"/>
              </w:rPr>
              <w:t>1.7+</w:t>
            </w:r>
          </w:p>
        </w:tc>
        <w:tc>
          <w:tcPr>
            <w:tcW w:type="dxa" w:w="4032"/>
          </w:tcPr>
          <w:p>
            <w:r>
              <w:rPr>
                <w:sz w:val="20"/>
              </w:rPr>
              <w:t>dbt --version</w:t>
            </w:r>
          </w:p>
        </w:tc>
      </w:tr>
      <w:tr>
        <w:tc>
          <w:tcPr>
            <w:tcW w:type="dxa" w:w="3168"/>
          </w:tcPr>
          <w:p>
            <w:r>
              <w:rPr>
                <w:sz w:val="20"/>
              </w:rPr>
              <w:t>dbt-athena-community</w:t>
            </w:r>
          </w:p>
        </w:tc>
        <w:tc>
          <w:tcPr>
            <w:tcW w:type="dxa" w:w="2160"/>
          </w:tcPr>
          <w:p>
            <w:r>
              <w:rPr>
                <w:sz w:val="20"/>
              </w:rPr>
              <w:t>1.7+</w:t>
            </w:r>
          </w:p>
        </w:tc>
        <w:tc>
          <w:tcPr>
            <w:tcW w:type="dxa" w:w="4032"/>
          </w:tcPr>
          <w:p>
            <w:r>
              <w:rPr>
                <w:sz w:val="20"/>
              </w:rPr>
              <w:t>pip show dbt-athena-community</w:t>
            </w:r>
          </w:p>
        </w:tc>
      </w:tr>
      <w:tr>
        <w:tc>
          <w:tcPr>
            <w:tcW w:type="dxa" w:w="3168"/>
          </w:tcPr>
          <w:p>
            <w:r>
              <w:rPr>
                <w:sz w:val="20"/>
              </w:rPr>
              <w:t>AWS credentials</w:t>
            </w:r>
          </w:p>
        </w:tc>
        <w:tc>
          <w:tcPr>
            <w:tcW w:type="dxa" w:w="2160"/>
          </w:tcPr>
          <w:p>
            <w:r>
              <w:rPr>
                <w:sz w:val="20"/>
              </w:rPr>
              <w:t>Configured</w:t>
            </w:r>
          </w:p>
        </w:tc>
        <w:tc>
          <w:tcPr>
            <w:tcW w:type="dxa" w:w="4032"/>
          </w:tcPr>
          <w:p>
            <w:r>
              <w:rPr>
                <w:sz w:val="20"/>
              </w:rPr>
              <w:t>aws sts get-caller-identity</w:t>
            </w:r>
          </w:p>
        </w:tc>
      </w:tr>
    </w:tbl>
    <w:p/>
    <w:p>
      <w:pPr>
        <w:spacing w:after="120"/>
      </w:pPr>
      <w:r>
        <w:rPr>
          <w:b w:val="0"/>
          <w:i/>
          <w:color w:val="606060"/>
          <w:sz w:val="22"/>
        </w:rPr>
        <w:t>AWS account: 252334402175  |  Region: us-east-1</w:t>
      </w:r>
    </w:p>
    <w:p>
      <w:pPr>
        <w:pBdr>
          <w:bottom w:val="single" w:sz="6" w:space="1" w:color="1F4E79"/>
        </w:pBdr>
        <w:spacing w:after="160"/>
      </w:pPr>
    </w:p>
    <w:p>
      <w:pPr>
        <w:pStyle w:val="Heading1"/>
      </w:pPr>
      <w:r>
        <w:rPr>
          <w:color w:val="1F4E79"/>
        </w:rPr>
        <w:t>3. Provision Infrastructure (Phase 1 — Run Once)</w:t>
      </w:r>
    </w:p>
    <w:p>
      <w:pPr>
        <w:spacing w:after="120"/>
      </w:pPr>
      <w:r>
        <w:rPr>
          <w:b w:val="0"/>
          <w:i w:val="0"/>
          <w:sz w:val="22"/>
        </w:rPr>
        <w:t>Run this only when setting up for the first time or after a terraform destroy. All AWS resources are defined as code in infra/terraform/.</w:t>
      </w:r>
    </w:p>
    <w:p>
      <w:pPr>
        <w:pStyle w:val="Heading2"/>
      </w:pPr>
      <w:r>
        <w:t>3.1  Navigate to the Terraform directory</w:t>
      </w:r>
    </w:p>
    <w:p>
      <w:pPr>
        <w:spacing w:after="80"/>
        <w:ind w:left="432"/>
        <w:shd w:val="clear" w:color="auto" w:fill="F2F2F2"/>
      </w:pPr>
      <w:r>
        <w:rPr>
          <w:rFonts w:ascii="Courier New" w:hAnsi="Courier New"/>
          <w:color w:val="1A1A2E"/>
          <w:sz w:val="18"/>
        </w:rPr>
        <w:t>cd infra/terraform</w:t>
      </w:r>
    </w:p>
    <w:p>
      <w:pPr>
        <w:pStyle w:val="Heading2"/>
      </w:pPr>
      <w:r>
        <w:t>3.2  Initialize Terraform (downloads provider plugins)</w:t>
      </w:r>
    </w:p>
    <w:p>
      <w:pPr>
        <w:spacing w:after="80"/>
        <w:ind w:left="432"/>
        <w:shd w:val="clear" w:color="auto" w:fill="F2F2F2"/>
      </w:pPr>
      <w:r>
        <w:rPr>
          <w:rFonts w:ascii="Courier New" w:hAnsi="Courier New"/>
          <w:color w:val="1A1A2E"/>
          <w:sz w:val="18"/>
        </w:rPr>
        <w:t>terraform init</w:t>
      </w:r>
    </w:p>
    <w:p>
      <w:pPr>
        <w:pStyle w:val="Heading2"/>
      </w:pPr>
      <w:r>
        <w:t>3.3  Preview what will be created</w:t>
      </w:r>
    </w:p>
    <w:p>
      <w:pPr>
        <w:spacing w:after="80"/>
        <w:ind w:left="432"/>
        <w:shd w:val="clear" w:color="auto" w:fill="F2F2F2"/>
      </w:pPr>
      <w:r>
        <w:rPr>
          <w:rFonts w:ascii="Courier New" w:hAnsi="Courier New"/>
          <w:color w:val="1A1A2E"/>
          <w:sz w:val="18"/>
        </w:rPr>
        <w:t>terraform plan</w:t>
      </w:r>
    </w:p>
    <w:p>
      <w:pPr>
        <w:spacing w:after="120"/>
      </w:pPr>
      <w:r>
        <w:rPr>
          <w:b w:val="0"/>
          <w:i w:val="0"/>
          <w:sz w:val="22"/>
        </w:rPr>
        <w:t>Review the output. You should see 25 resources to add and 0 to destroy on a fresh account.</w:t>
      </w:r>
    </w:p>
    <w:p>
      <w:pPr>
        <w:pStyle w:val="Heading2"/>
      </w:pPr>
      <w:r>
        <w:t>3.4  Apply (creates all AWS resources)</w:t>
      </w:r>
    </w:p>
    <w:p>
      <w:pPr>
        <w:spacing w:after="80"/>
        <w:ind w:left="432"/>
        <w:shd w:val="clear" w:color="auto" w:fill="F2F2F2"/>
      </w:pPr>
      <w:r>
        <w:rPr>
          <w:rFonts w:ascii="Courier New" w:hAnsi="Courier New"/>
          <w:color w:val="1A1A2E"/>
          <w:sz w:val="18"/>
        </w:rPr>
        <w:t>terraform apply</w:t>
      </w:r>
    </w:p>
    <w:p>
      <w:pPr>
        <w:spacing w:after="120"/>
      </w:pPr>
      <w:r>
        <w:rPr>
          <w:b w:val="0"/>
          <w:i w:val="0"/>
          <w:sz w:val="22"/>
        </w:rPr>
        <w:t>Type "yes" when prompted. Provisioning takes approximately 1-2 minutes.</w:t>
      </w:r>
    </w:p>
    <w:p>
      <w:pPr>
        <w:pStyle w:val="Heading2"/>
      </w:pPr>
      <w:r>
        <w:t>3.5  Capture outputs</w:t>
      </w:r>
    </w:p>
    <w:p>
      <w:pPr>
        <w:spacing w:after="80"/>
        <w:ind w:left="432"/>
        <w:shd w:val="clear" w:color="auto" w:fill="F2F2F2"/>
      </w:pPr>
      <w:r>
        <w:rPr>
          <w:rFonts w:ascii="Courier New" w:hAnsi="Courier New"/>
          <w:color w:val="1A1A2E"/>
          <w:sz w:val="18"/>
        </w:rPr>
        <w:t>terraform output</w:t>
      </w:r>
    </w:p>
    <w:p>
      <w:pPr>
        <w:spacing w:after="120"/>
      </w:pPr>
      <w:r>
        <w:rPr>
          <w:b w:val="0"/>
          <w:i w:val="0"/>
          <w:sz w:val="22"/>
        </w:rPr>
        <w:t>Save the bucket names and role ARNs — you will need them in the steps below.</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F4E79"/>
          </w:tcPr>
          <w:p>
            <w:r>
              <w:rPr>
                <w:b/>
                <w:color w:val="FFFFFF"/>
                <w:sz w:val="20"/>
              </w:rPr>
              <w:t>Output Variable</w:t>
            </w:r>
          </w:p>
        </w:tc>
        <w:tc>
          <w:tcPr>
            <w:tcW w:type="dxa" w:w="5616"/>
            <w:shd w:val="clear" w:color="auto" w:fill="1F4E79"/>
          </w:tcPr>
          <w:p>
            <w:r>
              <w:rPr>
                <w:b/>
                <w:color w:val="FFFFFF"/>
                <w:sz w:val="20"/>
              </w:rPr>
              <w:t>Description</w:t>
            </w:r>
          </w:p>
        </w:tc>
      </w:tr>
      <w:tr>
        <w:tc>
          <w:tcPr>
            <w:tcW w:type="dxa" w:w="4032"/>
          </w:tcPr>
          <w:p>
            <w:r>
              <w:rPr>
                <w:sz w:val="20"/>
              </w:rPr>
              <w:t>source_bucket_name</w:t>
            </w:r>
          </w:p>
        </w:tc>
        <w:tc>
          <w:tcPr>
            <w:tcW w:type="dxa" w:w="5616"/>
          </w:tcPr>
          <w:p>
            <w:r>
              <w:rPr>
                <w:sz w:val="20"/>
              </w:rPr>
              <w:t>Upload raw XML files here</w:t>
            </w:r>
          </w:p>
        </w:tc>
      </w:tr>
      <w:tr>
        <w:tc>
          <w:tcPr>
            <w:tcW w:type="dxa" w:w="4032"/>
          </w:tcPr>
          <w:p>
            <w:r>
              <w:rPr>
                <w:sz w:val="20"/>
              </w:rPr>
              <w:t>landing_bucket_name</w:t>
            </w:r>
          </w:p>
        </w:tc>
        <w:tc>
          <w:tcPr>
            <w:tcW w:type="dxa" w:w="5616"/>
          </w:tcPr>
          <w:p>
            <w:r>
              <w:rPr>
                <w:sz w:val="20"/>
              </w:rPr>
              <w:t>DataSync copies XMLs here</w:t>
            </w:r>
          </w:p>
        </w:tc>
      </w:tr>
      <w:tr>
        <w:tc>
          <w:tcPr>
            <w:tcW w:type="dxa" w:w="4032"/>
          </w:tcPr>
          <w:p>
            <w:r>
              <w:rPr>
                <w:sz w:val="20"/>
              </w:rPr>
              <w:t>bronze_bucket_name</w:t>
            </w:r>
          </w:p>
        </w:tc>
        <w:tc>
          <w:tcPr>
            <w:tcW w:type="dxa" w:w="5616"/>
          </w:tcPr>
          <w:p>
            <w:r>
              <w:rPr>
                <w:sz w:val="20"/>
              </w:rPr>
              <w:t>Glue writes Iceberg tables here</w:t>
            </w:r>
          </w:p>
        </w:tc>
      </w:tr>
      <w:tr>
        <w:tc>
          <w:tcPr>
            <w:tcW w:type="dxa" w:w="4032"/>
          </w:tcPr>
          <w:p>
            <w:r>
              <w:rPr>
                <w:sz w:val="20"/>
              </w:rPr>
              <w:t>silver_bucket_name</w:t>
            </w:r>
          </w:p>
        </w:tc>
        <w:tc>
          <w:tcPr>
            <w:tcW w:type="dxa" w:w="5616"/>
          </w:tcPr>
          <w:p>
            <w:r>
              <w:rPr>
                <w:sz w:val="20"/>
              </w:rPr>
              <w:t>dbt writes Silver models here</w:t>
            </w:r>
          </w:p>
        </w:tc>
      </w:tr>
      <w:tr>
        <w:tc>
          <w:tcPr>
            <w:tcW w:type="dxa" w:w="4032"/>
          </w:tcPr>
          <w:p>
            <w:r>
              <w:rPr>
                <w:sz w:val="20"/>
              </w:rPr>
              <w:t>athena_results_bucket_name</w:t>
            </w:r>
          </w:p>
        </w:tc>
        <w:tc>
          <w:tcPr>
            <w:tcW w:type="dxa" w:w="5616"/>
          </w:tcPr>
          <w:p>
            <w:r>
              <w:rPr>
                <w:sz w:val="20"/>
              </w:rPr>
              <w:t>Athena query results land here</w:t>
            </w:r>
          </w:p>
        </w:tc>
      </w:tr>
      <w:tr>
        <w:tc>
          <w:tcPr>
            <w:tcW w:type="dxa" w:w="4032"/>
          </w:tcPr>
          <w:p>
            <w:r>
              <w:rPr>
                <w:sz w:val="20"/>
              </w:rPr>
              <w:t>glue_role_arn</w:t>
            </w:r>
          </w:p>
        </w:tc>
        <w:tc>
          <w:tcPr>
            <w:tcW w:type="dxa" w:w="5616"/>
          </w:tcPr>
          <w:p>
            <w:r>
              <w:rPr>
                <w:sz w:val="20"/>
              </w:rPr>
              <w:t>IAM role for the Glue shredder job</w:t>
            </w:r>
          </w:p>
        </w:tc>
      </w:tr>
      <w:tr>
        <w:tc>
          <w:tcPr>
            <w:tcW w:type="dxa" w:w="4032"/>
          </w:tcPr>
          <w:p>
            <w:r>
              <w:rPr>
                <w:sz w:val="20"/>
              </w:rPr>
              <w:t>glue_database_name</w:t>
            </w:r>
          </w:p>
        </w:tc>
        <w:tc>
          <w:tcPr>
            <w:tcW w:type="dxa" w:w="5616"/>
          </w:tcPr>
          <w:p>
            <w:r>
              <w:rPr>
                <w:sz w:val="20"/>
              </w:rPr>
              <w:t>Glue Catalog database (insurance_bronze)</w:t>
            </w:r>
          </w:p>
        </w:tc>
      </w:tr>
      <w:tr>
        <w:tc>
          <w:tcPr>
            <w:tcW w:type="dxa" w:w="4032"/>
          </w:tcPr>
          <w:p>
            <w:r>
              <w:rPr>
                <w:sz w:val="20"/>
              </w:rPr>
              <w:t>athena_workgroup_name</w:t>
            </w:r>
          </w:p>
        </w:tc>
        <w:tc>
          <w:tcPr>
            <w:tcW w:type="dxa" w:w="5616"/>
          </w:tcPr>
          <w:p>
            <w:r>
              <w:rPr>
                <w:sz w:val="20"/>
              </w:rPr>
              <w:t>Athena workgroup (insurance-wg)</w:t>
            </w:r>
          </w:p>
        </w:tc>
      </w:tr>
    </w:tbl>
    <w:p/>
    <w:p>
      <w:pPr>
        <w:pBdr>
          <w:bottom w:val="single" w:sz="6" w:space="1" w:color="1F4E79"/>
        </w:pBdr>
        <w:spacing w:after="160"/>
      </w:pPr>
    </w:p>
    <w:p>
      <w:pPr>
        <w:pStyle w:val="Heading1"/>
      </w:pPr>
      <w:r>
        <w:rPr>
          <w:color w:val="1F4E79"/>
        </w:rPr>
        <w:t>4. Upload the Glue Shredding Script (One-Time Setup)</w:t>
      </w:r>
    </w:p>
    <w:p>
      <w:pPr>
        <w:spacing w:after="120"/>
      </w:pPr>
      <w:r>
        <w:rPr>
          <w:b w:val="0"/>
          <w:i w:val="0"/>
          <w:sz w:val="22"/>
        </w:rPr>
        <w:t>The Glue job expects its script at a fixed S3 path. Upload it before running the job for the first time, and again whenever you update the script.</w:t>
      </w:r>
    </w:p>
    <w:p>
      <w:pPr>
        <w:spacing w:after="80"/>
        <w:ind w:left="432"/>
        <w:shd w:val="clear" w:color="auto" w:fill="F2F2F2"/>
      </w:pPr>
      <w:r>
        <w:rPr>
          <w:rFonts w:ascii="Courier New" w:hAnsi="Courier New"/>
          <w:color w:val="1A1A2E"/>
          <w:sz w:val="18"/>
        </w:rPr>
        <w:t>aws s3 cp ingestion/glue_jobs/shred_policy_xml_to_bronze.py \</w:t>
      </w:r>
    </w:p>
    <w:p>
      <w:pPr>
        <w:spacing w:after="80"/>
        <w:ind w:left="432"/>
        <w:shd w:val="clear" w:color="auto" w:fill="F2F2F2"/>
      </w:pPr>
      <w:r>
        <w:rPr>
          <w:rFonts w:ascii="Courier New" w:hAnsi="Courier New"/>
          <w:color w:val="1A1A2E"/>
          <w:sz w:val="18"/>
        </w:rPr>
        <w:t xml:space="preserve">    s3://ins-xml-dev-landing/scripts/shred_policy_xml_to_bronze.py</w:t>
      </w:r>
    </w:p>
    <w:p>
      <w:pPr>
        <w:pBdr>
          <w:bottom w:val="single" w:sz="6" w:space="1" w:color="1F4E79"/>
        </w:pBdr>
        <w:spacing w:after="160"/>
      </w:pPr>
    </w:p>
    <w:p>
      <w:pPr>
        <w:pStyle w:val="Heading1"/>
      </w:pPr>
      <w:r>
        <w:rPr>
          <w:color w:val="1F4E79"/>
        </w:rPr>
        <w:t>5. Upload Source XML Files (Phase 2)</w:t>
      </w:r>
    </w:p>
    <w:p>
      <w:pPr>
        <w:spacing w:after="120"/>
      </w:pPr>
      <w:r>
        <w:rPr>
          <w:b w:val="0"/>
          <w:i w:val="0"/>
          <w:sz w:val="22"/>
        </w:rPr>
        <w:t>Place raw insurance XML files in the source bucket under the /inbound prefix. DataSync will pick them up from there.</w:t>
      </w:r>
    </w:p>
    <w:p>
      <w:pPr>
        <w:pStyle w:val="Heading2"/>
      </w:pPr>
      <w:r>
        <w:t>5.1  Upload a single file (development / testing)</w:t>
      </w:r>
    </w:p>
    <w:p>
      <w:pPr>
        <w:spacing w:after="80"/>
        <w:ind w:left="432"/>
        <w:shd w:val="clear" w:color="auto" w:fill="F2F2F2"/>
      </w:pPr>
      <w:r>
        <w:rPr>
          <w:rFonts w:ascii="Courier New" w:hAnsi="Courier New"/>
          <w:color w:val="1A1A2E"/>
          <w:sz w:val="18"/>
        </w:rPr>
        <w:t>aws s3 cp ingestion/sample_xml/policy_001.xml \</w:t>
      </w:r>
    </w:p>
    <w:p>
      <w:pPr>
        <w:spacing w:after="80"/>
        <w:ind w:left="432"/>
        <w:shd w:val="clear" w:color="auto" w:fill="F2F2F2"/>
      </w:pPr>
      <w:r>
        <w:rPr>
          <w:rFonts w:ascii="Courier New" w:hAnsi="Courier New"/>
          <w:color w:val="1A1A2E"/>
          <w:sz w:val="18"/>
        </w:rPr>
        <w:t xml:space="preserve">    s3://ins-xml-dev-source/inbound/policy_001.xml</w:t>
      </w:r>
    </w:p>
    <w:p>
      <w:pPr>
        <w:pStyle w:val="Heading2"/>
      </w:pPr>
      <w:r>
        <w:t>5.2  Upload a folder of XML files (bulk)</w:t>
      </w:r>
    </w:p>
    <w:p>
      <w:pPr>
        <w:spacing w:after="80"/>
        <w:ind w:left="432"/>
        <w:shd w:val="clear" w:color="auto" w:fill="F2F2F2"/>
      </w:pPr>
      <w:r>
        <w:rPr>
          <w:rFonts w:ascii="Courier New" w:hAnsi="Courier New"/>
          <w:color w:val="1A1A2E"/>
          <w:sz w:val="18"/>
        </w:rPr>
        <w:t>aws s3 sync ingestion/sample_xml/ s3://ins-xml-dev-source/inbound/</w:t>
      </w:r>
    </w:p>
    <w:p>
      <w:pPr>
        <w:pStyle w:val="Heading2"/>
      </w:pPr>
      <w:r>
        <w:t>5.3  Verify files landed</w:t>
      </w:r>
    </w:p>
    <w:p>
      <w:pPr>
        <w:spacing w:after="80"/>
        <w:ind w:left="432"/>
        <w:shd w:val="clear" w:color="auto" w:fill="F2F2F2"/>
      </w:pPr>
      <w:r>
        <w:rPr>
          <w:rFonts w:ascii="Courier New" w:hAnsi="Courier New"/>
          <w:color w:val="1A1A2E"/>
          <w:sz w:val="18"/>
        </w:rPr>
        <w:t>aws s3 ls s3://ins-xml-dev-source/inbound/</w:t>
      </w:r>
    </w:p>
    <w:p>
      <w:pPr>
        <w:pBdr>
          <w:bottom w:val="single" w:sz="6" w:space="1" w:color="1F4E79"/>
        </w:pBdr>
        <w:spacing w:after="160"/>
      </w:pPr>
    </w:p>
    <w:p>
      <w:pPr>
        <w:pStyle w:val="Heading1"/>
      </w:pPr>
      <w:r>
        <w:rPr>
          <w:color w:val="1F4E79"/>
        </w:rPr>
        <w:t>6. Run DataSync Task — Source to Landing (Phase 2)</w:t>
      </w:r>
    </w:p>
    <w:p>
      <w:pPr>
        <w:spacing w:after="120"/>
      </w:pPr>
      <w:r>
        <w:rPr>
          <w:b w:val="0"/>
          <w:i w:val="0"/>
          <w:sz w:val="22"/>
        </w:rPr>
        <w:t>DataSync copies XML files from ins-xml-dev-source/inbound/ to ins-xml-dev-landing/xml/.</w:t>
      </w:r>
    </w:p>
    <w:p>
      <w:pPr>
        <w:pStyle w:val="Heading2"/>
      </w:pPr>
      <w:r>
        <w:t>6.1  Find the DataSync task ARN</w:t>
      </w:r>
    </w:p>
    <w:p>
      <w:pPr>
        <w:spacing w:after="80"/>
        <w:ind w:left="432"/>
        <w:shd w:val="clear" w:color="auto" w:fill="F2F2F2"/>
      </w:pPr>
      <w:r>
        <w:rPr>
          <w:rFonts w:ascii="Courier New" w:hAnsi="Courier New"/>
          <w:color w:val="1A1A2E"/>
          <w:sz w:val="18"/>
        </w:rPr>
        <w:t>aws datasync list-tasks --query 'Tasks[*].[TaskArn,Name]' --output table</w:t>
      </w:r>
    </w:p>
    <w:p>
      <w:pPr>
        <w:pStyle w:val="Heading2"/>
      </w:pPr>
      <w:r>
        <w:t>6.2  Start the task</w:t>
      </w:r>
    </w:p>
    <w:p>
      <w:pPr>
        <w:spacing w:after="80"/>
        <w:ind w:left="432"/>
        <w:shd w:val="clear" w:color="auto" w:fill="F2F2F2"/>
      </w:pPr>
      <w:r>
        <w:rPr>
          <w:rFonts w:ascii="Courier New" w:hAnsi="Courier New"/>
          <w:color w:val="1A1A2E"/>
          <w:sz w:val="18"/>
        </w:rPr>
        <w:t>aws datasync start-task-execution \</w:t>
      </w:r>
    </w:p>
    <w:p>
      <w:pPr>
        <w:spacing w:after="80"/>
        <w:ind w:left="432"/>
        <w:shd w:val="clear" w:color="auto" w:fill="F2F2F2"/>
      </w:pPr>
      <w:r>
        <w:rPr>
          <w:rFonts w:ascii="Courier New" w:hAnsi="Courier New"/>
          <w:color w:val="1A1A2E"/>
          <w:sz w:val="18"/>
        </w:rPr>
        <w:t xml:space="preserve">    --task-arn &lt;TaskArn from above&gt;</w:t>
      </w:r>
    </w:p>
    <w:p>
      <w:pPr>
        <w:pStyle w:val="Heading2"/>
      </w:pPr>
      <w:r>
        <w:t>6.3  Monitor until status is SUCCESS</w:t>
      </w:r>
    </w:p>
    <w:p>
      <w:pPr>
        <w:spacing w:after="80"/>
        <w:ind w:left="432"/>
        <w:shd w:val="clear" w:color="auto" w:fill="F2F2F2"/>
      </w:pPr>
      <w:r>
        <w:rPr>
          <w:rFonts w:ascii="Courier New" w:hAnsi="Courier New"/>
          <w:color w:val="1A1A2E"/>
          <w:sz w:val="18"/>
        </w:rPr>
        <w:t>aws datasync describe-task-execution \</w:t>
      </w:r>
    </w:p>
    <w:p>
      <w:pPr>
        <w:spacing w:after="80"/>
        <w:ind w:left="432"/>
        <w:shd w:val="clear" w:color="auto" w:fill="F2F2F2"/>
      </w:pPr>
      <w:r>
        <w:rPr>
          <w:rFonts w:ascii="Courier New" w:hAnsi="Courier New"/>
          <w:color w:val="1A1A2E"/>
          <w:sz w:val="18"/>
        </w:rPr>
        <w:t xml:space="preserve">    --task-execution-arn &lt;ExecutionArn from start output&gt;</w:t>
      </w:r>
    </w:p>
    <w:p>
      <w:pPr>
        <w:spacing w:after="120"/>
      </w:pPr>
      <w:r>
        <w:rPr>
          <w:b w:val="0"/>
          <w:i w:val="0"/>
          <w:sz w:val="22"/>
        </w:rPr>
        <w:t>Wait for Status: SUCCESS before proceeding. Typical duration for small XML batches: under 1 minute.</w:t>
      </w:r>
    </w:p>
    <w:p>
      <w:pPr>
        <w:pStyle w:val="Heading2"/>
      </w:pPr>
      <w:r>
        <w:t>6.4  Verify files in landing bucket</w:t>
      </w:r>
    </w:p>
    <w:p>
      <w:pPr>
        <w:spacing w:after="80"/>
        <w:ind w:left="432"/>
        <w:shd w:val="clear" w:color="auto" w:fill="F2F2F2"/>
      </w:pPr>
      <w:r>
        <w:rPr>
          <w:rFonts w:ascii="Courier New" w:hAnsi="Courier New"/>
          <w:color w:val="1A1A2E"/>
          <w:sz w:val="18"/>
        </w:rPr>
        <w:t>aws s3 ls s3://ins-xml-dev-landing/xml/</w:t>
      </w:r>
    </w:p>
    <w:p>
      <w:pPr>
        <w:pBdr>
          <w:bottom w:val="single" w:sz="6" w:space="1" w:color="1F4E79"/>
        </w:pBdr>
        <w:spacing w:after="160"/>
      </w:pPr>
    </w:p>
    <w:p>
      <w:pPr>
        <w:pStyle w:val="Heading1"/>
      </w:pPr>
      <w:r>
        <w:rPr>
          <w:color w:val="1F4E79"/>
        </w:rPr>
        <w:t>7. Run the Glue XML Shredding Job (Phase 3)</w:t>
      </w:r>
    </w:p>
    <w:p>
      <w:pPr>
        <w:spacing w:after="120"/>
      </w:pPr>
      <w:r>
        <w:rPr>
          <w:b w:val="0"/>
          <w:i w:val="0"/>
          <w:sz w:val="22"/>
        </w:rPr>
        <w:t>The Glue job reads XMLs from the landing bucket, parses each file, and writes 8 Bronze Iceberg tables to the bronze bucket.</w:t>
      </w:r>
    </w:p>
    <w:p>
      <w:pPr>
        <w:pStyle w:val="Heading2"/>
      </w:pPr>
      <w:r>
        <w:t>7.1  Start the Glue job</w:t>
      </w:r>
    </w:p>
    <w:p>
      <w:pPr>
        <w:spacing w:after="80"/>
        <w:ind w:left="432"/>
        <w:shd w:val="clear" w:color="auto" w:fill="F2F2F2"/>
      </w:pPr>
      <w:r>
        <w:rPr>
          <w:rFonts w:ascii="Courier New" w:hAnsi="Courier New"/>
          <w:color w:val="1A1A2E"/>
          <w:sz w:val="18"/>
        </w:rPr>
        <w:t>aws glue start-job-run \</w:t>
      </w:r>
    </w:p>
    <w:p>
      <w:pPr>
        <w:spacing w:after="80"/>
        <w:ind w:left="432"/>
        <w:shd w:val="clear" w:color="auto" w:fill="F2F2F2"/>
      </w:pPr>
      <w:r>
        <w:rPr>
          <w:rFonts w:ascii="Courier New" w:hAnsi="Courier New"/>
          <w:color w:val="1A1A2E"/>
          <w:sz w:val="18"/>
        </w:rPr>
        <w:t xml:space="preserve">    --job-name ins-xml-dev-xml-shredder</w:t>
      </w:r>
    </w:p>
    <w:p>
      <w:pPr>
        <w:pStyle w:val="Heading2"/>
      </w:pPr>
      <w:r>
        <w:t>7.2  Monitor the job run</w:t>
      </w:r>
    </w:p>
    <w:p>
      <w:pPr>
        <w:spacing w:after="80"/>
        <w:ind w:left="432"/>
        <w:shd w:val="clear" w:color="auto" w:fill="F2F2F2"/>
      </w:pPr>
      <w:r>
        <w:rPr>
          <w:rFonts w:ascii="Courier New" w:hAnsi="Courier New"/>
          <w:color w:val="1A1A2E"/>
          <w:sz w:val="18"/>
        </w:rPr>
        <w:t>aws glue get-job-run \</w:t>
      </w:r>
    </w:p>
    <w:p>
      <w:pPr>
        <w:spacing w:after="80"/>
        <w:ind w:left="432"/>
        <w:shd w:val="clear" w:color="auto" w:fill="F2F2F2"/>
      </w:pPr>
      <w:r>
        <w:rPr>
          <w:rFonts w:ascii="Courier New" w:hAnsi="Courier New"/>
          <w:color w:val="1A1A2E"/>
          <w:sz w:val="18"/>
        </w:rPr>
        <w:t xml:space="preserve">    --job-name ins-xml-dev-xml-shredder \</w:t>
      </w:r>
    </w:p>
    <w:p>
      <w:pPr>
        <w:spacing w:after="80"/>
        <w:ind w:left="432"/>
        <w:shd w:val="clear" w:color="auto" w:fill="F2F2F2"/>
      </w:pPr>
      <w:r>
        <w:rPr>
          <w:rFonts w:ascii="Courier New" w:hAnsi="Courier New"/>
          <w:color w:val="1A1A2E"/>
          <w:sz w:val="18"/>
        </w:rPr>
        <w:t xml:space="preserve">    --run-id &lt;JobRunId from start output&gt;</w:t>
      </w:r>
    </w:p>
    <w:p>
      <w:pPr>
        <w:spacing w:after="120"/>
      </w:pPr>
      <w:r>
        <w:rPr>
          <w:b w:val="0"/>
          <w:i w:val="0"/>
          <w:sz w:val="22"/>
        </w:rPr>
        <w:t>Wait for JobRunState: SUCCEEDED. For the sample dataset (3 vehicles, 9 coverages) this takes approximately 3-5 minutes on a G.1X worker.</w:t>
      </w:r>
    </w:p>
    <w:p>
      <w:pPr>
        <w:pStyle w:val="Heading2"/>
      </w:pPr>
      <w:r>
        <w:t>7.3  Check logs if the job fails</w:t>
      </w:r>
    </w:p>
    <w:p>
      <w:pPr>
        <w:spacing w:after="80"/>
        <w:ind w:left="432"/>
        <w:shd w:val="clear" w:color="auto" w:fill="F2F2F2"/>
      </w:pPr>
      <w:r>
        <w:rPr>
          <w:rFonts w:ascii="Courier New" w:hAnsi="Courier New"/>
          <w:color w:val="1A1A2E"/>
          <w:sz w:val="18"/>
        </w:rPr>
        <w:t>aws logs tail /aws-glue/jobs/output --follow</w:t>
      </w:r>
    </w:p>
    <w:p>
      <w:pPr>
        <w:spacing w:after="120"/>
      </w:pPr>
      <w:r>
        <w:rPr>
          <w:b w:val="0"/>
          <w:i w:val="0"/>
          <w:sz w:val="22"/>
        </w:rPr>
        <w:t>Or open CloudWatch Logs in the AWS Console under Log Groups: /aws-glue/jobs/output</w:t>
      </w:r>
    </w:p>
    <w:p>
      <w:pPr>
        <w:pStyle w:val="Heading2"/>
      </w:pPr>
      <w:r>
        <w:t>7.4  Verify Bronze tables were created</w:t>
      </w:r>
    </w:p>
    <w:p>
      <w:pPr>
        <w:spacing w:after="80"/>
        <w:ind w:left="432"/>
        <w:shd w:val="clear" w:color="auto" w:fill="F2F2F2"/>
      </w:pPr>
      <w:r>
        <w:rPr>
          <w:rFonts w:ascii="Courier New" w:hAnsi="Courier New"/>
          <w:color w:val="1A1A2E"/>
          <w:sz w:val="18"/>
        </w:rPr>
        <w:t>aws glue get-tables --database-name insurance_bronze \</w:t>
      </w:r>
    </w:p>
    <w:p>
      <w:pPr>
        <w:spacing w:after="80"/>
        <w:ind w:left="432"/>
        <w:shd w:val="clear" w:color="auto" w:fill="F2F2F2"/>
      </w:pPr>
      <w:r>
        <w:rPr>
          <w:rFonts w:ascii="Courier New" w:hAnsi="Courier New"/>
          <w:color w:val="1A1A2E"/>
          <w:sz w:val="18"/>
        </w:rPr>
        <w:t xml:space="preserve">    --query 'TableList[*].Name' --output table</w:t>
      </w:r>
    </w:p>
    <w:p>
      <w:pPr>
        <w:spacing w:after="120"/>
      </w:pPr>
      <w:r>
        <w:rPr>
          <w:b w:val="0"/>
          <w:i w:val="0"/>
          <w:sz w:val="22"/>
        </w:rPr>
        <w:t>You should see all 8 Bronze tables listed.</w:t>
      </w:r>
    </w:p>
    <w:p>
      <w:pPr>
        <w:pBdr>
          <w:bottom w:val="single" w:sz="6" w:space="1" w:color="1F4E79"/>
        </w:pBdr>
        <w:spacing w:after="160"/>
      </w:pPr>
    </w:p>
    <w:p>
      <w:pPr>
        <w:pStyle w:val="Heading1"/>
      </w:pPr>
      <w:r>
        <w:rPr>
          <w:color w:val="1F4E79"/>
        </w:rPr>
        <w:t>8. Validate Bronze Tables in Athena (Phase 4)</w:t>
      </w:r>
    </w:p>
    <w:p>
      <w:pPr>
        <w:spacing w:after="120"/>
      </w:pPr>
      <w:r>
        <w:rPr>
          <w:b w:val="0"/>
          <w:i w:val="0"/>
          <w:sz w:val="22"/>
        </w:rPr>
        <w:t>Run these spot-check queries in Athena (workgroup: insurance-wg) to confirm the data landed correctly.</w:t>
      </w:r>
    </w:p>
    <w:p>
      <w:pPr>
        <w:pStyle w:val="Heading2"/>
      </w:pPr>
      <w:r>
        <w:t>8.1  Row count check across all Bronze tables</w:t>
      </w:r>
    </w:p>
    <w:p>
      <w:pPr>
        <w:spacing w:after="80"/>
        <w:ind w:left="432"/>
        <w:shd w:val="clear" w:color="auto" w:fill="F2F2F2"/>
      </w:pPr>
      <w:r>
        <w:rPr>
          <w:rFonts w:ascii="Courier New" w:hAnsi="Courier New"/>
          <w:color w:val="1A1A2E"/>
          <w:sz w:val="18"/>
        </w:rPr>
        <w:t>SELECT 'br_policy_transaction' AS tbl, COUNT(*) AS cnt FROM insurance_bronze.br_policy_transaction</w:t>
      </w:r>
    </w:p>
    <w:p>
      <w:pPr>
        <w:spacing w:after="80"/>
        <w:ind w:left="432"/>
        <w:shd w:val="clear" w:color="auto" w:fill="F2F2F2"/>
      </w:pPr>
      <w:r>
        <w:rPr>
          <w:rFonts w:ascii="Courier New" w:hAnsi="Courier New"/>
          <w:color w:val="1A1A2E"/>
          <w:sz w:val="18"/>
        </w:rPr>
        <w:t>UNION ALL</w:t>
      </w:r>
    </w:p>
    <w:p>
      <w:pPr>
        <w:spacing w:after="80"/>
        <w:ind w:left="432"/>
        <w:shd w:val="clear" w:color="auto" w:fill="F2F2F2"/>
      </w:pPr>
      <w:r>
        <w:rPr>
          <w:rFonts w:ascii="Courier New" w:hAnsi="Courier New"/>
          <w:color w:val="1A1A2E"/>
          <w:sz w:val="18"/>
        </w:rPr>
        <w:t>SELECT 'br_policy_auto_vehicle', COUNT(*) FROM insurance_bronze.br_policy_auto_vehicle</w:t>
      </w:r>
    </w:p>
    <w:p>
      <w:pPr>
        <w:spacing w:after="80"/>
        <w:ind w:left="432"/>
        <w:shd w:val="clear" w:color="auto" w:fill="F2F2F2"/>
      </w:pPr>
      <w:r>
        <w:rPr>
          <w:rFonts w:ascii="Courier New" w:hAnsi="Courier New"/>
          <w:color w:val="1A1A2E"/>
          <w:sz w:val="18"/>
        </w:rPr>
        <w:t>UNION ALL</w:t>
      </w:r>
    </w:p>
    <w:p>
      <w:pPr>
        <w:spacing w:after="80"/>
        <w:ind w:left="432"/>
        <w:shd w:val="clear" w:color="auto" w:fill="F2F2F2"/>
      </w:pPr>
      <w:r>
        <w:rPr>
          <w:rFonts w:ascii="Courier New" w:hAnsi="Courier New"/>
          <w:color w:val="1A1A2E"/>
          <w:sz w:val="18"/>
        </w:rPr>
        <w:t>SELECT 'br_object_coverage_information', COUNT(*) FROM insurance_bronze.br_object_coverage_information;</w:t>
      </w:r>
    </w:p>
    <w:p>
      <w:pPr>
        <w:pStyle w:val="Heading2"/>
      </w:pPr>
      <w:r>
        <w:t>8.2  Null key check</w:t>
      </w:r>
    </w:p>
    <w:p>
      <w:pPr>
        <w:spacing w:after="80"/>
        <w:ind w:left="432"/>
        <w:shd w:val="clear" w:color="auto" w:fill="F2F2F2"/>
      </w:pPr>
      <w:r>
        <w:rPr>
          <w:rFonts w:ascii="Courier New" w:hAnsi="Courier New"/>
          <w:color w:val="1A1A2E"/>
          <w:sz w:val="18"/>
        </w:rPr>
        <w:t>SELECT COUNT(*) AS null_txn_ids</w:t>
      </w:r>
    </w:p>
    <w:p>
      <w:pPr>
        <w:spacing w:after="80"/>
        <w:ind w:left="432"/>
        <w:shd w:val="clear" w:color="auto" w:fill="F2F2F2"/>
      </w:pPr>
      <w:r>
        <w:rPr>
          <w:rFonts w:ascii="Courier New" w:hAnsi="Courier New"/>
          <w:color w:val="1A1A2E"/>
          <w:sz w:val="18"/>
        </w:rPr>
        <w:t>FROM insurance_bronze.br_policy_auto_vehicle</w:t>
      </w:r>
    </w:p>
    <w:p>
      <w:pPr>
        <w:spacing w:after="80"/>
        <w:ind w:left="432"/>
        <w:shd w:val="clear" w:color="auto" w:fill="F2F2F2"/>
      </w:pPr>
      <w:r>
        <w:rPr>
          <w:rFonts w:ascii="Courier New" w:hAnsi="Courier New"/>
          <w:color w:val="1A1A2E"/>
          <w:sz w:val="18"/>
        </w:rPr>
        <w:t>WHERE transaction_id IS NULL OR vehicle_id IS NULL;</w:t>
      </w:r>
    </w:p>
    <w:p>
      <w:pPr>
        <w:spacing w:after="120"/>
      </w:pPr>
      <w:r>
        <w:rPr>
          <w:b w:val="0"/>
          <w:i w:val="0"/>
          <w:sz w:val="22"/>
        </w:rPr>
        <w:t>Expected result: 0 null keys.</w:t>
      </w:r>
    </w:p>
    <w:p>
      <w:pPr>
        <w:pStyle w:val="Heading2"/>
      </w:pPr>
      <w:r>
        <w:t>8.3  Coverage totals by policy</w:t>
      </w:r>
    </w:p>
    <w:p>
      <w:pPr>
        <w:spacing w:after="80"/>
        <w:ind w:left="432"/>
        <w:shd w:val="clear" w:color="auto" w:fill="F2F2F2"/>
      </w:pPr>
      <w:r>
        <w:rPr>
          <w:rFonts w:ascii="Courier New" w:hAnsi="Courier New"/>
          <w:color w:val="1A1A2E"/>
          <w:sz w:val="18"/>
        </w:rPr>
        <w:t>SELECT policy_number, coverage_code, SUM(premium) AS total_premium</w:t>
      </w:r>
    </w:p>
    <w:p>
      <w:pPr>
        <w:spacing w:after="80"/>
        <w:ind w:left="432"/>
        <w:shd w:val="clear" w:color="auto" w:fill="F2F2F2"/>
      </w:pPr>
      <w:r>
        <w:rPr>
          <w:rFonts w:ascii="Courier New" w:hAnsi="Courier New"/>
          <w:color w:val="1A1A2E"/>
          <w:sz w:val="18"/>
        </w:rPr>
        <w:t>FROM insurance_bronze.br_object_coverage_information</w:t>
      </w:r>
    </w:p>
    <w:p>
      <w:pPr>
        <w:spacing w:after="80"/>
        <w:ind w:left="432"/>
        <w:shd w:val="clear" w:color="auto" w:fill="F2F2F2"/>
      </w:pPr>
      <w:r>
        <w:rPr>
          <w:rFonts w:ascii="Courier New" w:hAnsi="Courier New"/>
          <w:color w:val="1A1A2E"/>
          <w:sz w:val="18"/>
        </w:rPr>
        <w:t>GROUP BY 1, 2  ORDER BY 1, 2;</w:t>
      </w:r>
    </w:p>
    <w:p>
      <w:pPr>
        <w:pBdr>
          <w:bottom w:val="single" w:sz="6" w:space="1" w:color="1F4E79"/>
        </w:pBdr>
        <w:spacing w:after="160"/>
      </w:pPr>
    </w:p>
    <w:p>
      <w:pPr>
        <w:pStyle w:val="Heading1"/>
      </w:pPr>
      <w:r>
        <w:rPr>
          <w:color w:val="1F4E79"/>
        </w:rPr>
        <w:t>9. Build Silver Layer with dbt (Phase 5)</w:t>
      </w:r>
    </w:p>
    <w:p>
      <w:pPr>
        <w:spacing w:after="120"/>
      </w:pPr>
      <w:r>
        <w:rPr>
          <w:b w:val="0"/>
          <w:i w:val="0"/>
          <w:sz w:val="22"/>
        </w:rPr>
        <w:t>dbt transforms Bronze Iceberg tables into clean, tested Silver analytics models.</w:t>
      </w:r>
    </w:p>
    <w:p>
      <w:pPr>
        <w:pStyle w:val="Heading2"/>
      </w:pPr>
      <w:r>
        <w:t>9.1  Configure dbt profile (one-time)</w:t>
      </w:r>
    </w:p>
    <w:p>
      <w:pPr>
        <w:spacing w:after="120"/>
      </w:pPr>
      <w:r>
        <w:rPr>
          <w:b w:val="0"/>
          <w:i w:val="0"/>
          <w:sz w:val="22"/>
        </w:rPr>
        <w:t>Edit ~/.dbt/profiles.yml and add:</w:t>
      </w:r>
    </w:p>
    <w:p>
      <w:pPr>
        <w:spacing w:after="80"/>
        <w:ind w:left="432"/>
        <w:shd w:val="clear" w:color="auto" w:fill="F2F2F2"/>
      </w:pPr>
      <w:r>
        <w:rPr>
          <w:rFonts w:ascii="Courier New" w:hAnsi="Courier New"/>
          <w:color w:val="1A1A2E"/>
          <w:sz w:val="18"/>
        </w:rPr>
        <w:t>insurance_silver:</w:t>
      </w:r>
    </w:p>
    <w:p>
      <w:pPr>
        <w:spacing w:after="80"/>
        <w:ind w:left="432"/>
        <w:shd w:val="clear" w:color="auto" w:fill="F2F2F2"/>
      </w:pPr>
      <w:r>
        <w:rPr>
          <w:rFonts w:ascii="Courier New" w:hAnsi="Courier New"/>
          <w:color w:val="1A1A2E"/>
          <w:sz w:val="18"/>
        </w:rPr>
        <w:t xml:space="preserve">  target: dev</w:t>
      </w:r>
    </w:p>
    <w:p>
      <w:pPr>
        <w:spacing w:after="80"/>
        <w:ind w:left="432"/>
        <w:shd w:val="clear" w:color="auto" w:fill="F2F2F2"/>
      </w:pPr>
      <w:r>
        <w:rPr>
          <w:rFonts w:ascii="Courier New" w:hAnsi="Courier New"/>
          <w:color w:val="1A1A2E"/>
          <w:sz w:val="18"/>
        </w:rPr>
        <w:t xml:space="preserve">  outputs:</w:t>
      </w:r>
    </w:p>
    <w:p>
      <w:pPr>
        <w:spacing w:after="80"/>
        <w:ind w:left="432"/>
        <w:shd w:val="clear" w:color="auto" w:fill="F2F2F2"/>
      </w:pPr>
      <w:r>
        <w:rPr>
          <w:rFonts w:ascii="Courier New" w:hAnsi="Courier New"/>
          <w:color w:val="1A1A2E"/>
          <w:sz w:val="18"/>
        </w:rPr>
        <w:t xml:space="preserve">    dev:</w:t>
      </w:r>
    </w:p>
    <w:p>
      <w:pPr>
        <w:spacing w:after="80"/>
        <w:ind w:left="432"/>
        <w:shd w:val="clear" w:color="auto" w:fill="F2F2F2"/>
      </w:pPr>
      <w:r>
        <w:rPr>
          <w:rFonts w:ascii="Courier New" w:hAnsi="Courier New"/>
          <w:color w:val="1A1A2E"/>
          <w:sz w:val="18"/>
        </w:rPr>
        <w:t xml:space="preserve">      type: athena</w:t>
      </w:r>
    </w:p>
    <w:p>
      <w:pPr>
        <w:spacing w:after="80"/>
        <w:ind w:left="432"/>
        <w:shd w:val="clear" w:color="auto" w:fill="F2F2F2"/>
      </w:pPr>
      <w:r>
        <w:rPr>
          <w:rFonts w:ascii="Courier New" w:hAnsi="Courier New"/>
          <w:color w:val="1A1A2E"/>
          <w:sz w:val="18"/>
        </w:rPr>
        <w:t xml:space="preserve">      region_name: us-east-1</w:t>
      </w:r>
    </w:p>
    <w:p>
      <w:pPr>
        <w:spacing w:after="80"/>
        <w:ind w:left="432"/>
        <w:shd w:val="clear" w:color="auto" w:fill="F2F2F2"/>
      </w:pPr>
      <w:r>
        <w:rPr>
          <w:rFonts w:ascii="Courier New" w:hAnsi="Courier New"/>
          <w:color w:val="1A1A2E"/>
          <w:sz w:val="18"/>
        </w:rPr>
        <w:t xml:space="preserve">      s3_staging_dir: s3://ins-xml-dev-athena-results/dbt/</w:t>
      </w:r>
    </w:p>
    <w:p>
      <w:pPr>
        <w:spacing w:after="80"/>
        <w:ind w:left="432"/>
        <w:shd w:val="clear" w:color="auto" w:fill="F2F2F2"/>
      </w:pPr>
      <w:r>
        <w:rPr>
          <w:rFonts w:ascii="Courier New" w:hAnsi="Courier New"/>
          <w:color w:val="1A1A2E"/>
          <w:sz w:val="18"/>
        </w:rPr>
        <w:t xml:space="preserve">      database: awsdatacatalog</w:t>
      </w:r>
    </w:p>
    <w:p>
      <w:pPr>
        <w:spacing w:after="80"/>
        <w:ind w:left="432"/>
        <w:shd w:val="clear" w:color="auto" w:fill="F2F2F2"/>
      </w:pPr>
      <w:r>
        <w:rPr>
          <w:rFonts w:ascii="Courier New" w:hAnsi="Courier New"/>
          <w:color w:val="1A1A2E"/>
          <w:sz w:val="18"/>
        </w:rPr>
        <w:t xml:space="preserve">      schema: insurance_silver</w:t>
      </w:r>
    </w:p>
    <w:p>
      <w:pPr>
        <w:spacing w:after="80"/>
        <w:ind w:left="432"/>
        <w:shd w:val="clear" w:color="auto" w:fill="F2F2F2"/>
      </w:pPr>
      <w:r>
        <w:rPr>
          <w:rFonts w:ascii="Courier New" w:hAnsi="Courier New"/>
          <w:color w:val="1A1A2E"/>
          <w:sz w:val="18"/>
        </w:rPr>
        <w:t xml:space="preserve">      work_group: insurance-wg</w:t>
      </w:r>
    </w:p>
    <w:p>
      <w:pPr>
        <w:pStyle w:val="Heading2"/>
      </w:pPr>
      <w:r>
        <w:t>9.2  Navigate to dbt project and test connection</w:t>
      </w:r>
    </w:p>
    <w:p>
      <w:pPr>
        <w:spacing w:after="80"/>
        <w:ind w:left="432"/>
        <w:shd w:val="clear" w:color="auto" w:fill="F2F2F2"/>
      </w:pPr>
      <w:r>
        <w:rPr>
          <w:rFonts w:ascii="Courier New" w:hAnsi="Courier New"/>
          <w:color w:val="1A1A2E"/>
          <w:sz w:val="18"/>
        </w:rPr>
        <w:t>cd dbt/insurance_silver</w:t>
      </w:r>
    </w:p>
    <w:p>
      <w:pPr>
        <w:spacing w:after="80"/>
        <w:ind w:left="432"/>
        <w:shd w:val="clear" w:color="auto" w:fill="F2F2F2"/>
      </w:pPr>
      <w:r>
        <w:rPr>
          <w:rFonts w:ascii="Courier New" w:hAnsi="Courier New"/>
          <w:color w:val="1A1A2E"/>
          <w:sz w:val="18"/>
        </w:rPr>
        <w:t>pip install dbt-athena-community &amp;&amp; dbt deps</w:t>
      </w:r>
    </w:p>
    <w:p>
      <w:pPr>
        <w:pStyle w:val="Heading2"/>
      </w:pPr>
      <w:r>
        <w:t>9.3  Test connection</w:t>
      </w:r>
    </w:p>
    <w:p>
      <w:pPr>
        <w:spacing w:after="80"/>
        <w:ind w:left="432"/>
        <w:shd w:val="clear" w:color="auto" w:fill="F2F2F2"/>
      </w:pPr>
      <w:r>
        <w:rPr>
          <w:rFonts w:ascii="Courier New" w:hAnsi="Courier New"/>
          <w:color w:val="1A1A2E"/>
          <w:sz w:val="18"/>
        </w:rPr>
        <w:t>dbt debug</w:t>
      </w:r>
    </w:p>
    <w:p>
      <w:pPr>
        <w:pStyle w:val="Heading2"/>
      </w:pPr>
      <w:r>
        <w:t>9.4  Run all Silver models</w:t>
      </w:r>
    </w:p>
    <w:p>
      <w:pPr>
        <w:spacing w:after="80"/>
        <w:ind w:left="432"/>
        <w:shd w:val="clear" w:color="auto" w:fill="F2F2F2"/>
      </w:pPr>
      <w:r>
        <w:rPr>
          <w:rFonts w:ascii="Courier New" w:hAnsi="Courier New"/>
          <w:color w:val="1A1A2E"/>
          <w:sz w:val="18"/>
        </w:rPr>
        <w:t>dbt run  # runs staging + silver; add --select silver to run silver only</w:t>
      </w:r>
    </w:p>
    <w:p>
      <w:pPr>
        <w:pStyle w:val="Heading2"/>
      </w:pPr>
      <w:r>
        <w:t>9.5  Run data quality tests</w:t>
      </w:r>
    </w:p>
    <w:p>
      <w:pPr>
        <w:spacing w:after="80"/>
        <w:ind w:left="432"/>
        <w:shd w:val="clear" w:color="auto" w:fill="F2F2F2"/>
      </w:pPr>
      <w:r>
        <w:rPr>
          <w:rFonts w:ascii="Courier New" w:hAnsi="Courier New"/>
          <w:color w:val="1A1A2E"/>
          <w:sz w:val="18"/>
        </w:rPr>
        <w:t>dbt test</w:t>
      </w:r>
    </w:p>
    <w:p>
      <w:pPr>
        <w:spacing w:after="120"/>
      </w:pPr>
      <w:r>
        <w:rPr>
          <w:b w:val="0"/>
          <w:i w:val="0"/>
          <w:sz w:val="22"/>
        </w:rPr>
        <w:t>All not_null, unique, and relationship tests must pass before Silver is considered production-ready.</w:t>
      </w:r>
    </w:p>
    <w:p>
      <w:pPr>
        <w:pStyle w:val="Heading2"/>
      </w:pPr>
      <w:r>
        <w:t>9.6  Generate and serve documentation</w:t>
      </w:r>
    </w:p>
    <w:p>
      <w:pPr>
        <w:spacing w:after="80"/>
        <w:ind w:left="432"/>
        <w:shd w:val="clear" w:color="auto" w:fill="F2F2F2"/>
      </w:pPr>
      <w:r>
        <w:rPr>
          <w:rFonts w:ascii="Courier New" w:hAnsi="Courier New"/>
          <w:color w:val="1A1A2E"/>
          <w:sz w:val="18"/>
        </w:rPr>
        <w:t>dbt docs generate</w:t>
      </w:r>
    </w:p>
    <w:p>
      <w:pPr>
        <w:spacing w:after="80"/>
        <w:ind w:left="432"/>
        <w:shd w:val="clear" w:color="auto" w:fill="F2F2F2"/>
      </w:pPr>
      <w:r>
        <w:rPr>
          <w:rFonts w:ascii="Courier New" w:hAnsi="Courier New"/>
          <w:color w:val="1A1A2E"/>
          <w:sz w:val="18"/>
        </w:rPr>
        <w:t>dbt docs serve</w:t>
      </w:r>
    </w:p>
    <w:p>
      <w:pPr>
        <w:pBdr>
          <w:bottom w:val="single" w:sz="6" w:space="1" w:color="1F4E79"/>
        </w:pBdr>
        <w:spacing w:after="160"/>
      </w:pPr>
    </w:p>
    <w:p>
      <w:pPr>
        <w:pStyle w:val="Heading1"/>
      </w:pPr>
      <w:r>
        <w:rPr>
          <w:color w:val="1F4E79"/>
        </w:rPr>
        <w:t>10. Build Gold Layer with dbt (Phase 6)</w:t>
      </w:r>
    </w:p>
    <w:p>
      <w:pPr>
        <w:spacing w:after="120"/>
      </w:pPr>
      <w:r>
        <w:t xml:space="preserve">Gold models aggregate Silver entities into executive-ready analytics tables. Two Gold models are included: gl_policy_premium_summary (one row per policy with premium breakdown and vehicle counts) and gl_fleet_risk_profile (one row per vehicle with pivoted coverage premiums and driver info).</w:t>
      </w:r>
    </w:p>
    <w:p>
      <w:pPr>
        <w:pStyle w:val="Heading2"/>
      </w:pPr>
      <w:r>
        <w:t>10.1  Run Gold models</w:t>
      </w:r>
    </w:p>
    <w:p>
      <w:pPr>
        <w:spacing w:after="80"/>
        <w:ind w:left="432"/>
        <w:shd w:val="clear" w:color="auto" w:fill="F2F2F2"/>
      </w:pPr>
      <w:r>
        <w:rPr>
          <w:rFonts w:ascii="Courier New" w:hAnsi="Courier New"/>
          <w:color w:val="1A1A2E"/>
          <w:sz w:val="18"/>
        </w:rPr>
        <w:t>dbt run --select gold</w:t>
      </w:r>
    </w:p>
    <w:p>
      <w:pPr>
        <w:pStyle w:val="Heading2"/>
      </w:pPr>
      <w:r>
        <w:t>10.2  Run Gold tests</w:t>
      </w:r>
    </w:p>
    <w:p>
      <w:pPr>
        <w:spacing w:after="80"/>
        <w:ind w:left="432"/>
        <w:shd w:val="clear" w:color="auto" w:fill="F2F2F2"/>
      </w:pPr>
      <w:r>
        <w:rPr>
          <w:rFonts w:ascii="Courier New" w:hAnsi="Courier New"/>
          <w:color w:val="1A1A2E"/>
          <w:sz w:val="18"/>
        </w:rPr>
        <w:t>dbt test --select gold</w:t>
      </w:r>
    </w:p>
    <w:p>
      <w:pPr>
        <w:pStyle w:val="Heading2"/>
      </w:pPr>
      <w:r>
        <w:t>10.3  Generate and serve dbt documentation</w:t>
      </w:r>
    </w:p>
    <w:p>
      <w:pPr>
        <w:spacing w:after="80"/>
        <w:ind w:left="432"/>
        <w:shd w:val="clear" w:color="auto" w:fill="F2F2F2"/>
      </w:pPr>
      <w:r>
        <w:rPr>
          <w:rFonts w:ascii="Courier New" w:hAnsi="Courier New"/>
          <w:color w:val="1A1A2E"/>
          <w:sz w:val="18"/>
        </w:rPr>
        <w:t>dbt docs generate &amp;&amp; dbt docs serve</w:t>
      </w:r>
    </w:p>
    <w:p>
      <w:pPr>
        <w:spacing w:after="120"/>
      </w:pPr>
      <w:r>
        <w:t xml:space="preserve">Open http://localhost:8080 to view the full lineage graph and auto-generated data dictionary covering all 12 models across Staging, Silver, and Gold layers.</w:t>
      </w:r>
    </w:p>
    <w:p>
      <w:pPr>
        <w:pBdr>
          <w:bottom w:val="single" w:sz="6" w:space="1" w:color="1F4E79"/>
        </w:pBdr>
        <w:spacing w:after="160"/>
      </w:pPr>
    </w:p>
    <w:p>
      <w:pPr>
        <w:pStyle w:val="Heading1"/>
      </w:pPr>
      <w:r>
        <w:rPr>
          <w:color w:val="1F4E79"/>
        </w:rPr>
        <w:t>11. Teardown (Destroy All AWS Resources)</w:t>
      </w:r>
    </w:p>
    <w:p>
      <w:pPr>
        <w:spacing w:after="120"/>
      </w:pPr>
      <w:r>
        <w:rPr>
          <w:b w:val="0"/>
          <w:i w:val="0"/>
          <w:color w:val="C00000"/>
          <w:sz w:val="22"/>
        </w:rPr>
        <w:t>Run this only when you want to fully remove all AWS resources to stop incurring charges.</w:t>
      </w:r>
    </w:p>
    <w:p>
      <w:pPr>
        <w:spacing w:after="80"/>
        <w:ind w:left="432"/>
        <w:shd w:val="clear" w:color="auto" w:fill="F2F2F2"/>
      </w:pPr>
      <w:r>
        <w:rPr>
          <w:rFonts w:ascii="Courier New" w:hAnsi="Courier New"/>
          <w:color w:val="1A1A2E"/>
          <w:sz w:val="18"/>
        </w:rPr>
        <w:t>cd infra/terraform</w:t>
      </w:r>
    </w:p>
    <w:p>
      <w:pPr>
        <w:spacing w:after="80"/>
        <w:ind w:left="432"/>
        <w:shd w:val="clear" w:color="auto" w:fill="F2F2F2"/>
      </w:pPr>
      <w:r>
        <w:rPr>
          <w:rFonts w:ascii="Courier New" w:hAnsi="Courier New"/>
          <w:color w:val="1A1A2E"/>
          <w:sz w:val="18"/>
        </w:rPr>
        <w:t>terraform destroy</w:t>
      </w:r>
    </w:p>
    <w:p>
      <w:pPr>
        <w:spacing w:after="120"/>
      </w:pPr>
      <w:r>
        <w:rPr>
          <w:b w:val="0"/>
          <w:i w:val="0"/>
          <w:sz w:val="22"/>
        </w:rPr>
        <w:t>Type "yes" when prompted. Note: S3 buckets with data will block destroy unless force_destroy = true is set. Empty buckets first if needed:</w:t>
      </w:r>
    </w:p>
    <w:p>
      <w:pPr>
        <w:spacing w:after="80"/>
        <w:ind w:left="432"/>
        <w:shd w:val="clear" w:color="auto" w:fill="F2F2F2"/>
      </w:pPr>
      <w:r>
        <w:rPr>
          <w:rFonts w:ascii="Courier New" w:hAnsi="Courier New"/>
          <w:color w:val="1A1A2E"/>
          <w:sz w:val="18"/>
        </w:rPr>
        <w:t>aws s3 rm s3://ins-xml-dev-bronze --recursive</w:t>
      </w:r>
    </w:p>
    <w:p>
      <w:pPr>
        <w:spacing w:after="80"/>
        <w:ind w:left="432"/>
        <w:shd w:val="clear" w:color="auto" w:fill="F2F2F2"/>
      </w:pPr>
      <w:r>
        <w:rPr>
          <w:rFonts w:ascii="Courier New" w:hAnsi="Courier New"/>
          <w:color w:val="1A1A2E"/>
          <w:sz w:val="18"/>
        </w:rPr>
        <w:t>aws s3 rm s3://ins-xml-dev-landing --recursive</w:t>
      </w:r>
    </w:p>
    <w:p>
      <w:pPr>
        <w:spacing w:after="80"/>
        <w:ind w:left="432"/>
        <w:shd w:val="clear" w:color="auto" w:fill="F2F2F2"/>
      </w:pPr>
      <w:r>
        <w:rPr>
          <w:rFonts w:ascii="Courier New" w:hAnsi="Courier New"/>
          <w:color w:val="1A1A2E"/>
          <w:sz w:val="18"/>
        </w:rPr>
        <w:t>aws s3 rm s3://ins-xml-dev-source --recursive</w:t>
      </w:r>
    </w:p>
    <w:p>
      <w:pPr>
        <w:spacing w:after="80"/>
        <w:ind w:left="432"/>
        <w:shd w:val="clear" w:color="auto" w:fill="F2F2F2"/>
      </w:pPr>
      <w:r>
        <w:rPr>
          <w:rFonts w:ascii="Courier New" w:hAnsi="Courier New"/>
          <w:color w:val="1A1A2E"/>
          <w:sz w:val="18"/>
        </w:rPr>
        <w:t>aws s3 rm s3://ins-xml-dev-silver --recursive</w:t>
      </w:r>
    </w:p>
    <w:p>
      <w:pPr>
        <w:spacing w:after="80"/>
        <w:ind w:left="432"/>
        <w:shd w:val="clear" w:color="auto" w:fill="F2F2F2"/>
      </w:pPr>
      <w:r>
        <w:rPr>
          <w:rFonts w:ascii="Courier New" w:hAnsi="Courier New"/>
          <w:color w:val="1A1A2E"/>
          <w:sz w:val="18"/>
        </w:rPr>
        <w:t>aws s3 rm s3://ins-xml-dev-athena-results --recursive</w:t>
      </w:r>
    </w:p>
    <w:p>
      <w:pPr>
        <w:pBdr>
          <w:bottom w:val="single" w:sz="6" w:space="1" w:color="1F4E79"/>
        </w:pBdr>
        <w:spacing w:after="160"/>
      </w:pPr>
    </w:p>
    <w:p>
      <w:pPr>
        <w:pStyle w:val="Heading1"/>
      </w:pPr>
      <w:r>
        <w:rPr>
          <w:color w:val="1F4E79"/>
        </w:rPr>
        <w:t>12. Common Issues and Fixes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F4E79"/>
          </w:tcPr>
          <w:p>
            <w:r>
              <w:rPr>
                <w:b/>
                <w:color w:val="FFFFFF"/>
                <w:sz w:val="20"/>
              </w:rPr>
              <w:t>Symptom</w:t>
            </w:r>
          </w:p>
        </w:tc>
        <w:tc>
          <w:tcPr>
            <w:tcW w:type="dxa" w:w="3024"/>
            <w:shd w:val="clear" w:color="auto" w:fill="1F4E79"/>
          </w:tcPr>
          <w:p>
            <w:r>
              <w:rPr>
                <w:b/>
                <w:color w:val="FFFFFF"/>
                <w:sz w:val="20"/>
              </w:rPr>
              <w:t>Likely Cause</w:t>
            </w:r>
          </w:p>
        </w:tc>
        <w:tc>
          <w:tcPr>
            <w:tcW w:type="dxa" w:w="3600"/>
            <w:shd w:val="clear" w:color="auto" w:fill="1F4E79"/>
          </w:tcPr>
          <w:p>
            <w:r>
              <w:rPr>
                <w:b/>
                <w:color w:val="FFFFFF"/>
                <w:sz w:val="20"/>
              </w:rPr>
              <w:t>Fix</w:t>
            </w:r>
          </w:p>
        </w:tc>
      </w:tr>
      <w:tr>
        <w:tc>
          <w:tcPr>
            <w:tcW w:type="dxa" w:w="3024"/>
          </w:tcPr>
          <w:p>
            <w:r>
              <w:rPr>
                <w:sz w:val="20"/>
              </w:rPr>
              <w:t>terraform: command not found</w:t>
            </w:r>
          </w:p>
        </w:tc>
        <w:tc>
          <w:tcPr>
            <w:tcW w:type="dxa" w:w="3024"/>
          </w:tcPr>
          <w:p>
            <w:r>
              <w:rPr>
                <w:sz w:val="20"/>
              </w:rPr>
              <w:t>Terraform not installed</w:t>
            </w:r>
          </w:p>
        </w:tc>
        <w:tc>
          <w:tcPr>
            <w:tcW w:type="dxa" w:w="3600"/>
          </w:tcPr>
          <w:p>
            <w:r>
              <w:rPr>
                <w:sz w:val="20"/>
              </w:rPr>
              <w:t>brew install hashicorp/tap/terraform</w:t>
            </w:r>
          </w:p>
        </w:tc>
      </w:tr>
      <w:tr>
        <w:tc>
          <w:tcPr>
            <w:tcW w:type="dxa" w:w="3024"/>
          </w:tcPr>
          <w:p>
            <w:r>
              <w:rPr>
                <w:sz w:val="20"/>
              </w:rPr>
              <w:t>aws: command not found</w:t>
            </w:r>
          </w:p>
        </w:tc>
        <w:tc>
          <w:tcPr>
            <w:tcW w:type="dxa" w:w="3024"/>
          </w:tcPr>
          <w:p>
            <w:r>
              <w:rPr>
                <w:sz w:val="20"/>
              </w:rPr>
              <w:t>AWS CLI not installed</w:t>
            </w:r>
          </w:p>
        </w:tc>
        <w:tc>
          <w:tcPr>
            <w:tcW w:type="dxa" w:w="3600"/>
          </w:tcPr>
          <w:p>
            <w:r>
              <w:rPr>
                <w:sz w:val="20"/>
              </w:rPr>
              <w:t>Install AWS CLI v2 from aws.amazon.com</w:t>
            </w:r>
          </w:p>
        </w:tc>
      </w:tr>
      <w:tr>
        <w:tc>
          <w:tcPr>
            <w:tcW w:type="dxa" w:w="3024"/>
          </w:tcPr>
          <w:p>
            <w:r>
              <w:rPr>
                <w:sz w:val="20"/>
              </w:rPr>
              <w:t>AccessDenied on S3</w:t>
            </w:r>
          </w:p>
        </w:tc>
        <w:tc>
          <w:tcPr>
            <w:tcW w:type="dxa" w:w="3024"/>
          </w:tcPr>
          <w:p>
            <w:r>
              <w:rPr>
                <w:sz w:val="20"/>
              </w:rPr>
              <w:t>IAM role missing permission</w:t>
            </w:r>
          </w:p>
        </w:tc>
        <w:tc>
          <w:tcPr>
            <w:tcW w:type="dxa" w:w="3600"/>
          </w:tcPr>
          <w:p>
            <w:r>
              <w:rPr>
                <w:sz w:val="20"/>
              </w:rPr>
              <w:t>Run terraform apply to resync IAM policies</w:t>
            </w:r>
          </w:p>
        </w:tc>
      </w:tr>
      <w:tr>
        <w:tc>
          <w:tcPr>
            <w:tcW w:type="dxa" w:w="3024"/>
          </w:tcPr>
          <w:p>
            <w:r>
              <w:rPr>
                <w:sz w:val="20"/>
              </w:rPr>
              <w:t>DataSync access test failed</w:t>
            </w:r>
          </w:p>
        </w:tc>
        <w:tc>
          <w:tcPr>
            <w:tcW w:type="dxa" w:w="3024"/>
          </w:tcPr>
          <w:p>
            <w:r>
              <w:rPr>
                <w:sz w:val="20"/>
              </w:rPr>
              <w:t>IAM policy not propagated yet</w:t>
            </w:r>
          </w:p>
        </w:tc>
        <w:tc>
          <w:tcPr>
            <w:tcW w:type="dxa" w:w="3600"/>
          </w:tcPr>
          <w:p>
            <w:r>
              <w:rPr>
                <w:sz w:val="20"/>
              </w:rPr>
              <w:t>Wait 30 seconds and rerun terraform apply</w:t>
            </w:r>
          </w:p>
        </w:tc>
      </w:tr>
      <w:tr>
        <w:tc>
          <w:tcPr>
            <w:tcW w:type="dxa" w:w="3024"/>
          </w:tcPr>
          <w:p>
            <w:r>
              <w:rPr>
                <w:sz w:val="20"/>
              </w:rPr>
              <w:t>Glue job FAILED — XML parse error</w:t>
            </w:r>
          </w:p>
        </w:tc>
        <w:tc>
          <w:tcPr>
            <w:tcW w:type="dxa" w:w="3024"/>
          </w:tcPr>
          <w:p>
            <w:r>
              <w:rPr>
                <w:sz w:val="20"/>
              </w:rPr>
              <w:t>Malformed XML in source file</w:t>
            </w:r>
          </w:p>
        </w:tc>
        <w:tc>
          <w:tcPr>
            <w:tcW w:type="dxa" w:w="3600"/>
          </w:tcPr>
          <w:p>
            <w:r>
              <w:rPr>
                <w:sz w:val="20"/>
              </w:rPr>
              <w:t>Validate XML locally with: python3 -c "from lxml import etree; etree.parse('file.xml')"</w:t>
            </w:r>
          </w:p>
        </w:tc>
      </w:tr>
      <w:tr>
        <w:tc>
          <w:tcPr>
            <w:tcW w:type="dxa" w:w="3024"/>
          </w:tcPr>
          <w:p>
            <w:r>
              <w:rPr>
                <w:sz w:val="20"/>
              </w:rPr>
              <w:t>Athena: table not found</w:t>
            </w:r>
          </w:p>
        </w:tc>
        <w:tc>
          <w:tcPr>
            <w:tcW w:type="dxa" w:w="3024"/>
          </w:tcPr>
          <w:p>
            <w:r>
              <w:rPr>
                <w:sz w:val="20"/>
              </w:rPr>
              <w:t>Glue job did not complete successfully</w:t>
            </w:r>
          </w:p>
        </w:tc>
        <w:tc>
          <w:tcPr>
            <w:tcW w:type="dxa" w:w="3600"/>
          </w:tcPr>
          <w:p>
            <w:r>
              <w:rPr>
                <w:sz w:val="20"/>
              </w:rPr>
              <w:t>Check CloudWatch logs and rerun the job</w:t>
            </w:r>
          </w:p>
        </w:tc>
      </w:tr>
      <w:tr>
        <w:tc>
          <w:tcPr>
            <w:tcW w:type="dxa" w:w="3024"/>
          </w:tcPr>
          <w:p>
            <w:r>
              <w:rPr>
                <w:sz w:val="20"/>
              </w:rPr>
              <w:t>dbt connection error</w:t>
            </w:r>
          </w:p>
        </w:tc>
        <w:tc>
          <w:tcPr>
            <w:tcW w:type="dxa" w:w="3024"/>
          </w:tcPr>
          <w:p>
            <w:r>
              <w:rPr>
                <w:sz w:val="20"/>
              </w:rPr>
              <w:t>Profile misconfigured</w:t>
            </w:r>
          </w:p>
        </w:tc>
        <w:tc>
          <w:tcPr>
            <w:tcW w:type="dxa" w:w="3600"/>
          </w:tcPr>
          <w:p>
            <w:r>
              <w:rPr>
                <w:sz w:val="20"/>
              </w:rPr>
              <w:t>Run dbt debug and check ~/.dbt/profiles.yml</w:t>
            </w:r>
          </w:p>
        </w:tc>
      </w:tr>
    </w:tbl>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Insurance XML Platform — Runbook  |  March 28,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