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Inter" w:hAnsi="Inter" w:cs="Inter"/>
          <w:b w:val="0"/>
          <w:i w:val="0"/>
          <w:color w:val="C5A54E"/>
          <w:sz w:val="22"/>
        </w:rPr>
        <w:t>BANGSAMORO AUTONOMOUS REGION IN MUSLIM MINDANAO</w:t>
      </w:r>
    </w:p>
    <w:p/>
    <w:p/>
    <w:p>
      <w:pPr>
        <w:jc w:val="center"/>
      </w:pPr>
      <w:r>
        <w:rPr>
          <w:rFonts w:ascii="Inter" w:hAnsi="Inter" w:cs="Inter"/>
          <w:b/>
          <w:i w:val="0"/>
          <w:color w:val="1B365D"/>
          <w:sz w:val="56"/>
        </w:rPr>
        <w:t>STRATEGIC PLANNING</w:t>
      </w:r>
    </w:p>
    <w:p>
      <w:pPr>
        <w:jc w:val="center"/>
      </w:pPr>
      <w:r>
        <w:rPr>
          <w:rFonts w:ascii="Inter" w:hAnsi="Inter" w:cs="Inter"/>
          <w:b/>
          <w:i w:val="0"/>
          <w:color w:val="1B365D"/>
          <w:sz w:val="56"/>
        </w:rPr>
        <w:t>GUIDEBOOK</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A Practitioner's Guide to the 10-Point Strategic</w:t>
        <w:br/>
        <w:t>Planning Framework for Ministries, Offices, and Agencies</w:t>
      </w:r>
    </w:p>
    <w:p/>
    <w:p/>
    <w:p/>
    <w:p/>
    <w:p>
      <w:pPr>
        <w:jc w:val="center"/>
      </w:pPr>
      <w:r>
        <w:rPr>
          <w:rFonts w:ascii="Inter" w:hAnsi="Inter" w:cs="Inter"/>
          <w:b/>
          <w:i w:val="0"/>
          <w:color w:val="1B365D"/>
          <w:sz w:val="24"/>
        </w:rPr>
        <w:t>Saidamen R. Mambayao</w:t>
      </w:r>
    </w:p>
    <w:p/>
    <w:p/>
    <w:p>
      <w:pPr>
        <w:jc w:val="center"/>
      </w:pPr>
      <w:r>
        <w:rPr>
          <w:rFonts w:ascii="Inter" w:hAnsi="Inter" w:cs="Inter"/>
          <w:b/>
          <w:i w:val="0"/>
          <w:color w:val="1B365D"/>
          <w:sz w:val="24"/>
        </w:rPr>
        <w:t>Bangsamoro Government</w:t>
      </w:r>
    </w:p>
    <w:p>
      <w:pPr>
        <w:jc w:val="center"/>
      </w:pPr>
      <w:r>
        <w:rPr>
          <w:rFonts w:ascii="Inter" w:hAnsi="Inter" w:cs="Inter"/>
          <w:b w:val="0"/>
          <w:i w:val="0"/>
          <w:color w:val="2D2D2D"/>
          <w:sz w:val="22"/>
        </w:rPr>
        <w:t>Bangsamoro Government Center, Cotabato City</w:t>
      </w:r>
    </w:p>
    <w:p>
      <w:pPr>
        <w:jc w:val="center"/>
      </w:pPr>
      <w:r>
        <w:rPr>
          <w:rFonts w:ascii="Inter" w:hAnsi="Inter" w:cs="Inter"/>
          <w:b w:val="0"/>
          <w:i w:val="0"/>
          <w:color w:val="2D2D2D"/>
          <w:sz w:val="22"/>
        </w:rPr>
        <w:t>Bangsamoro Autonomous Region in Muslim Mindanao</w:t>
      </w:r>
    </w:p>
    <w:p>
      <w:r>
        <w:br w:type="page"/>
      </w:r>
    </w:p>
    <w:p>
      <w:pPr>
        <w:pStyle w:val="Heading1"/>
      </w:pPr>
      <w:r>
        <w:rPr>
          <w:rFonts w:ascii="Inter" w:hAnsi="Inter" w:cs="Inter"/>
          <w:b/>
          <w:i w:val="0"/>
          <w:color w:val="1B365D"/>
          <w:sz w:val="44"/>
        </w:rPr>
        <w:t>STRATEGIC PLANNING GUIDEBOOK FOR THE BANGSAMORO GOVERNMENT</w:t>
      </w:r>
    </w:p>
    <w:p>
      <w:pPr>
        <w:pStyle w:val="Heading2"/>
      </w:pPr>
      <w:r>
        <w:rPr>
          <w:rFonts w:ascii="Inter" w:hAnsi="Inter" w:cs="Inter"/>
          <w:b/>
          <w:i w:val="0"/>
          <w:color w:val="1B365D"/>
          <w:sz w:val="32"/>
        </w:rPr>
        <w:t>A Practitioner's Guide to the 10-Point Strategic Planning Framework for Ministries, Offices, and Agencies</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Introduction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How to Use This Guidebook</w:t>
      </w:r>
    </w:p>
    <w:p>
      <w:pPr>
        <w:spacing w:after="120" w:line="276" w:lineRule="auto"/>
      </w:pPr>
      <w:r>
        <w:rPr>
          <w:rFonts w:ascii="Inter" w:hAnsi="Inter" w:cs="Inter"/>
          <w:b w:val="0"/>
          <w:i w:val="0"/>
          <w:color w:val="2D2D2D"/>
          <w:sz w:val="22"/>
        </w:rPr>
        <w:t xml:space="preserve">    The Problem This Guidebook Solves</w:t>
      </w:r>
    </w:p>
    <w:p>
      <w:pPr>
        <w:spacing w:after="120" w:line="276" w:lineRule="auto"/>
      </w:pPr>
      <w:r>
        <w:rPr>
          <w:rFonts w:ascii="Inter" w:hAnsi="Inter" w:cs="Inter"/>
          <w:b w:val="0"/>
          <w:i w:val="0"/>
          <w:color w:val="2D2D2D"/>
          <w:sz w:val="22"/>
        </w:rPr>
        <w:t xml:space="preserve">    What Is Strategic Planning in BARMM?</w:t>
      </w:r>
    </w:p>
    <w:p>
      <w:pPr>
        <w:spacing w:after="120" w:line="276" w:lineRule="auto"/>
      </w:pPr>
      <w:r>
        <w:rPr>
          <w:rFonts w:ascii="Inter" w:hAnsi="Inter" w:cs="Inter"/>
          <w:b w:val="0"/>
          <w:i w:val="0"/>
          <w:color w:val="2D2D2D"/>
          <w:sz w:val="22"/>
        </w:rPr>
        <w:t xml:space="preserve">    The 10-Point Strategic Planning Framework</w:t>
      </w:r>
    </w:p>
    <w:p>
      <w:pPr>
        <w:spacing w:after="120" w:line="276" w:lineRule="auto"/>
      </w:pPr>
      <w:r>
        <w:rPr>
          <w:rFonts w:ascii="Inter" w:hAnsi="Inter" w:cs="Inter"/>
          <w:b w:val="0"/>
          <w:i w:val="0"/>
          <w:color w:val="2D2D2D"/>
          <w:sz w:val="22"/>
        </w:rPr>
        <w:t xml:space="preserve">    What You Will Produce</w:t>
      </w:r>
    </w:p>
    <w:p>
      <w:pPr>
        <w:spacing w:after="120" w:line="276" w:lineRule="auto"/>
      </w:pPr>
      <w:r>
        <w:rPr>
          <w:rFonts w:ascii="Inter" w:hAnsi="Inter" w:cs="Inter"/>
          <w:b w:val="0"/>
          <w:i w:val="0"/>
          <w:color w:val="2D2D2D"/>
          <w:sz w:val="22"/>
        </w:rPr>
        <w:t xml:space="preserve">    Who Does What</w:t>
      </w:r>
    </w:p>
    <w:p>
      <w:pPr>
        <w:spacing w:after="120" w:line="276" w:lineRule="auto"/>
      </w:pPr>
      <w:r>
        <w:rPr>
          <w:rFonts w:ascii="Inter" w:hAnsi="Inter" w:cs="Inter"/>
          <w:b w:val="0"/>
          <w:i w:val="0"/>
          <w:color w:val="2D2D2D"/>
          <w:sz w:val="22"/>
        </w:rPr>
        <w:t xml:space="preserve">    The Planning Calendar</w:t>
      </w:r>
    </w:p>
    <w:p>
      <w:pPr>
        <w:spacing w:after="120" w:line="276" w:lineRule="auto"/>
      </w:pPr>
      <w:r>
        <w:rPr>
          <w:rFonts w:ascii="Inter" w:hAnsi="Inter" w:cs="Inter"/>
          <w:b w:val="0"/>
          <w:i w:val="0"/>
          <w:color w:val="2D2D2D"/>
          <w:sz w:val="22"/>
        </w:rPr>
        <w:t xml:space="preserve">    How to Read This Guidebook</w:t>
      </w:r>
    </w:p>
    <w:p>
      <w:pPr>
        <w:spacing w:after="120" w:line="276" w:lineRule="auto"/>
      </w:pPr>
      <w:r>
        <w:rPr>
          <w:rFonts w:ascii="Inter" w:hAnsi="Inter" w:cs="Inter"/>
          <w:b w:val="0"/>
          <w:i w:val="0"/>
          <w:color w:val="2D2D2D"/>
          <w:sz w:val="22"/>
        </w:rPr>
      </w:r>
      <w:r>
        <w:rPr>
          <w:rFonts w:ascii="Inter" w:hAnsi="Inter" w:cs="Inter"/>
          <w:b/>
          <w:i w:val="0"/>
          <w:color w:val="2D2D2D"/>
          <w:sz w:val="22"/>
        </w:rPr>
        <w:t>Chapter 1 — Introduction to Strategic Planning in BARMM</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How to Use This Guidebook</w:t>
      </w:r>
    </w:p>
    <w:p>
      <w:pPr>
        <w:spacing w:after="120" w:line="276" w:lineRule="auto"/>
      </w:pPr>
      <w:r>
        <w:rPr>
          <w:rFonts w:ascii="Inter" w:hAnsi="Inter" w:cs="Inter"/>
          <w:b w:val="0"/>
          <w:i w:val="0"/>
          <w:color w:val="2D2D2D"/>
          <w:sz w:val="22"/>
        </w:rPr>
        <w:t xml:space="preserve">    1.2 The Problem This Guidebook Solves</w:t>
      </w:r>
    </w:p>
    <w:p>
      <w:pPr>
        <w:spacing w:after="120" w:line="276" w:lineRule="auto"/>
      </w:pPr>
      <w:r>
        <w:rPr>
          <w:rFonts w:ascii="Inter" w:hAnsi="Inter" w:cs="Inter"/>
          <w:b w:val="0"/>
          <w:i w:val="0"/>
          <w:color w:val="2D2D2D"/>
          <w:sz w:val="22"/>
        </w:rPr>
        <w:t xml:space="preserve">    1.3 What Is Strategic Planning in BARMM?</w:t>
      </w:r>
    </w:p>
    <w:p>
      <w:pPr>
        <w:spacing w:after="120" w:line="276" w:lineRule="auto"/>
      </w:pPr>
      <w:r>
        <w:rPr>
          <w:rFonts w:ascii="Inter" w:hAnsi="Inter" w:cs="Inter"/>
          <w:b w:val="0"/>
          <w:i w:val="0"/>
          <w:color w:val="2D2D2D"/>
          <w:sz w:val="22"/>
        </w:rPr>
        <w:t xml:space="preserve">    1.4 The 10-Point Strategic Planning Framework</w:t>
      </w:r>
    </w:p>
    <w:p>
      <w:pPr>
        <w:spacing w:after="120" w:line="276" w:lineRule="auto"/>
      </w:pPr>
      <w:r>
        <w:rPr>
          <w:rFonts w:ascii="Inter" w:hAnsi="Inter" w:cs="Inter"/>
          <w:b w:val="0"/>
          <w:i w:val="0"/>
          <w:color w:val="2D2D2D"/>
          <w:sz w:val="22"/>
        </w:rPr>
        <w:t xml:space="preserve">    1.5 What You Will Produce</w:t>
      </w:r>
    </w:p>
    <w:p>
      <w:pPr>
        <w:spacing w:after="120" w:line="276" w:lineRule="auto"/>
      </w:pPr>
      <w:r>
        <w:rPr>
          <w:rFonts w:ascii="Inter" w:hAnsi="Inter" w:cs="Inter"/>
          <w:b w:val="0"/>
          <w:i w:val="0"/>
          <w:color w:val="2D2D2D"/>
          <w:sz w:val="22"/>
        </w:rPr>
        <w:t xml:space="preserve">    1.6 Who Does What</w:t>
      </w:r>
    </w:p>
    <w:p>
      <w:pPr>
        <w:spacing w:after="120" w:line="276" w:lineRule="auto"/>
      </w:pPr>
      <w:r>
        <w:rPr>
          <w:rFonts w:ascii="Inter" w:hAnsi="Inter" w:cs="Inter"/>
          <w:b w:val="0"/>
          <w:i w:val="0"/>
          <w:color w:val="2D2D2D"/>
          <w:sz w:val="22"/>
        </w:rPr>
        <w:t xml:space="preserve">    1.7 The Planning Calendar</w:t>
      </w:r>
    </w:p>
    <w:p>
      <w:pPr>
        <w:spacing w:after="120" w:line="276" w:lineRule="auto"/>
      </w:pPr>
      <w:r>
        <w:rPr>
          <w:rFonts w:ascii="Inter" w:hAnsi="Inter" w:cs="Inter"/>
          <w:b w:val="0"/>
          <w:i w:val="0"/>
          <w:color w:val="2D2D2D"/>
          <w:sz w:val="22"/>
        </w:rPr>
        <w:t xml:space="preserve">    1.8 How to Read This Guidebook</w:t>
      </w:r>
    </w:p>
    <w:p>
      <w:pPr>
        <w:spacing w:after="120" w:line="276" w:lineRule="auto"/>
      </w:pPr>
      <w:r>
        <w:rPr>
          <w:rFonts w:ascii="Inter" w:hAnsi="Inter" w:cs="Inter"/>
          <w:b w:val="0"/>
          <w:i w:val="0"/>
          <w:color w:val="2D2D2D"/>
          <w:sz w:val="22"/>
        </w:rPr>
      </w:r>
      <w:r>
        <w:rPr>
          <w:rFonts w:ascii="Inter" w:hAnsi="Inter" w:cs="Inter"/>
          <w:b/>
          <w:i w:val="0"/>
          <w:color w:val="2D2D2D"/>
          <w:sz w:val="22"/>
        </w:rPr>
        <w:t>Chapter 2 — Establishing Your Legal Mandate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1: Legal Alignment)*</w:t>
      </w:r>
    </w:p>
    <w:p>
      <w:pPr>
        <w:spacing w:after="120" w:line="276" w:lineRule="auto"/>
      </w:pPr>
      <w:r>
        <w:rPr>
          <w:rFonts w:ascii="Inter" w:hAnsi="Inter" w:cs="Inter"/>
          <w:b w:val="0"/>
          <w:i w:val="0"/>
          <w:color w:val="2D2D2D"/>
          <w:sz w:val="22"/>
        </w:rPr>
        <w:t xml:space="preserve">    2.1 Purpose</w:t>
      </w:r>
    </w:p>
    <w:p>
      <w:pPr>
        <w:spacing w:after="120" w:line="276" w:lineRule="auto"/>
      </w:pPr>
      <w:r>
        <w:rPr>
          <w:rFonts w:ascii="Inter" w:hAnsi="Inter" w:cs="Inter"/>
          <w:b w:val="0"/>
          <w:i w:val="0"/>
          <w:color w:val="2D2D2D"/>
          <w:sz w:val="22"/>
        </w:rPr>
        <w:t xml:space="preserve">    2.2 Key Concepts</w:t>
      </w:r>
    </w:p>
    <w:p>
      <w:pPr>
        <w:spacing w:after="120" w:line="276" w:lineRule="auto"/>
      </w:pPr>
      <w:r>
        <w:rPr>
          <w:rFonts w:ascii="Inter" w:hAnsi="Inter" w:cs="Inter"/>
          <w:b w:val="0"/>
          <w:i w:val="0"/>
          <w:color w:val="2D2D2D"/>
          <w:sz w:val="22"/>
        </w:rPr>
        <w:t xml:space="preserve">    2.3 Step-by-Step Instructions</w:t>
      </w:r>
    </w:p>
    <w:p>
      <w:pPr>
        <w:spacing w:after="120" w:line="276" w:lineRule="auto"/>
      </w:pPr>
      <w:r>
        <w:rPr>
          <w:rFonts w:ascii="Inter" w:hAnsi="Inter" w:cs="Inter"/>
          <w:b w:val="0"/>
          <w:i w:val="0"/>
          <w:color w:val="2D2D2D"/>
          <w:sz w:val="22"/>
        </w:rPr>
        <w:t xml:space="preserve">        2.3.1 Identify Your Enabling Law or Executive Order</w:t>
      </w:r>
    </w:p>
    <w:p>
      <w:pPr>
        <w:spacing w:after="120" w:line="276" w:lineRule="auto"/>
      </w:pPr>
      <w:r>
        <w:rPr>
          <w:rFonts w:ascii="Inter" w:hAnsi="Inter" w:cs="Inter"/>
          <w:b w:val="0"/>
          <w:i w:val="0"/>
          <w:color w:val="2D2D2D"/>
          <w:sz w:val="22"/>
        </w:rPr>
        <w:t xml:space="preserve">        2.3.2 Extract Mandated Functions and Powers</w:t>
      </w:r>
    </w:p>
    <w:p>
      <w:pPr>
        <w:spacing w:after="120" w:line="276" w:lineRule="auto"/>
      </w:pPr>
      <w:r>
        <w:rPr>
          <w:rFonts w:ascii="Inter" w:hAnsi="Inter" w:cs="Inter"/>
          <w:b w:val="0"/>
          <w:i w:val="0"/>
          <w:color w:val="2D2D2D"/>
          <w:sz w:val="22"/>
        </w:rPr>
        <w:t xml:space="preserve">        2.3.3 Map Mandated Functions to Organizational Units</w:t>
      </w:r>
    </w:p>
    <w:p>
      <w:pPr>
        <w:spacing w:after="120" w:line="276" w:lineRule="auto"/>
      </w:pPr>
      <w:r>
        <w:rPr>
          <w:rFonts w:ascii="Inter" w:hAnsi="Inter" w:cs="Inter"/>
          <w:b w:val="0"/>
          <w:i w:val="0"/>
          <w:color w:val="2D2D2D"/>
          <w:sz w:val="22"/>
        </w:rPr>
        <w:t xml:space="preserve">        2.3.4 Identify Gaps Between Mandate and Current Operations</w:t>
      </w:r>
    </w:p>
    <w:p>
      <w:pPr>
        <w:spacing w:after="120" w:line="276" w:lineRule="auto"/>
      </w:pPr>
      <w:r>
        <w:rPr>
          <w:rFonts w:ascii="Inter" w:hAnsi="Inter" w:cs="Inter"/>
          <w:b w:val="0"/>
          <w:i w:val="0"/>
          <w:color w:val="2D2D2D"/>
          <w:sz w:val="22"/>
        </w:rPr>
        <w:t xml:space="preserve">    2.4 Worked Example</w:t>
      </w:r>
    </w:p>
    <w:p>
      <w:pPr>
        <w:spacing w:after="120" w:line="276" w:lineRule="auto"/>
      </w:pPr>
      <w:r>
        <w:rPr>
          <w:rFonts w:ascii="Inter" w:hAnsi="Inter" w:cs="Inter"/>
          <w:b w:val="0"/>
          <w:i w:val="0"/>
          <w:color w:val="2D2D2D"/>
          <w:sz w:val="22"/>
        </w:rPr>
        <w:t xml:space="preserve">    2.5 For Decision-Makers</w:t>
      </w:r>
    </w:p>
    <w:p>
      <w:pPr>
        <w:spacing w:after="120" w:line="276" w:lineRule="auto"/>
      </w:pPr>
      <w:r>
        <w:rPr>
          <w:rFonts w:ascii="Inter" w:hAnsi="Inter" w:cs="Inter"/>
          <w:b w:val="0"/>
          <w:i w:val="0"/>
          <w:color w:val="2D2D2D"/>
          <w:sz w:val="22"/>
        </w:rPr>
        <w:t xml:space="preserve">    2.6 Common Pitfalls</w:t>
      </w:r>
    </w:p>
    <w:p>
      <w:pPr>
        <w:spacing w:after="120" w:line="276" w:lineRule="auto"/>
      </w:pPr>
      <w:r>
        <w:rPr>
          <w:rFonts w:ascii="Inter" w:hAnsi="Inter" w:cs="Inter"/>
          <w:b w:val="0"/>
          <w:i w:val="0"/>
          <w:color w:val="2D2D2D"/>
          <w:sz w:val="22"/>
        </w:rPr>
        <w:t xml:space="preserve">    2.7 Template: Legal Mandate Matrix</w:t>
      </w:r>
    </w:p>
    <w:p>
      <w:pPr>
        <w:spacing w:after="120" w:line="276" w:lineRule="auto"/>
      </w:pPr>
      <w:r>
        <w:rPr>
          <w:rFonts w:ascii="Inter" w:hAnsi="Inter" w:cs="Inter"/>
          <w:b w:val="0"/>
          <w:i w:val="0"/>
          <w:color w:val="2D2D2D"/>
          <w:sz w:val="22"/>
        </w:rPr>
        <w:t xml:space="preserve">    2.8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3 — Aligning with the Bangsamoro Development Plan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2: BDP Alignment)*</w:t>
      </w:r>
    </w:p>
    <w:p>
      <w:pPr>
        <w:spacing w:after="120" w:line="276" w:lineRule="auto"/>
      </w:pPr>
      <w:r>
        <w:rPr>
          <w:rFonts w:ascii="Inter" w:hAnsi="Inter" w:cs="Inter"/>
          <w:b w:val="0"/>
          <w:i w:val="0"/>
          <w:color w:val="2D2D2D"/>
          <w:sz w:val="22"/>
        </w:rPr>
        <w:t xml:space="preserve">    3.1 Purpose</w:t>
      </w:r>
    </w:p>
    <w:p>
      <w:pPr>
        <w:spacing w:after="120" w:line="276" w:lineRule="auto"/>
      </w:pPr>
      <w:r>
        <w:rPr>
          <w:rFonts w:ascii="Inter" w:hAnsi="Inter" w:cs="Inter"/>
          <w:b w:val="0"/>
          <w:i w:val="0"/>
          <w:color w:val="2D2D2D"/>
          <w:sz w:val="22"/>
        </w:rPr>
        <w:t xml:space="preserve">    3.2 Key Concepts</w:t>
      </w:r>
    </w:p>
    <w:p>
      <w:pPr>
        <w:spacing w:after="120" w:line="276" w:lineRule="auto"/>
      </w:pPr>
      <w:r>
        <w:rPr>
          <w:rFonts w:ascii="Inter" w:hAnsi="Inter" w:cs="Inter"/>
          <w:b w:val="0"/>
          <w:i w:val="0"/>
          <w:color w:val="2D2D2D"/>
          <w:sz w:val="22"/>
        </w:rPr>
        <w:t xml:space="preserve">    3.3 Step-by-Step Instructions</w:t>
      </w:r>
    </w:p>
    <w:p>
      <w:pPr>
        <w:spacing w:after="120" w:line="276" w:lineRule="auto"/>
      </w:pPr>
      <w:r>
        <w:rPr>
          <w:rFonts w:ascii="Inter" w:hAnsi="Inter" w:cs="Inter"/>
          <w:b w:val="0"/>
          <w:i w:val="0"/>
          <w:color w:val="2D2D2D"/>
          <w:sz w:val="22"/>
        </w:rPr>
        <w:t xml:space="preserve">        3.3.1 Understand the BDP 2023-2028 Structure</w:t>
      </w:r>
    </w:p>
    <w:p>
      <w:pPr>
        <w:spacing w:after="120" w:line="276" w:lineRule="auto"/>
      </w:pPr>
      <w:r>
        <w:rPr>
          <w:rFonts w:ascii="Inter" w:hAnsi="Inter" w:cs="Inter"/>
          <w:b w:val="0"/>
          <w:i w:val="0"/>
          <w:color w:val="2D2D2D"/>
          <w:sz w:val="22"/>
        </w:rPr>
        <w:t xml:space="preserve">        3.3.2 Identify Relevant BDP Goals, Strategies, and Targets</w:t>
      </w:r>
    </w:p>
    <w:p>
      <w:pPr>
        <w:spacing w:after="120" w:line="276" w:lineRule="auto"/>
      </w:pPr>
      <w:r>
        <w:rPr>
          <w:rFonts w:ascii="Inter" w:hAnsi="Inter" w:cs="Inter"/>
          <w:b w:val="0"/>
          <w:i w:val="0"/>
          <w:color w:val="2D2D2D"/>
          <w:sz w:val="22"/>
        </w:rPr>
        <w:t xml:space="preserve">        3.3.3 Map Your Mandate to BDP Chapters</w:t>
      </w:r>
    </w:p>
    <w:p>
      <w:pPr>
        <w:spacing w:after="120" w:line="276" w:lineRule="auto"/>
      </w:pPr>
      <w:r>
        <w:rPr>
          <w:rFonts w:ascii="Inter" w:hAnsi="Inter" w:cs="Inter"/>
          <w:b w:val="0"/>
          <w:i w:val="0"/>
          <w:color w:val="2D2D2D"/>
          <w:sz w:val="22"/>
        </w:rPr>
        <w:t xml:space="preserve">        3.3.4 Document BDP Alignment for Each Program or Function</w:t>
      </w:r>
    </w:p>
    <w:p>
      <w:pPr>
        <w:spacing w:after="120" w:line="276" w:lineRule="auto"/>
      </w:pPr>
      <w:r>
        <w:rPr>
          <w:rFonts w:ascii="Inter" w:hAnsi="Inter" w:cs="Inter"/>
          <w:b w:val="0"/>
          <w:i w:val="0"/>
          <w:color w:val="2D2D2D"/>
          <w:sz w:val="22"/>
        </w:rPr>
        <w:t xml:space="preserve">    3.4 Worked Example</w:t>
      </w:r>
    </w:p>
    <w:p>
      <w:pPr>
        <w:spacing w:after="120" w:line="276" w:lineRule="auto"/>
      </w:pPr>
      <w:r>
        <w:rPr>
          <w:rFonts w:ascii="Inter" w:hAnsi="Inter" w:cs="Inter"/>
          <w:b w:val="0"/>
          <w:i w:val="0"/>
          <w:color w:val="2D2D2D"/>
          <w:sz w:val="22"/>
        </w:rPr>
        <w:t xml:space="preserve">    3.5 For Decision-Makers</w:t>
      </w:r>
    </w:p>
    <w:p>
      <w:pPr>
        <w:spacing w:after="120" w:line="276" w:lineRule="auto"/>
      </w:pPr>
      <w:r>
        <w:rPr>
          <w:rFonts w:ascii="Inter" w:hAnsi="Inter" w:cs="Inter"/>
          <w:b w:val="0"/>
          <w:i w:val="0"/>
          <w:color w:val="2D2D2D"/>
          <w:sz w:val="22"/>
        </w:rPr>
        <w:t xml:space="preserve">    3.6 Common Pitfalls</w:t>
      </w:r>
    </w:p>
    <w:p>
      <w:pPr>
        <w:spacing w:after="120" w:line="276" w:lineRule="auto"/>
      </w:pPr>
      <w:r>
        <w:rPr>
          <w:rFonts w:ascii="Inter" w:hAnsi="Inter" w:cs="Inter"/>
          <w:b w:val="0"/>
          <w:i w:val="0"/>
          <w:color w:val="2D2D2D"/>
          <w:sz w:val="22"/>
        </w:rPr>
        <w:t xml:space="preserve">    3.7 Template: BDP Alignment Map</w:t>
      </w:r>
    </w:p>
    <w:p>
      <w:pPr>
        <w:spacing w:after="120" w:line="276" w:lineRule="auto"/>
      </w:pPr>
      <w:r>
        <w:rPr>
          <w:rFonts w:ascii="Inter" w:hAnsi="Inter" w:cs="Inter"/>
          <w:b w:val="0"/>
          <w:i w:val="0"/>
          <w:color w:val="2D2D2D"/>
          <w:sz w:val="22"/>
        </w:rPr>
        <w:t xml:space="preserve">    3.8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4 — Mapping to the Priority Agenda</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3: Priority Agenda)*</w:t>
      </w:r>
    </w:p>
    <w:p>
      <w:pPr>
        <w:spacing w:after="120" w:line="276" w:lineRule="auto"/>
      </w:pPr>
      <w:r>
        <w:rPr>
          <w:rFonts w:ascii="Inter" w:hAnsi="Inter" w:cs="Inter"/>
          <w:b w:val="0"/>
          <w:i w:val="0"/>
          <w:color w:val="2D2D2D"/>
          <w:sz w:val="22"/>
        </w:rPr>
        <w:t xml:space="preserve">    4.1 Purpose</w:t>
      </w:r>
    </w:p>
    <w:p>
      <w:pPr>
        <w:spacing w:after="120" w:line="276" w:lineRule="auto"/>
      </w:pPr>
      <w:r>
        <w:rPr>
          <w:rFonts w:ascii="Inter" w:hAnsi="Inter" w:cs="Inter"/>
          <w:b w:val="0"/>
          <w:i w:val="0"/>
          <w:color w:val="2D2D2D"/>
          <w:sz w:val="22"/>
        </w:rPr>
        <w:t xml:space="preserve">    4.2 Key Concepts</w:t>
      </w:r>
    </w:p>
    <w:p>
      <w:pPr>
        <w:spacing w:after="120" w:line="276" w:lineRule="auto"/>
      </w:pPr>
      <w:r>
        <w:rPr>
          <w:rFonts w:ascii="Inter" w:hAnsi="Inter" w:cs="Inter"/>
          <w:b w:val="0"/>
          <w:i w:val="0"/>
          <w:color w:val="2D2D2D"/>
          <w:sz w:val="22"/>
        </w:rPr>
        <w:t xml:space="preserve">    4.3 Step-by-Step Instructions</w:t>
      </w:r>
    </w:p>
    <w:p>
      <w:pPr>
        <w:spacing w:after="120" w:line="276" w:lineRule="auto"/>
      </w:pPr>
      <w:r>
        <w:rPr>
          <w:rFonts w:ascii="Inter" w:hAnsi="Inter" w:cs="Inter"/>
          <w:b w:val="0"/>
          <w:i w:val="0"/>
          <w:color w:val="2D2D2D"/>
          <w:sz w:val="22"/>
        </w:rPr>
        <w:t xml:space="preserve">        4.3.1 Review the 12-Point Enhanced Priority Agenda</w:t>
      </w:r>
    </w:p>
    <w:p>
      <w:pPr>
        <w:spacing w:after="120" w:line="276" w:lineRule="auto"/>
      </w:pPr>
      <w:r>
        <w:rPr>
          <w:rFonts w:ascii="Inter" w:hAnsi="Inter" w:cs="Inter"/>
          <w:b w:val="0"/>
          <w:i w:val="0"/>
          <w:color w:val="2D2D2D"/>
          <w:sz w:val="22"/>
        </w:rPr>
        <w:t xml:space="preserve">        4.3.2 Identify Priority Agenda Points Relevant to Your Mandate</w:t>
      </w:r>
    </w:p>
    <w:p>
      <w:pPr>
        <w:spacing w:after="120" w:line="276" w:lineRule="auto"/>
      </w:pPr>
      <w:r>
        <w:rPr>
          <w:rFonts w:ascii="Inter" w:hAnsi="Inter" w:cs="Inter"/>
          <w:b w:val="0"/>
          <w:i w:val="0"/>
          <w:color w:val="2D2D2D"/>
          <w:sz w:val="22"/>
        </w:rPr>
        <w:t xml:space="preserve">        4.3.3 Link Your Programs and Targets to Priority Agenda Points</w:t>
      </w:r>
    </w:p>
    <w:p>
      <w:pPr>
        <w:spacing w:after="120" w:line="276" w:lineRule="auto"/>
      </w:pPr>
      <w:r>
        <w:rPr>
          <w:rFonts w:ascii="Inter" w:hAnsi="Inter" w:cs="Inter"/>
          <w:b w:val="0"/>
          <w:i w:val="0"/>
          <w:color w:val="2D2D2D"/>
          <w:sz w:val="22"/>
        </w:rPr>
        <w:t xml:space="preserve">        4.3.4 Resolve Conflicts Between Priority Points</w:t>
      </w:r>
    </w:p>
    <w:p>
      <w:pPr>
        <w:spacing w:after="120" w:line="276" w:lineRule="auto"/>
      </w:pPr>
      <w:r>
        <w:rPr>
          <w:rFonts w:ascii="Inter" w:hAnsi="Inter" w:cs="Inter"/>
          <w:b w:val="0"/>
          <w:i w:val="0"/>
          <w:color w:val="2D2D2D"/>
          <w:sz w:val="22"/>
        </w:rPr>
        <w:t xml:space="preserve">    4.4 Worked Example</w:t>
      </w:r>
    </w:p>
    <w:p>
      <w:pPr>
        <w:spacing w:after="120" w:line="276" w:lineRule="auto"/>
      </w:pPr>
      <w:r>
        <w:rPr>
          <w:rFonts w:ascii="Inter" w:hAnsi="Inter" w:cs="Inter"/>
          <w:b w:val="0"/>
          <w:i w:val="0"/>
          <w:color w:val="2D2D2D"/>
          <w:sz w:val="22"/>
        </w:rPr>
        <w:t xml:space="preserve">    4.5 For Decision-Makers</w:t>
      </w:r>
    </w:p>
    <w:p>
      <w:pPr>
        <w:spacing w:after="120" w:line="276" w:lineRule="auto"/>
      </w:pPr>
      <w:r>
        <w:rPr>
          <w:rFonts w:ascii="Inter" w:hAnsi="Inter" w:cs="Inter"/>
          <w:b w:val="0"/>
          <w:i w:val="0"/>
          <w:color w:val="2D2D2D"/>
          <w:sz w:val="22"/>
        </w:rPr>
        <w:t xml:space="preserve">    4.6 Common Pitfalls</w:t>
      </w:r>
    </w:p>
    <w:p>
      <w:pPr>
        <w:spacing w:after="120" w:line="276" w:lineRule="auto"/>
      </w:pPr>
      <w:r>
        <w:rPr>
          <w:rFonts w:ascii="Inter" w:hAnsi="Inter" w:cs="Inter"/>
          <w:b w:val="0"/>
          <w:i w:val="0"/>
          <w:color w:val="2D2D2D"/>
          <w:sz w:val="22"/>
        </w:rPr>
        <w:t xml:space="preserve">    4.7 Template: Priority Agenda Alignment Sheet</w:t>
      </w:r>
    </w:p>
    <w:p>
      <w:pPr>
        <w:spacing w:after="120" w:line="276" w:lineRule="auto"/>
      </w:pPr>
      <w:r>
        <w:rPr>
          <w:rFonts w:ascii="Inter" w:hAnsi="Inter" w:cs="Inter"/>
          <w:b w:val="0"/>
          <w:i w:val="0"/>
          <w:color w:val="2D2D2D"/>
          <w:sz w:val="22"/>
        </w:rPr>
        <w:t xml:space="preserve">    4.8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5 — Analyzing Your Stakeholders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4: Stakeholder Analysis)*</w:t>
      </w:r>
    </w:p>
    <w:p>
      <w:pPr>
        <w:spacing w:after="120" w:line="276" w:lineRule="auto"/>
      </w:pPr>
      <w:r>
        <w:rPr>
          <w:rFonts w:ascii="Inter" w:hAnsi="Inter" w:cs="Inter"/>
          <w:b w:val="0"/>
          <w:i w:val="0"/>
          <w:color w:val="2D2D2D"/>
          <w:sz w:val="22"/>
        </w:rPr>
        <w:t xml:space="preserve">    5.1 Purpose</w:t>
      </w:r>
    </w:p>
    <w:p>
      <w:pPr>
        <w:spacing w:after="120" w:line="276" w:lineRule="auto"/>
      </w:pPr>
      <w:r>
        <w:rPr>
          <w:rFonts w:ascii="Inter" w:hAnsi="Inter" w:cs="Inter"/>
          <w:b w:val="0"/>
          <w:i w:val="0"/>
          <w:color w:val="2D2D2D"/>
          <w:sz w:val="22"/>
        </w:rPr>
        <w:t xml:space="preserve">    5.2 Key Concepts</w:t>
      </w:r>
    </w:p>
    <w:p>
      <w:pPr>
        <w:spacing w:after="120" w:line="276" w:lineRule="auto"/>
      </w:pPr>
      <w:r>
        <w:rPr>
          <w:rFonts w:ascii="Inter" w:hAnsi="Inter" w:cs="Inter"/>
          <w:b w:val="0"/>
          <w:i w:val="0"/>
          <w:color w:val="2D2D2D"/>
          <w:sz w:val="22"/>
        </w:rPr>
        <w:t xml:space="preserve">    5.3 Step-by-Step Instructions</w:t>
      </w:r>
    </w:p>
    <w:p>
      <w:pPr>
        <w:spacing w:after="120" w:line="276" w:lineRule="auto"/>
      </w:pPr>
      <w:r>
        <w:rPr>
          <w:rFonts w:ascii="Inter" w:hAnsi="Inter" w:cs="Inter"/>
          <w:b w:val="0"/>
          <w:i w:val="0"/>
          <w:color w:val="2D2D2D"/>
          <w:sz w:val="22"/>
        </w:rPr>
        <w:t xml:space="preserve">        5.3.1 Identify All Stakeholders</w:t>
      </w:r>
    </w:p>
    <w:p>
      <w:pPr>
        <w:spacing w:after="120" w:line="276" w:lineRule="auto"/>
      </w:pPr>
      <w:r>
        <w:rPr>
          <w:rFonts w:ascii="Inter" w:hAnsi="Inter" w:cs="Inter"/>
          <w:b w:val="0"/>
          <w:i w:val="0"/>
          <w:color w:val="2D2D2D"/>
          <w:sz w:val="22"/>
        </w:rPr>
        <w:t xml:space="preserve">        5.3.2 Assess Influence and Interest</w:t>
      </w:r>
    </w:p>
    <w:p>
      <w:pPr>
        <w:spacing w:after="120" w:line="276" w:lineRule="auto"/>
      </w:pPr>
      <w:r>
        <w:rPr>
          <w:rFonts w:ascii="Inter" w:hAnsi="Inter" w:cs="Inter"/>
          <w:b w:val="0"/>
          <w:i w:val="0"/>
          <w:color w:val="2D2D2D"/>
          <w:sz w:val="22"/>
        </w:rPr>
        <w:t xml:space="preserve">        5.3.3 Determine Engagement Strategies</w:t>
      </w:r>
    </w:p>
    <w:p>
      <w:pPr>
        <w:spacing w:after="120" w:line="276" w:lineRule="auto"/>
      </w:pPr>
      <w:r>
        <w:rPr>
          <w:rFonts w:ascii="Inter" w:hAnsi="Inter" w:cs="Inter"/>
          <w:b w:val="0"/>
          <w:i w:val="0"/>
          <w:color w:val="2D2D2D"/>
          <w:sz w:val="22"/>
        </w:rPr>
        <w:t xml:space="preserve">        5.3.4 Plan Participation in the Planning Process</w:t>
      </w:r>
    </w:p>
    <w:p>
      <w:pPr>
        <w:spacing w:after="120" w:line="276" w:lineRule="auto"/>
      </w:pPr>
      <w:r>
        <w:rPr>
          <w:rFonts w:ascii="Inter" w:hAnsi="Inter" w:cs="Inter"/>
          <w:b w:val="0"/>
          <w:i w:val="0"/>
          <w:color w:val="2D2D2D"/>
          <w:sz w:val="22"/>
        </w:rPr>
        <w:t xml:space="preserve">    5.4 Worked Example</w:t>
      </w:r>
    </w:p>
    <w:p>
      <w:pPr>
        <w:spacing w:after="120" w:line="276" w:lineRule="auto"/>
      </w:pPr>
      <w:r>
        <w:rPr>
          <w:rFonts w:ascii="Inter" w:hAnsi="Inter" w:cs="Inter"/>
          <w:b w:val="0"/>
          <w:i w:val="0"/>
          <w:color w:val="2D2D2D"/>
          <w:sz w:val="22"/>
        </w:rPr>
        <w:t xml:space="preserve">    5.5 For Decision-Makers</w:t>
      </w:r>
    </w:p>
    <w:p>
      <w:pPr>
        <w:spacing w:after="120" w:line="276" w:lineRule="auto"/>
      </w:pPr>
      <w:r>
        <w:rPr>
          <w:rFonts w:ascii="Inter" w:hAnsi="Inter" w:cs="Inter"/>
          <w:b w:val="0"/>
          <w:i w:val="0"/>
          <w:color w:val="2D2D2D"/>
          <w:sz w:val="22"/>
        </w:rPr>
        <w:t xml:space="preserve">    5.6 Common Pitfalls</w:t>
      </w:r>
    </w:p>
    <w:p>
      <w:pPr>
        <w:spacing w:after="120" w:line="276" w:lineRule="auto"/>
      </w:pPr>
      <w:r>
        <w:rPr>
          <w:rFonts w:ascii="Inter" w:hAnsi="Inter" w:cs="Inter"/>
          <w:b w:val="0"/>
          <w:i w:val="0"/>
          <w:color w:val="2D2D2D"/>
          <w:sz w:val="22"/>
        </w:rPr>
        <w:t xml:space="preserve">    5.7 Template: Stakeholder Register and Engagement Plan</w:t>
      </w:r>
    </w:p>
    <w:p>
      <w:pPr>
        <w:spacing w:after="120" w:line="276" w:lineRule="auto"/>
      </w:pPr>
      <w:r>
        <w:rPr>
          <w:rFonts w:ascii="Inter" w:hAnsi="Inter" w:cs="Inter"/>
          <w:b w:val="0"/>
          <w:i w:val="0"/>
          <w:color w:val="2D2D2D"/>
          <w:sz w:val="22"/>
        </w:rPr>
        <w:t xml:space="preserve">    5.8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6 — Defining Your Strategic Direction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5: Strategy Analysis)*</w:t>
      </w:r>
    </w:p>
    <w:p>
      <w:pPr>
        <w:spacing w:after="120" w:line="276" w:lineRule="auto"/>
      </w:pPr>
      <w:r>
        <w:rPr>
          <w:rFonts w:ascii="Inter" w:hAnsi="Inter" w:cs="Inter"/>
          <w:b w:val="0"/>
          <w:i w:val="0"/>
          <w:color w:val="2D2D2D"/>
          <w:sz w:val="22"/>
        </w:rPr>
        <w:t xml:space="preserve">    6.1 Purpose</w:t>
      </w:r>
    </w:p>
    <w:p>
      <w:pPr>
        <w:spacing w:after="120" w:line="276" w:lineRule="auto"/>
      </w:pPr>
      <w:r>
        <w:rPr>
          <w:rFonts w:ascii="Inter" w:hAnsi="Inter" w:cs="Inter"/>
          <w:b w:val="0"/>
          <w:i w:val="0"/>
          <w:color w:val="2D2D2D"/>
          <w:sz w:val="22"/>
        </w:rPr>
        <w:t xml:space="preserve">    6.2 Key Concepts</w:t>
      </w:r>
    </w:p>
    <w:p>
      <w:pPr>
        <w:spacing w:after="120" w:line="276" w:lineRule="auto"/>
      </w:pPr>
      <w:r>
        <w:rPr>
          <w:rFonts w:ascii="Inter" w:hAnsi="Inter" w:cs="Inter"/>
          <w:b w:val="0"/>
          <w:i w:val="0"/>
          <w:color w:val="2D2D2D"/>
          <w:sz w:val="22"/>
        </w:rPr>
        <w:t xml:space="preserve">    6.3 Step-by-Step Instructions</w:t>
      </w:r>
    </w:p>
    <w:p>
      <w:pPr>
        <w:spacing w:after="120" w:line="276" w:lineRule="auto"/>
      </w:pPr>
      <w:r>
        <w:rPr>
          <w:rFonts w:ascii="Inter" w:hAnsi="Inter" w:cs="Inter"/>
          <w:b w:val="0"/>
          <w:i w:val="0"/>
          <w:color w:val="2D2D2D"/>
          <w:sz w:val="22"/>
        </w:rPr>
        <w:t xml:space="preserve">        6.3.1 Conduct a Situational Assessment (SWOT/PESTEL)</w:t>
      </w:r>
    </w:p>
    <w:p>
      <w:pPr>
        <w:spacing w:after="120" w:line="276" w:lineRule="auto"/>
      </w:pPr>
      <w:r>
        <w:rPr>
          <w:rFonts w:ascii="Inter" w:hAnsi="Inter" w:cs="Inter"/>
          <w:b w:val="0"/>
          <w:i w:val="0"/>
          <w:color w:val="2D2D2D"/>
          <w:sz w:val="22"/>
        </w:rPr>
        <w:t xml:space="preserve">        6.3.2 Draft Your Vision and Mission Statements</w:t>
      </w:r>
    </w:p>
    <w:p>
      <w:pPr>
        <w:spacing w:after="120" w:line="276" w:lineRule="auto"/>
      </w:pPr>
      <w:r>
        <w:rPr>
          <w:rFonts w:ascii="Inter" w:hAnsi="Inter" w:cs="Inter"/>
          <w:b w:val="0"/>
          <w:i w:val="0"/>
          <w:color w:val="2D2D2D"/>
          <w:sz w:val="22"/>
        </w:rPr>
        <w:t xml:space="preserve">        6.3.3 Define Core Values</w:t>
      </w:r>
    </w:p>
    <w:p>
      <w:pPr>
        <w:spacing w:after="120" w:line="276" w:lineRule="auto"/>
      </w:pPr>
      <w:r>
        <w:rPr>
          <w:rFonts w:ascii="Inter" w:hAnsi="Inter" w:cs="Inter"/>
          <w:b w:val="0"/>
          <w:i w:val="0"/>
          <w:color w:val="2D2D2D"/>
          <w:sz w:val="22"/>
        </w:rPr>
        <w:t xml:space="preserve">        6.3.4 Formulate Strategic Goals and Objectives</w:t>
      </w:r>
    </w:p>
    <w:p>
      <w:pPr>
        <w:spacing w:after="120" w:line="276" w:lineRule="auto"/>
      </w:pPr>
      <w:r>
        <w:rPr>
          <w:rFonts w:ascii="Inter" w:hAnsi="Inter" w:cs="Inter"/>
          <w:b w:val="0"/>
          <w:i w:val="0"/>
          <w:color w:val="2D2D2D"/>
          <w:sz w:val="22"/>
        </w:rPr>
        <w:t xml:space="preserve">    6.4 Worked Example</w:t>
      </w:r>
    </w:p>
    <w:p>
      <w:pPr>
        <w:spacing w:after="120" w:line="276" w:lineRule="auto"/>
      </w:pPr>
      <w:r>
        <w:rPr>
          <w:rFonts w:ascii="Inter" w:hAnsi="Inter" w:cs="Inter"/>
          <w:b w:val="0"/>
          <w:i w:val="0"/>
          <w:color w:val="2D2D2D"/>
          <w:sz w:val="22"/>
        </w:rPr>
        <w:t xml:space="preserve">    6.5 For Decision-Makers</w:t>
      </w:r>
    </w:p>
    <w:p>
      <w:pPr>
        <w:spacing w:after="120" w:line="276" w:lineRule="auto"/>
      </w:pPr>
      <w:r>
        <w:rPr>
          <w:rFonts w:ascii="Inter" w:hAnsi="Inter" w:cs="Inter"/>
          <w:b w:val="0"/>
          <w:i w:val="0"/>
          <w:color w:val="2D2D2D"/>
          <w:sz w:val="22"/>
        </w:rPr>
        <w:t xml:space="preserve">    6.6 Common Pitfalls</w:t>
      </w:r>
    </w:p>
    <w:p>
      <w:pPr>
        <w:spacing w:after="120" w:line="276" w:lineRule="auto"/>
      </w:pPr>
      <w:r>
        <w:rPr>
          <w:rFonts w:ascii="Inter" w:hAnsi="Inter" w:cs="Inter"/>
          <w:b w:val="0"/>
          <w:i w:val="0"/>
          <w:color w:val="2D2D2D"/>
          <w:sz w:val="22"/>
        </w:rPr>
        <w:t xml:space="preserve">    6.7 Template: Vision-Mission-Values Statement and Strategic Objectives</w:t>
      </w:r>
    </w:p>
    <w:p>
      <w:pPr>
        <w:spacing w:after="120" w:line="276" w:lineRule="auto"/>
      </w:pPr>
      <w:r>
        <w:rPr>
          <w:rFonts w:ascii="Inter" w:hAnsi="Inter" w:cs="Inter"/>
          <w:b w:val="0"/>
          <w:i w:val="0"/>
          <w:color w:val="2D2D2D"/>
          <w:sz w:val="22"/>
        </w:rPr>
        <w:t xml:space="preserve">    6.8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7 — Building Your Theory of Change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6: Theory of Change)*</w:t>
      </w:r>
    </w:p>
    <w:p>
      <w:pPr>
        <w:spacing w:after="120" w:line="276" w:lineRule="auto"/>
      </w:pPr>
      <w:r>
        <w:rPr>
          <w:rFonts w:ascii="Inter" w:hAnsi="Inter" w:cs="Inter"/>
          <w:b w:val="0"/>
          <w:i w:val="0"/>
          <w:color w:val="2D2D2D"/>
          <w:sz w:val="22"/>
        </w:rPr>
        <w:t xml:space="preserve">    7.1 Purpose</w:t>
      </w:r>
    </w:p>
    <w:p>
      <w:pPr>
        <w:spacing w:after="120" w:line="276" w:lineRule="auto"/>
      </w:pPr>
      <w:r>
        <w:rPr>
          <w:rFonts w:ascii="Inter" w:hAnsi="Inter" w:cs="Inter"/>
          <w:b w:val="0"/>
          <w:i w:val="0"/>
          <w:color w:val="2D2D2D"/>
          <w:sz w:val="22"/>
        </w:rPr>
        <w:t xml:space="preserve">    7.2 Key Concepts</w:t>
      </w:r>
    </w:p>
    <w:p>
      <w:pPr>
        <w:spacing w:after="120" w:line="276" w:lineRule="auto"/>
      </w:pPr>
      <w:r>
        <w:rPr>
          <w:rFonts w:ascii="Inter" w:hAnsi="Inter" w:cs="Inter"/>
          <w:b w:val="0"/>
          <w:i w:val="0"/>
          <w:color w:val="2D2D2D"/>
          <w:sz w:val="22"/>
        </w:rPr>
        <w:t xml:space="preserve">    7.3 Step-by-Step Instructions</w:t>
      </w:r>
    </w:p>
    <w:p>
      <w:pPr>
        <w:spacing w:after="120" w:line="276" w:lineRule="auto"/>
      </w:pPr>
      <w:r>
        <w:rPr>
          <w:rFonts w:ascii="Inter" w:hAnsi="Inter" w:cs="Inter"/>
          <w:b w:val="0"/>
          <w:i w:val="0"/>
          <w:color w:val="2D2D2D"/>
          <w:sz w:val="22"/>
        </w:rPr>
        <w:t xml:space="preserve">        7.3.1 Define the Long-Term Change You Seek</w:t>
      </w:r>
    </w:p>
    <w:p>
      <w:pPr>
        <w:spacing w:after="120" w:line="276" w:lineRule="auto"/>
      </w:pPr>
      <w:r>
        <w:rPr>
          <w:rFonts w:ascii="Inter" w:hAnsi="Inter" w:cs="Inter"/>
          <w:b w:val="0"/>
          <w:i w:val="0"/>
          <w:color w:val="2D2D2D"/>
          <w:sz w:val="22"/>
        </w:rPr>
        <w:t xml:space="preserve">        7.3.2 Identify Intermediate Outcomes and Preconditions</w:t>
      </w:r>
    </w:p>
    <w:p>
      <w:pPr>
        <w:spacing w:after="120" w:line="276" w:lineRule="auto"/>
      </w:pPr>
      <w:r>
        <w:rPr>
          <w:rFonts w:ascii="Inter" w:hAnsi="Inter" w:cs="Inter"/>
          <w:b w:val="0"/>
          <w:i w:val="0"/>
          <w:color w:val="2D2D2D"/>
          <w:sz w:val="22"/>
        </w:rPr>
        <w:t xml:space="preserve">        7.3.3 Map Causal Pathways</w:t>
      </w:r>
    </w:p>
    <w:p>
      <w:pPr>
        <w:spacing w:after="120" w:line="276" w:lineRule="auto"/>
      </w:pPr>
      <w:r>
        <w:rPr>
          <w:rFonts w:ascii="Inter" w:hAnsi="Inter" w:cs="Inter"/>
          <w:b w:val="0"/>
          <w:i w:val="0"/>
          <w:color w:val="2D2D2D"/>
          <w:sz w:val="22"/>
        </w:rPr>
        <w:t xml:space="preserve">        7.3.4 State Assumptions and Risks</w:t>
      </w:r>
    </w:p>
    <w:p>
      <w:pPr>
        <w:spacing w:after="120" w:line="276" w:lineRule="auto"/>
      </w:pPr>
      <w:r>
        <w:rPr>
          <w:rFonts w:ascii="Inter" w:hAnsi="Inter" w:cs="Inter"/>
          <w:b w:val="0"/>
          <w:i w:val="0"/>
          <w:color w:val="2D2D2D"/>
          <w:sz w:val="22"/>
        </w:rPr>
        <w:t xml:space="preserve">    7.4 Worked Example</w:t>
      </w:r>
    </w:p>
    <w:p>
      <w:pPr>
        <w:spacing w:after="120" w:line="276" w:lineRule="auto"/>
      </w:pPr>
      <w:r>
        <w:rPr>
          <w:rFonts w:ascii="Inter" w:hAnsi="Inter" w:cs="Inter"/>
          <w:b w:val="0"/>
          <w:i w:val="0"/>
          <w:color w:val="2D2D2D"/>
          <w:sz w:val="22"/>
        </w:rPr>
        <w:t xml:space="preserve">    7.5 For Decision-Makers</w:t>
      </w:r>
    </w:p>
    <w:p>
      <w:pPr>
        <w:spacing w:after="120" w:line="276" w:lineRule="auto"/>
      </w:pPr>
      <w:r>
        <w:rPr>
          <w:rFonts w:ascii="Inter" w:hAnsi="Inter" w:cs="Inter"/>
          <w:b w:val="0"/>
          <w:i w:val="0"/>
          <w:color w:val="2D2D2D"/>
          <w:sz w:val="22"/>
        </w:rPr>
        <w:t xml:space="preserve">    7.6 Common Pitfalls</w:t>
      </w:r>
    </w:p>
    <w:p>
      <w:pPr>
        <w:spacing w:after="120" w:line="276" w:lineRule="auto"/>
      </w:pPr>
      <w:r>
        <w:rPr>
          <w:rFonts w:ascii="Inter" w:hAnsi="Inter" w:cs="Inter"/>
          <w:b w:val="0"/>
          <w:i w:val="0"/>
          <w:color w:val="2D2D2D"/>
          <w:sz w:val="22"/>
        </w:rPr>
        <w:t xml:space="preserve">    7.7 Template: Theory of Change Diagram and Narrative</w:t>
      </w:r>
    </w:p>
    <w:p>
      <w:pPr>
        <w:spacing w:after="120" w:line="276" w:lineRule="auto"/>
      </w:pPr>
      <w:r>
        <w:rPr>
          <w:rFonts w:ascii="Inter" w:hAnsi="Inter" w:cs="Inter"/>
          <w:b w:val="0"/>
          <w:i w:val="0"/>
          <w:color w:val="2D2D2D"/>
          <w:sz w:val="22"/>
        </w:rPr>
        <w:t xml:space="preserve">    7.8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8 — Designing Programs, Projects, and Activities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7: PPA Planning)*</w:t>
      </w:r>
    </w:p>
    <w:p>
      <w:pPr>
        <w:spacing w:after="120" w:line="276" w:lineRule="auto"/>
      </w:pPr>
      <w:r>
        <w:rPr>
          <w:rFonts w:ascii="Inter" w:hAnsi="Inter" w:cs="Inter"/>
          <w:b w:val="0"/>
          <w:i w:val="0"/>
          <w:color w:val="2D2D2D"/>
          <w:sz w:val="22"/>
        </w:rPr>
        <w:t xml:space="preserve">    8.1 Purpose</w:t>
      </w:r>
    </w:p>
    <w:p>
      <w:pPr>
        <w:spacing w:after="120" w:line="276" w:lineRule="auto"/>
      </w:pPr>
      <w:r>
        <w:rPr>
          <w:rFonts w:ascii="Inter" w:hAnsi="Inter" w:cs="Inter"/>
          <w:b w:val="0"/>
          <w:i w:val="0"/>
          <w:color w:val="2D2D2D"/>
          <w:sz w:val="22"/>
        </w:rPr>
        <w:t xml:space="preserve">    8.2 Key Concepts</w:t>
      </w:r>
    </w:p>
    <w:p>
      <w:pPr>
        <w:spacing w:after="120" w:line="276" w:lineRule="auto"/>
      </w:pPr>
      <w:r>
        <w:rPr>
          <w:rFonts w:ascii="Inter" w:hAnsi="Inter" w:cs="Inter"/>
          <w:b w:val="0"/>
          <w:i w:val="0"/>
          <w:color w:val="2D2D2D"/>
          <w:sz w:val="22"/>
        </w:rPr>
        <w:t xml:space="preserve">    8.3 Step-by-Step Instructions</w:t>
      </w:r>
    </w:p>
    <w:p>
      <w:pPr>
        <w:spacing w:after="120" w:line="276" w:lineRule="auto"/>
      </w:pPr>
      <w:r>
        <w:rPr>
          <w:rFonts w:ascii="Inter" w:hAnsi="Inter" w:cs="Inter"/>
          <w:b w:val="0"/>
          <w:i w:val="0"/>
          <w:color w:val="2D2D2D"/>
          <w:sz w:val="22"/>
        </w:rPr>
        <w:t xml:space="preserve">        8.3.1 Derive PPAs from Your Theory of Change</w:t>
      </w:r>
    </w:p>
    <w:p>
      <w:pPr>
        <w:spacing w:after="120" w:line="276" w:lineRule="auto"/>
      </w:pPr>
      <w:r>
        <w:rPr>
          <w:rFonts w:ascii="Inter" w:hAnsi="Inter" w:cs="Inter"/>
          <w:b w:val="0"/>
          <w:i w:val="0"/>
          <w:color w:val="2D2D2D"/>
          <w:sz w:val="22"/>
        </w:rPr>
        <w:t xml:space="preserve">        8.3.2 Define Objectives, Outputs, and Outcome Indicators</w:t>
      </w:r>
    </w:p>
    <w:p>
      <w:pPr>
        <w:spacing w:after="120" w:line="276" w:lineRule="auto"/>
      </w:pPr>
      <w:r>
        <w:rPr>
          <w:rFonts w:ascii="Inter" w:hAnsi="Inter" w:cs="Inter"/>
          <w:b w:val="0"/>
          <w:i w:val="0"/>
          <w:color w:val="2D2D2D"/>
          <w:sz w:val="22"/>
        </w:rPr>
        <w:t xml:space="preserve">        8.3.3 Sequence and Prioritize PPAs</w:t>
      </w:r>
    </w:p>
    <w:p>
      <w:pPr>
        <w:spacing w:after="120" w:line="276" w:lineRule="auto"/>
      </w:pPr>
      <w:r>
        <w:rPr>
          <w:rFonts w:ascii="Inter" w:hAnsi="Inter" w:cs="Inter"/>
          <w:b w:val="0"/>
          <w:i w:val="0"/>
          <w:color w:val="2D2D2D"/>
          <w:sz w:val="22"/>
        </w:rPr>
        <w:t xml:space="preserve">        8.3.4 Assign Responsible Units and Timelines</w:t>
      </w:r>
    </w:p>
    <w:p>
      <w:pPr>
        <w:spacing w:after="120" w:line="276" w:lineRule="auto"/>
      </w:pPr>
      <w:r>
        <w:rPr>
          <w:rFonts w:ascii="Inter" w:hAnsi="Inter" w:cs="Inter"/>
          <w:b w:val="0"/>
          <w:i w:val="0"/>
          <w:color w:val="2D2D2D"/>
          <w:sz w:val="22"/>
        </w:rPr>
        <w:t xml:space="preserve">    8.4 Worked Example</w:t>
      </w:r>
    </w:p>
    <w:p>
      <w:pPr>
        <w:spacing w:after="120" w:line="276" w:lineRule="auto"/>
      </w:pPr>
      <w:r>
        <w:rPr>
          <w:rFonts w:ascii="Inter" w:hAnsi="Inter" w:cs="Inter"/>
          <w:b w:val="0"/>
          <w:i w:val="0"/>
          <w:color w:val="2D2D2D"/>
          <w:sz w:val="22"/>
        </w:rPr>
        <w:t xml:space="preserve">    8.5 For Decision-Makers</w:t>
      </w:r>
    </w:p>
    <w:p>
      <w:pPr>
        <w:spacing w:after="120" w:line="276" w:lineRule="auto"/>
      </w:pPr>
      <w:r>
        <w:rPr>
          <w:rFonts w:ascii="Inter" w:hAnsi="Inter" w:cs="Inter"/>
          <w:b w:val="0"/>
          <w:i w:val="0"/>
          <w:color w:val="2D2D2D"/>
          <w:sz w:val="22"/>
        </w:rPr>
        <w:t xml:space="preserve">    8.6 Common Pitfalls</w:t>
      </w:r>
    </w:p>
    <w:p>
      <w:pPr>
        <w:spacing w:after="120" w:line="276" w:lineRule="auto"/>
      </w:pPr>
      <w:r>
        <w:rPr>
          <w:rFonts w:ascii="Inter" w:hAnsi="Inter" w:cs="Inter"/>
          <w:b w:val="0"/>
          <w:i w:val="0"/>
          <w:color w:val="2D2D2D"/>
          <w:sz w:val="22"/>
        </w:rPr>
        <w:t xml:space="preserve">    8.7 Template: PPA Register</w:t>
      </w:r>
    </w:p>
    <w:p>
      <w:pPr>
        <w:spacing w:after="120" w:line="276" w:lineRule="auto"/>
      </w:pPr>
      <w:r>
        <w:rPr>
          <w:rFonts w:ascii="Inter" w:hAnsi="Inter" w:cs="Inter"/>
          <w:b w:val="0"/>
          <w:i w:val="0"/>
          <w:color w:val="2D2D2D"/>
          <w:sz w:val="22"/>
        </w:rPr>
        <w:t xml:space="preserve">    8.8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9 — Planning Your Resources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8: Resource Planning)*</w:t>
      </w:r>
    </w:p>
    <w:p>
      <w:pPr>
        <w:spacing w:after="120" w:line="276" w:lineRule="auto"/>
      </w:pPr>
      <w:r>
        <w:rPr>
          <w:rFonts w:ascii="Inter" w:hAnsi="Inter" w:cs="Inter"/>
          <w:b w:val="0"/>
          <w:i w:val="0"/>
          <w:color w:val="2D2D2D"/>
          <w:sz w:val="22"/>
        </w:rPr>
        <w:t xml:space="preserve">    9.1 Purpose</w:t>
      </w:r>
    </w:p>
    <w:p>
      <w:pPr>
        <w:spacing w:after="120" w:line="276" w:lineRule="auto"/>
      </w:pPr>
      <w:r>
        <w:rPr>
          <w:rFonts w:ascii="Inter" w:hAnsi="Inter" w:cs="Inter"/>
          <w:b w:val="0"/>
          <w:i w:val="0"/>
          <w:color w:val="2D2D2D"/>
          <w:sz w:val="22"/>
        </w:rPr>
        <w:t xml:space="preserve">    9.2 Key Concepts</w:t>
      </w:r>
    </w:p>
    <w:p>
      <w:pPr>
        <w:spacing w:after="120" w:line="276" w:lineRule="auto"/>
      </w:pPr>
      <w:r>
        <w:rPr>
          <w:rFonts w:ascii="Inter" w:hAnsi="Inter" w:cs="Inter"/>
          <w:b w:val="0"/>
          <w:i w:val="0"/>
          <w:color w:val="2D2D2D"/>
          <w:sz w:val="22"/>
        </w:rPr>
        <w:t xml:space="preserve">    9.3 Step-by-Step Instructions</w:t>
      </w:r>
    </w:p>
    <w:p>
      <w:pPr>
        <w:spacing w:after="120" w:line="276" w:lineRule="auto"/>
      </w:pPr>
      <w:r>
        <w:rPr>
          <w:rFonts w:ascii="Inter" w:hAnsi="Inter" w:cs="Inter"/>
          <w:b w:val="0"/>
          <w:i w:val="0"/>
          <w:color w:val="2D2D2D"/>
          <w:sz w:val="22"/>
        </w:rPr>
        <w:t xml:space="preserve">        9.3.1 Estimate Budget Requirements per PPA</w:t>
      </w:r>
    </w:p>
    <w:p>
      <w:pPr>
        <w:spacing w:after="120" w:line="276" w:lineRule="auto"/>
      </w:pPr>
      <w:r>
        <w:rPr>
          <w:rFonts w:ascii="Inter" w:hAnsi="Inter" w:cs="Inter"/>
          <w:b w:val="0"/>
          <w:i w:val="0"/>
          <w:color w:val="2D2D2D"/>
          <w:sz w:val="22"/>
        </w:rPr>
        <w:t xml:space="preserve">        9.3.2 Identify Human Resource Requirements</w:t>
      </w:r>
    </w:p>
    <w:p>
      <w:pPr>
        <w:spacing w:after="120" w:line="276" w:lineRule="auto"/>
      </w:pPr>
      <w:r>
        <w:rPr>
          <w:rFonts w:ascii="Inter" w:hAnsi="Inter" w:cs="Inter"/>
          <w:b w:val="0"/>
          <w:i w:val="0"/>
          <w:color w:val="2D2D2D"/>
          <w:sz w:val="22"/>
        </w:rPr>
        <w:t xml:space="preserve">        9.3.3 Identify Equipment, Facilities, and Technical Needs</w:t>
      </w:r>
    </w:p>
    <w:p>
      <w:pPr>
        <w:spacing w:after="120" w:line="276" w:lineRule="auto"/>
      </w:pPr>
      <w:r>
        <w:rPr>
          <w:rFonts w:ascii="Inter" w:hAnsi="Inter" w:cs="Inter"/>
          <w:b w:val="0"/>
          <w:i w:val="0"/>
          <w:color w:val="2D2D2D"/>
          <w:sz w:val="22"/>
        </w:rPr>
        <w:t xml:space="preserve">        9.3.4 Align Resource Plan with the Budget Call and BAA 84</w:t>
      </w:r>
    </w:p>
    <w:p>
      <w:pPr>
        <w:spacing w:after="120" w:line="276" w:lineRule="auto"/>
      </w:pPr>
      <w:r>
        <w:rPr>
          <w:rFonts w:ascii="Inter" w:hAnsi="Inter" w:cs="Inter"/>
          <w:b w:val="0"/>
          <w:i w:val="0"/>
          <w:color w:val="2D2D2D"/>
          <w:sz w:val="22"/>
        </w:rPr>
        <w:t xml:space="preserve">    9.4 Worked Example</w:t>
      </w:r>
    </w:p>
    <w:p>
      <w:pPr>
        <w:spacing w:after="120" w:line="276" w:lineRule="auto"/>
      </w:pPr>
      <w:r>
        <w:rPr>
          <w:rFonts w:ascii="Inter" w:hAnsi="Inter" w:cs="Inter"/>
          <w:b w:val="0"/>
          <w:i w:val="0"/>
          <w:color w:val="2D2D2D"/>
          <w:sz w:val="22"/>
        </w:rPr>
        <w:t xml:space="preserve">    9.5 For Decision-Makers</w:t>
      </w:r>
    </w:p>
    <w:p>
      <w:pPr>
        <w:spacing w:after="120" w:line="276" w:lineRule="auto"/>
      </w:pPr>
      <w:r>
        <w:rPr>
          <w:rFonts w:ascii="Inter" w:hAnsi="Inter" w:cs="Inter"/>
          <w:b w:val="0"/>
          <w:i w:val="0"/>
          <w:color w:val="2D2D2D"/>
          <w:sz w:val="22"/>
        </w:rPr>
        <w:t xml:space="preserve">    9.6 Common Pitfalls</w:t>
      </w:r>
    </w:p>
    <w:p>
      <w:pPr>
        <w:spacing w:after="120" w:line="276" w:lineRule="auto"/>
      </w:pPr>
      <w:r>
        <w:rPr>
          <w:rFonts w:ascii="Inter" w:hAnsi="Inter" w:cs="Inter"/>
          <w:b w:val="0"/>
          <w:i w:val="0"/>
          <w:color w:val="2D2D2D"/>
          <w:sz w:val="22"/>
        </w:rPr>
        <w:t xml:space="preserve">    9.7 Template: Resource Requirements Matrix</w:t>
      </w:r>
    </w:p>
    <w:p>
      <w:pPr>
        <w:spacing w:after="120" w:line="276" w:lineRule="auto"/>
      </w:pPr>
      <w:r>
        <w:rPr>
          <w:rFonts w:ascii="Inter" w:hAnsi="Inter" w:cs="Inter"/>
          <w:b w:val="0"/>
          <w:i w:val="0"/>
          <w:color w:val="2D2D2D"/>
          <w:sz w:val="22"/>
        </w:rPr>
        <w:t xml:space="preserve">    9.8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10 — Preparing the Annual Work Plan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9: Annual Planning)*</w:t>
      </w:r>
    </w:p>
    <w:p>
      <w:pPr>
        <w:spacing w:after="120" w:line="276" w:lineRule="auto"/>
      </w:pPr>
      <w:r>
        <w:rPr>
          <w:rFonts w:ascii="Inter" w:hAnsi="Inter" w:cs="Inter"/>
          <w:b w:val="0"/>
          <w:i w:val="0"/>
          <w:color w:val="2D2D2D"/>
          <w:sz w:val="22"/>
        </w:rPr>
        <w:t xml:space="preserve">    10.1 Purpose</w:t>
      </w:r>
    </w:p>
    <w:p>
      <w:pPr>
        <w:spacing w:after="120" w:line="276" w:lineRule="auto"/>
      </w:pPr>
      <w:r>
        <w:rPr>
          <w:rFonts w:ascii="Inter" w:hAnsi="Inter" w:cs="Inter"/>
          <w:b w:val="0"/>
          <w:i w:val="0"/>
          <w:color w:val="2D2D2D"/>
          <w:sz w:val="22"/>
        </w:rPr>
        <w:t xml:space="preserve">    10.2 Key Concepts</w:t>
      </w:r>
    </w:p>
    <w:p>
      <w:pPr>
        <w:spacing w:after="120" w:line="276" w:lineRule="auto"/>
      </w:pPr>
      <w:r>
        <w:rPr>
          <w:rFonts w:ascii="Inter" w:hAnsi="Inter" w:cs="Inter"/>
          <w:b w:val="0"/>
          <w:i w:val="0"/>
          <w:color w:val="2D2D2D"/>
          <w:sz w:val="22"/>
        </w:rPr>
        <w:t xml:space="preserve">    10.3 Step-by-Step Instructions</w:t>
      </w:r>
    </w:p>
    <w:p>
      <w:pPr>
        <w:spacing w:after="120" w:line="276" w:lineRule="auto"/>
      </w:pPr>
      <w:r>
        <w:rPr>
          <w:rFonts w:ascii="Inter" w:hAnsi="Inter" w:cs="Inter"/>
          <w:b w:val="0"/>
          <w:i w:val="0"/>
          <w:color w:val="2D2D2D"/>
          <w:sz w:val="22"/>
        </w:rPr>
        <w:t xml:space="preserve">        10.3.1 Break Down Strategic Goals into Annual Targets</w:t>
      </w:r>
    </w:p>
    <w:p>
      <w:pPr>
        <w:spacing w:after="120" w:line="276" w:lineRule="auto"/>
      </w:pPr>
      <w:r>
        <w:rPr>
          <w:rFonts w:ascii="Inter" w:hAnsi="Inter" w:cs="Inter"/>
          <w:b w:val="0"/>
          <w:i w:val="0"/>
          <w:color w:val="2D2D2D"/>
          <w:sz w:val="22"/>
        </w:rPr>
        <w:t xml:space="preserve">        10.3.2 Build the Quarterly Implementation Schedule</w:t>
      </w:r>
    </w:p>
    <w:p>
      <w:pPr>
        <w:spacing w:after="120" w:line="276" w:lineRule="auto"/>
      </w:pPr>
      <w:r>
        <w:rPr>
          <w:rFonts w:ascii="Inter" w:hAnsi="Inter" w:cs="Inter"/>
          <w:b w:val="0"/>
          <w:i w:val="0"/>
          <w:color w:val="2D2D2D"/>
          <w:sz w:val="22"/>
        </w:rPr>
        <w:t xml:space="preserve">        10.3.3 Assign Accountable Officers and Deadlines</w:t>
      </w:r>
    </w:p>
    <w:p>
      <w:pPr>
        <w:spacing w:after="120" w:line="276" w:lineRule="auto"/>
      </w:pPr>
      <w:r>
        <w:rPr>
          <w:rFonts w:ascii="Inter" w:hAnsi="Inter" w:cs="Inter"/>
          <w:b w:val="0"/>
          <w:i w:val="0"/>
          <w:color w:val="2D2D2D"/>
          <w:sz w:val="22"/>
        </w:rPr>
        <w:t xml:space="preserve">        10.3.4 Link the AWP to the Budget Proposal</w:t>
      </w:r>
    </w:p>
    <w:p>
      <w:pPr>
        <w:spacing w:after="120" w:line="276" w:lineRule="auto"/>
      </w:pPr>
      <w:r>
        <w:rPr>
          <w:rFonts w:ascii="Inter" w:hAnsi="Inter" w:cs="Inter"/>
          <w:b w:val="0"/>
          <w:i w:val="0"/>
          <w:color w:val="2D2D2D"/>
          <w:sz w:val="22"/>
        </w:rPr>
        <w:t xml:space="preserve">    10.4 Worked Example</w:t>
      </w:r>
    </w:p>
    <w:p>
      <w:pPr>
        <w:spacing w:after="120" w:line="276" w:lineRule="auto"/>
      </w:pPr>
      <w:r>
        <w:rPr>
          <w:rFonts w:ascii="Inter" w:hAnsi="Inter" w:cs="Inter"/>
          <w:b w:val="0"/>
          <w:i w:val="0"/>
          <w:color w:val="2D2D2D"/>
          <w:sz w:val="22"/>
        </w:rPr>
        <w:t xml:space="preserve">    10.5 For Decision-Makers</w:t>
      </w:r>
    </w:p>
    <w:p>
      <w:pPr>
        <w:spacing w:after="120" w:line="276" w:lineRule="auto"/>
      </w:pPr>
      <w:r>
        <w:rPr>
          <w:rFonts w:ascii="Inter" w:hAnsi="Inter" w:cs="Inter"/>
          <w:b w:val="0"/>
          <w:i w:val="0"/>
          <w:color w:val="2D2D2D"/>
          <w:sz w:val="22"/>
        </w:rPr>
        <w:t xml:space="preserve">    10.6 Common Pitfalls</w:t>
      </w:r>
    </w:p>
    <w:p>
      <w:pPr>
        <w:spacing w:after="120" w:line="276" w:lineRule="auto"/>
      </w:pPr>
      <w:r>
        <w:rPr>
          <w:rFonts w:ascii="Inter" w:hAnsi="Inter" w:cs="Inter"/>
          <w:b w:val="0"/>
          <w:i w:val="0"/>
          <w:color w:val="2D2D2D"/>
          <w:sz w:val="22"/>
        </w:rPr>
        <w:t xml:space="preserve">    10.7 Templates: Annual Work Plan, Annual Financial Plan, Annual Procurement Plan</w:t>
      </w:r>
    </w:p>
    <w:p>
      <w:pPr>
        <w:spacing w:after="120" w:line="276" w:lineRule="auto"/>
      </w:pPr>
      <w:r>
        <w:rPr>
          <w:rFonts w:ascii="Inter" w:hAnsi="Inter" w:cs="Inter"/>
          <w:b w:val="0"/>
          <w:i w:val="0"/>
          <w:color w:val="2D2D2D"/>
          <w:sz w:val="22"/>
        </w:rPr>
        <w:t xml:space="preserve">    10.8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11 — Setting Up Monitoring and Evaluation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*(Planning Point 10: Results-Based Monitoring and Evaluation)*</w:t>
      </w:r>
    </w:p>
    <w:p>
      <w:pPr>
        <w:spacing w:after="120" w:line="276" w:lineRule="auto"/>
      </w:pPr>
      <w:r>
        <w:rPr>
          <w:rFonts w:ascii="Inter" w:hAnsi="Inter" w:cs="Inter"/>
          <w:b w:val="0"/>
          <w:i w:val="0"/>
          <w:color w:val="2D2D2D"/>
          <w:sz w:val="22"/>
        </w:rPr>
        <w:t xml:space="preserve">    11.1 Purpose</w:t>
      </w:r>
    </w:p>
    <w:p>
      <w:pPr>
        <w:spacing w:after="120" w:line="276" w:lineRule="auto"/>
      </w:pPr>
      <w:r>
        <w:rPr>
          <w:rFonts w:ascii="Inter" w:hAnsi="Inter" w:cs="Inter"/>
          <w:b w:val="0"/>
          <w:i w:val="0"/>
          <w:color w:val="2D2D2D"/>
          <w:sz w:val="22"/>
        </w:rPr>
        <w:t xml:space="preserve">    11.2 Key Concepts</w:t>
      </w:r>
    </w:p>
    <w:p>
      <w:pPr>
        <w:spacing w:after="120" w:line="276" w:lineRule="auto"/>
      </w:pPr>
      <w:r>
        <w:rPr>
          <w:rFonts w:ascii="Inter" w:hAnsi="Inter" w:cs="Inter"/>
          <w:b w:val="0"/>
          <w:i w:val="0"/>
          <w:color w:val="2D2D2D"/>
          <w:sz w:val="22"/>
        </w:rPr>
        <w:t xml:space="preserve">    11.3 Step-by-Step Instructions</w:t>
      </w:r>
    </w:p>
    <w:p>
      <w:pPr>
        <w:spacing w:after="120" w:line="276" w:lineRule="auto"/>
      </w:pPr>
      <w:r>
        <w:rPr>
          <w:rFonts w:ascii="Inter" w:hAnsi="Inter" w:cs="Inter"/>
          <w:b w:val="0"/>
          <w:i w:val="0"/>
          <w:color w:val="2D2D2D"/>
          <w:sz w:val="22"/>
        </w:rPr>
        <w:t xml:space="preserve">        11.3.1 Define Performance Indicators at Each Results Level</w:t>
      </w:r>
    </w:p>
    <w:p>
      <w:pPr>
        <w:spacing w:after="120" w:line="276" w:lineRule="auto"/>
      </w:pPr>
      <w:r>
        <w:rPr>
          <w:rFonts w:ascii="Inter" w:hAnsi="Inter" w:cs="Inter"/>
          <w:b w:val="0"/>
          <w:i w:val="0"/>
          <w:color w:val="2D2D2D"/>
          <w:sz w:val="22"/>
        </w:rPr>
        <w:t xml:space="preserve">        11.3.2 Set Baselines and Targets</w:t>
      </w:r>
    </w:p>
    <w:p>
      <w:pPr>
        <w:spacing w:after="120" w:line="276" w:lineRule="auto"/>
      </w:pPr>
      <w:r>
        <w:rPr>
          <w:rFonts w:ascii="Inter" w:hAnsi="Inter" w:cs="Inter"/>
          <w:b w:val="0"/>
          <w:i w:val="0"/>
          <w:color w:val="2D2D2D"/>
          <w:sz w:val="22"/>
        </w:rPr>
        <w:t xml:space="preserve">        11.3.3 Establish Data Collection Processes and Frequency</w:t>
      </w:r>
    </w:p>
    <w:p>
      <w:pPr>
        <w:spacing w:after="120" w:line="276" w:lineRule="auto"/>
      </w:pPr>
      <w:r>
        <w:rPr>
          <w:rFonts w:ascii="Inter" w:hAnsi="Inter" w:cs="Inter"/>
          <w:b w:val="0"/>
          <w:i w:val="0"/>
          <w:color w:val="2D2D2D"/>
          <w:sz w:val="22"/>
        </w:rPr>
        <w:t xml:space="preserve">        11.3.4 Design the Reporting and Review Cycle</w:t>
      </w:r>
    </w:p>
    <w:p>
      <w:pPr>
        <w:spacing w:after="120" w:line="276" w:lineRule="auto"/>
      </w:pPr>
      <w:r>
        <w:rPr>
          <w:rFonts w:ascii="Inter" w:hAnsi="Inter" w:cs="Inter"/>
          <w:b w:val="0"/>
          <w:i w:val="0"/>
          <w:color w:val="2D2D2D"/>
          <w:sz w:val="22"/>
        </w:rPr>
        <w:t xml:space="preserve">    11.4 Worked Example</w:t>
      </w:r>
    </w:p>
    <w:p>
      <w:pPr>
        <w:spacing w:after="120" w:line="276" w:lineRule="auto"/>
      </w:pPr>
      <w:r>
        <w:rPr>
          <w:rFonts w:ascii="Inter" w:hAnsi="Inter" w:cs="Inter"/>
          <w:b w:val="0"/>
          <w:i w:val="0"/>
          <w:color w:val="2D2D2D"/>
          <w:sz w:val="22"/>
        </w:rPr>
        <w:t xml:space="preserve">    11.5 For Decision-Makers</w:t>
      </w:r>
    </w:p>
    <w:p>
      <w:pPr>
        <w:spacing w:after="120" w:line="276" w:lineRule="auto"/>
      </w:pPr>
      <w:r>
        <w:rPr>
          <w:rFonts w:ascii="Inter" w:hAnsi="Inter" w:cs="Inter"/>
          <w:b w:val="0"/>
          <w:i w:val="0"/>
          <w:color w:val="2D2D2D"/>
          <w:sz w:val="22"/>
        </w:rPr>
        <w:t xml:space="preserve">    11.6 Common Pitfalls</w:t>
      </w:r>
    </w:p>
    <w:p>
      <w:pPr>
        <w:spacing w:after="120" w:line="276" w:lineRule="auto"/>
      </w:pPr>
      <w:r>
        <w:rPr>
          <w:rFonts w:ascii="Inter" w:hAnsi="Inter" w:cs="Inter"/>
          <w:b w:val="0"/>
          <w:i w:val="0"/>
          <w:color w:val="2D2D2D"/>
          <w:sz w:val="22"/>
        </w:rPr>
        <w:t xml:space="preserve">    11.7 Templates: M&amp;E Framework and Indicator Registry</w:t>
      </w:r>
    </w:p>
    <w:p>
      <w:pPr>
        <w:spacing w:after="120" w:line="276" w:lineRule="auto"/>
      </w:pPr>
      <w:r>
        <w:rPr>
          <w:rFonts w:ascii="Inter" w:hAnsi="Inter" w:cs="Inter"/>
          <w:b w:val="0"/>
          <w:i w:val="0"/>
          <w:color w:val="2D2D2D"/>
          <w:sz w:val="22"/>
        </w:rPr>
        <w:t xml:space="preserve">    11.8 Quality Checklist</w:t>
      </w:r>
    </w:p>
    <w:p>
      <w:pPr>
        <w:spacing w:after="120" w:line="276" w:lineRule="auto"/>
      </w:pPr>
      <w:r>
        <w:rPr>
          <w:rFonts w:ascii="Inter" w:hAnsi="Inter" w:cs="Inter"/>
          <w:b w:val="0"/>
          <w:i w:val="0"/>
          <w:color w:val="2D2D2D"/>
          <w:sz w:val="22"/>
        </w:rPr>
      </w:r>
      <w:r>
        <w:rPr>
          <w:rFonts w:ascii="Inter" w:hAnsi="Inter" w:cs="Inter"/>
          <w:b/>
          <w:i w:val="0"/>
          <w:color w:val="2D2D2D"/>
          <w:sz w:val="22"/>
        </w:rPr>
        <w:t>Chapter 12 — Assembling the MOA Strategic Plan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12.1 What You Have Built</w:t>
      </w:r>
    </w:p>
    <w:p>
      <w:pPr>
        <w:spacing w:after="120" w:line="276" w:lineRule="auto"/>
      </w:pPr>
      <w:r>
        <w:rPr>
          <w:rFonts w:ascii="Inter" w:hAnsi="Inter" w:cs="Inter"/>
          <w:b w:val="0"/>
          <w:i w:val="0"/>
          <w:color w:val="2D2D2D"/>
          <w:sz w:val="22"/>
        </w:rPr>
        <w:t xml:space="preserve">    12.2 The MOA Strategic Plan Document Structure</w:t>
      </w:r>
    </w:p>
    <w:p>
      <w:pPr>
        <w:spacing w:after="120" w:line="276" w:lineRule="auto"/>
      </w:pPr>
      <w:r>
        <w:rPr>
          <w:rFonts w:ascii="Inter" w:hAnsi="Inter" w:cs="Inter"/>
          <w:b w:val="0"/>
          <w:i w:val="0"/>
          <w:color w:val="2D2D2D"/>
          <w:sz w:val="22"/>
        </w:rPr>
        <w:t xml:space="preserve">    12.3 Writing the Executive Summary</w:t>
      </w:r>
    </w:p>
    <w:p>
      <w:pPr>
        <w:spacing w:after="120" w:line="276" w:lineRule="auto"/>
      </w:pPr>
      <w:r>
        <w:rPr>
          <w:rFonts w:ascii="Inter" w:hAnsi="Inter" w:cs="Inter"/>
          <w:b w:val="0"/>
          <w:i w:val="0"/>
          <w:color w:val="2D2D2D"/>
          <w:sz w:val="22"/>
        </w:rPr>
        <w:t xml:space="preserve">    12.4 The Submission and Approval Workflow</w:t>
      </w:r>
    </w:p>
    <w:p>
      <w:pPr>
        <w:spacing w:after="120" w:line="276" w:lineRule="auto"/>
      </w:pPr>
      <w:r>
        <w:rPr>
          <w:rFonts w:ascii="Inter" w:hAnsi="Inter" w:cs="Inter"/>
          <w:b w:val="0"/>
          <w:i w:val="0"/>
          <w:color w:val="2D2D2D"/>
          <w:sz w:val="22"/>
        </w:rPr>
        <w:t xml:space="preserve">    12.5 Plan Updating and Revision Cycles</w:t>
      </w:r>
    </w:p>
    <w:p>
      <w:pPr>
        <w:spacing w:after="120" w:line="276" w:lineRule="auto"/>
      </w:pPr>
      <w:r>
        <w:rPr>
          <w:rFonts w:ascii="Inter" w:hAnsi="Inter" w:cs="Inter"/>
          <w:b w:val="0"/>
          <w:i w:val="0"/>
          <w:color w:val="2D2D2D"/>
          <w:sz w:val="22"/>
        </w:rPr>
        <w:t xml:space="preserve">    12.6 Worked Example</w:t>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A. BARMM Legal Hierarchy Reference</w:t>
      </w:r>
    </w:p>
    <w:p>
      <w:pPr>
        <w:spacing w:after="120" w:line="276" w:lineRule="auto"/>
      </w:pPr>
      <w:r>
        <w:rPr>
          <w:rFonts w:ascii="Inter" w:hAnsi="Inter" w:cs="Inter"/>
          <w:b w:val="0"/>
          <w:i w:val="0"/>
          <w:color w:val="2D2D2D"/>
          <w:sz w:val="22"/>
        </w:rPr>
        <w:t xml:space="preserve">    B. BDP 2023-2028 Quick Reference</w:t>
      </w:r>
    </w:p>
    <w:p>
      <w:pPr>
        <w:spacing w:after="120" w:line="276" w:lineRule="auto"/>
      </w:pPr>
      <w:r>
        <w:rPr>
          <w:rFonts w:ascii="Inter" w:hAnsi="Inter" w:cs="Inter"/>
          <w:b w:val="0"/>
          <w:i w:val="0"/>
          <w:color w:val="2D2D2D"/>
          <w:sz w:val="22"/>
        </w:rPr>
        <w:t xml:space="preserve">    C. 12-Point Enhanced Priority Agenda</w:t>
      </w:r>
    </w:p>
    <w:p>
      <w:pPr>
        <w:spacing w:after="120" w:line="276" w:lineRule="auto"/>
      </w:pPr>
      <w:r>
        <w:rPr>
          <w:rFonts w:ascii="Inter" w:hAnsi="Inter" w:cs="Inter"/>
          <w:b w:val="0"/>
          <w:i w:val="0"/>
          <w:color w:val="2D2D2D"/>
          <w:sz w:val="22"/>
        </w:rPr>
        <w:t xml:space="preserve">    D. Complete Blank Templates</w:t>
      </w:r>
    </w:p>
    <w:p>
      <w:pPr>
        <w:spacing w:after="120" w:line="276" w:lineRule="auto"/>
      </w:pPr>
      <w:r>
        <w:rPr>
          <w:rFonts w:ascii="Inter" w:hAnsi="Inter" w:cs="Inter"/>
          <w:b w:val="0"/>
          <w:i w:val="0"/>
          <w:color w:val="2D2D2D"/>
          <w:sz w:val="22"/>
        </w:rPr>
        <w:t xml:space="preserve">    E. Worked Example: A Complete MOA Strategic Plan</w:t>
      </w:r>
    </w:p>
    <w:p>
      <w:pPr>
        <w:spacing w:after="120" w:line="276" w:lineRule="auto"/>
      </w:pPr>
      <w:r>
        <w:rPr>
          <w:rFonts w:ascii="Inter" w:hAnsi="Inter" w:cs="Inter"/>
          <w:b w:val="0"/>
          <w:i w:val="0"/>
          <w:color w:val="2D2D2D"/>
          <w:sz w:val="22"/>
        </w:rPr>
        <w:t xml:space="preserve">    F. Glossary of Planning Terms</w:t>
      </w:r>
    </w:p>
    <w:p>
      <w:pPr>
        <w:spacing w:after="120" w:line="276" w:lineRule="auto"/>
      </w:pPr>
      <w:r>
        <w:rPr>
          <w:rFonts w:ascii="Inter" w:hAnsi="Inter" w:cs="Inter"/>
          <w:b w:val="0"/>
          <w:i w:val="0"/>
          <w:color w:val="2D2D2D"/>
          <w:sz w:val="22"/>
        </w:rPr>
        <w:t xml:space="preserve">    G. Legal References</w:t>
      </w:r>
    </w:p>
    <w:p>
      <w:pPr>
        <w:pageBreakBefore/>
      </w:pPr>
    </w:p>
    <w:p>
      <w:pPr>
        <w:pStyle w:val="Heading1"/>
      </w:pPr>
      <w:r>
        <w:rPr>
          <w:rFonts w:ascii="Inter" w:hAnsi="Inter" w:cs="Inter"/>
          <w:b/>
          <w:i w:val="0"/>
          <w:color w:val="1B365D"/>
          <w:sz w:val="44"/>
        </w:rPr>
        <w:t>About This Guidebook</w:t>
      </w:r>
    </w:p>
    <w:p>
      <w:pPr>
        <w:pStyle w:val="Heading2"/>
      </w:pPr>
      <w:r>
        <w:rPr>
          <w:rFonts w:ascii="Inter" w:hAnsi="Inter" w:cs="Inter"/>
          <w:b/>
          <w:i w:val="0"/>
          <w:color w:val="1B365D"/>
          <w:sz w:val="32"/>
        </w:rPr>
        <w:t>Purpose</w:t>
      </w:r>
    </w:p>
    <w:p>
      <w:pPr>
        <w:spacing w:after="120" w:line="276" w:lineRule="auto"/>
      </w:pPr>
      <w:r>
        <w:rPr>
          <w:rFonts w:ascii="Inter" w:hAnsi="Inter" w:cs="Inter"/>
          <w:b w:val="0"/>
          <w:i w:val="0"/>
          <w:color w:val="2D2D2D"/>
          <w:sz w:val="22"/>
        </w:rPr>
        <w:t xml:space="preserve">This guidebook provides a practitioner's guide to the </w:t>
      </w:r>
      <w:r>
        <w:rPr>
          <w:rFonts w:ascii="Inter" w:hAnsi="Inter" w:cs="Inter"/>
          <w:b/>
          <w:i w:val="0"/>
          <w:color w:val="2D2D2D"/>
          <w:sz w:val="22"/>
        </w:rPr>
        <w:t>10-Point Strategic Planning Framework</w:t>
      </w:r>
      <w:r>
        <w:rPr>
          <w:rFonts w:ascii="Inter" w:hAnsi="Inter" w:cs="Inter"/>
          <w:b w:val="0"/>
          <w:i w:val="0"/>
          <w:color w:val="2D2D2D"/>
          <w:sz w:val="22"/>
        </w:rPr>
        <w:t xml:space="preserve"> for Ministries, Offices, and Agencies (MOAs) of the Bangsamoro Autonomous Region in Muslim Mindanao (BARMM). It is designed for the people who actually produce strategic plans — not as a policy statement about strategic planning, but as a working tool that walks practitioners through each planning point in sequence.</w:t>
      </w:r>
    </w:p>
    <w:p>
      <w:pPr>
        <w:spacing w:after="120" w:line="276" w:lineRule="auto"/>
      </w:pPr>
      <w:r>
        <w:rPr>
          <w:rFonts w:ascii="Inter" w:hAnsi="Inter" w:cs="Inter"/>
          <w:b w:val="0"/>
          <w:i w:val="0"/>
          <w:color w:val="2D2D2D"/>
          <w:sz w:val="22"/>
        </w:rPr>
        <w:t xml:space="preserve">The guidebook produces ten modular working documents, one per planning point, that assemble at the end into a complete </w:t>
      </w:r>
      <w:r>
        <w:rPr>
          <w:rFonts w:ascii="Inter" w:hAnsi="Inter" w:cs="Inter"/>
          <w:b/>
          <w:i w:val="0"/>
          <w:color w:val="2D2D2D"/>
          <w:sz w:val="22"/>
        </w:rPr>
        <w:t>MOA Strategic Plan</w:t>
      </w:r>
      <w:r>
        <w:rPr>
          <w:rFonts w:ascii="Inter" w:hAnsi="Inter" w:cs="Inter"/>
          <w:b w:val="0"/>
          <w:i w:val="0"/>
          <w:color w:val="2D2D2D"/>
          <w:sz w:val="22"/>
        </w:rPr>
        <w:t>. Each chapter delivers a finished document: a Legal Mandate Inventory, a BDP Alignment Matrix, a Stakeholder Analysis Register, a Theory of Change, a PPA Design Matrix, a Resource Planning Table, an Annual Work Plan, and a Performance Monitoring Framework, among others. By Chapter 12, you do not write a strategic plan from scratch — you assemble it from the documents you have already built.</w:t>
      </w:r>
    </w:p>
    <w:p>
      <w:pPr>
        <w:pStyle w:val="Heading2"/>
      </w:pPr>
      <w:r>
        <w:rPr>
          <w:rFonts w:ascii="Inter" w:hAnsi="Inter" w:cs="Inter"/>
          <w:b/>
          <w:i w:val="0"/>
          <w:color w:val="1B365D"/>
          <w:sz w:val="32"/>
        </w:rPr>
        <w:t>Intended Audience</w:t>
      </w:r>
    </w:p>
    <w:p>
      <w:pPr>
        <w:spacing w:after="120" w:line="276" w:lineRule="auto"/>
      </w:pPr>
      <w:r>
        <w:rPr>
          <w:rFonts w:ascii="Inter" w:hAnsi="Inter" w:cs="Inter"/>
          <w:b w:val="0"/>
          <w:i w:val="0"/>
          <w:color w:val="2D2D2D"/>
          <w:sz w:val="22"/>
        </w:rPr>
        <w:t>This guidebook is written for three tiers of users:</w:t>
      </w:r>
    </w:p>
    <w:p>
      <w:pPr>
        <w:pStyle w:val="ListNumber"/>
      </w:pPr>
      <w:r>
        <w:rPr>
          <w:rFonts w:ascii="Inter" w:hAnsi="Inter" w:cs="Inter"/>
          <w:b w:val="0"/>
          <w:i w:val="0"/>
          <w:color w:val="2D2D2D"/>
          <w:sz w:val="22"/>
        </w:rPr>
      </w:r>
      <w:r>
        <w:rPr>
          <w:rFonts w:ascii="Inter" w:hAnsi="Inter" w:cs="Inter"/>
          <w:b/>
          <w:i w:val="0"/>
          <w:color w:val="2D2D2D"/>
          <w:sz w:val="22"/>
        </w:rPr>
        <w:t>Planning Officers, Budget Officers, and M&amp;E Officers</w:t>
      </w:r>
      <w:r>
        <w:rPr>
          <w:rFonts w:ascii="Inter" w:hAnsi="Inter" w:cs="Inter"/>
          <w:b w:val="0"/>
          <w:i w:val="0"/>
          <w:color w:val="2D2D2D"/>
          <w:sz w:val="22"/>
        </w:rPr>
        <w:t xml:space="preserve"> (primary audience) — the drafters who follow the step-by-step instructions in each chapter, complete the templates, and produce the working documents that constitute the MOA Strategic Plan. If this is you, read every section of every chapter in sequence.</w:t>
      </w:r>
    </w:p>
    <w:p>
      <w:pPr>
        <w:pStyle w:val="ListNumber"/>
      </w:pPr>
      <w:r>
        <w:rPr>
          <w:rFonts w:ascii="Inter" w:hAnsi="Inter" w:cs="Inter"/>
          <w:b w:val="0"/>
          <w:i w:val="0"/>
          <w:color w:val="2D2D2D"/>
          <w:sz w:val="22"/>
        </w:rPr>
      </w:r>
      <w:r>
        <w:rPr>
          <w:rFonts w:ascii="Inter" w:hAnsi="Inter" w:cs="Inter"/>
          <w:b/>
          <w:i w:val="0"/>
          <w:color w:val="2D2D2D"/>
          <w:sz w:val="22"/>
        </w:rPr>
        <w:t>Ministers, Executive Directors, Deputy Ministers, and Division Chiefs</w:t>
      </w:r>
      <w:r>
        <w:rPr>
          <w:rFonts w:ascii="Inter" w:hAnsi="Inter" w:cs="Inter"/>
          <w:b w:val="0"/>
          <w:i w:val="0"/>
          <w:color w:val="2D2D2D"/>
          <w:sz w:val="22"/>
        </w:rPr>
        <w:t xml:space="preserve"> (secondary audience) — decision-makers who do not draft the plan but who must understand, validate, and approve each component. Each chapter contains a </w:t>
      </w:r>
      <w:r>
        <w:rPr>
          <w:rFonts w:ascii="Inter" w:hAnsi="Inter" w:cs="Inter"/>
          <w:b/>
          <w:i w:val="0"/>
          <w:color w:val="2D2D2D"/>
          <w:sz w:val="22"/>
        </w:rPr>
        <w:t>For Decision-Makers</w:t>
      </w:r>
      <w:r>
        <w:rPr>
          <w:rFonts w:ascii="Inter" w:hAnsi="Inter" w:cs="Inter"/>
          <w:b w:val="0"/>
          <w:i w:val="0"/>
          <w:color w:val="2D2D2D"/>
          <w:sz w:val="22"/>
        </w:rPr>
        <w:t xml:space="preserve"> callout that summarizes what you need to review, what questions to ask, and what your approval signifies. You can read those callouts and Chapter 12 without reading the full step-by-step instructions.</w:t>
      </w:r>
    </w:p>
    <w:p>
      <w:pPr>
        <w:pStyle w:val="ListNumber"/>
      </w:pPr>
      <w:r>
        <w:rPr>
          <w:rFonts w:ascii="Inter" w:hAnsi="Inter" w:cs="Inter"/>
          <w:b w:val="0"/>
          <w:i w:val="0"/>
          <w:color w:val="2D2D2D"/>
          <w:sz w:val="22"/>
        </w:rPr>
      </w:r>
      <w:r>
        <w:rPr>
          <w:rFonts w:ascii="Inter" w:hAnsi="Inter" w:cs="Inter"/>
          <w:b/>
          <w:i w:val="0"/>
          <w:color w:val="2D2D2D"/>
          <w:sz w:val="22"/>
        </w:rPr>
        <w:t>BPDA Staff</w:t>
      </w:r>
      <w:r>
        <w:rPr>
          <w:rFonts w:ascii="Inter" w:hAnsi="Inter" w:cs="Inter"/>
          <w:b w:val="0"/>
          <w:i w:val="0"/>
          <w:color w:val="2D2D2D"/>
          <w:sz w:val="22"/>
        </w:rPr>
        <w:t xml:space="preserve"> (tertiary audience) — Bangsamoro Planning and Development Authority staff who review and certify MOA strategic plans for compliance with the BDP and BARMM planning standards. Chapter 12 and the appendix templates provide the reference structure for review. The quality checklists at the end of each chapter serve as a certification checklist.</w:t>
      </w:r>
    </w:p>
    <w:p>
      <w:pPr>
        <w:pStyle w:val="Heading2"/>
      </w:pPr>
      <w:r>
        <w:rPr>
          <w:rFonts w:ascii="Inter" w:hAnsi="Inter" w:cs="Inter"/>
          <w:b/>
          <w:i w:val="0"/>
          <w:color w:val="1B365D"/>
          <w:sz w:val="32"/>
        </w:rPr>
        <w:t>How to Use This Guidebook</w:t>
      </w:r>
    </w:p>
    <w:p>
      <w:pPr>
        <w:pStyle w:val="Heading3"/>
      </w:pPr>
      <w:r>
        <w:rPr>
          <w:rFonts w:ascii="Inter" w:hAnsi="Inter" w:cs="Inter"/>
          <w:b/>
          <w:i w:val="0"/>
          <w:color w:val="2C5F7C"/>
          <w:sz w:val="26"/>
        </w:rPr>
        <w:t>For First-Time Users</w:t>
      </w:r>
    </w:p>
    <w:p>
      <w:pPr>
        <w:spacing w:after="120" w:line="276" w:lineRule="auto"/>
      </w:pPr>
      <w:r>
        <w:rPr>
          <w:rFonts w:ascii="Inter" w:hAnsi="Inter" w:cs="Inter"/>
          <w:b w:val="0"/>
          <w:i w:val="0"/>
          <w:color w:val="2D2D2D"/>
          <w:sz w:val="22"/>
        </w:rPr>
        <w:t xml:space="preserve">Read </w:t>
      </w:r>
      <w:r>
        <w:rPr>
          <w:rFonts w:ascii="Inter" w:hAnsi="Inter" w:cs="Inter"/>
          <w:b/>
          <w:i w:val="0"/>
          <w:color w:val="2D2D2D"/>
          <w:sz w:val="22"/>
        </w:rPr>
        <w:t>Chapter 1</w:t>
      </w:r>
      <w:r>
        <w:rPr>
          <w:rFonts w:ascii="Inter" w:hAnsi="Inter" w:cs="Inter"/>
          <w:b w:val="0"/>
          <w:i w:val="0"/>
          <w:color w:val="2D2D2D"/>
          <w:sz w:val="22"/>
        </w:rPr>
        <w:t xml:space="preserve"> (Introduction to Strategic Planning in BARMM) in full to understand the framework and what you are building. Then work through </w:t>
      </w:r>
      <w:r>
        <w:rPr>
          <w:rFonts w:ascii="Inter" w:hAnsi="Inter" w:cs="Inter"/>
          <w:b/>
          <w:i w:val="0"/>
          <w:color w:val="2D2D2D"/>
          <w:sz w:val="22"/>
        </w:rPr>
        <w:t>Chapters 2-11</w:t>
      </w:r>
      <w:r>
        <w:rPr>
          <w:rFonts w:ascii="Inter" w:hAnsi="Inter" w:cs="Inter"/>
          <w:b w:val="0"/>
          <w:i w:val="0"/>
          <w:color w:val="2D2D2D"/>
          <w:sz w:val="22"/>
        </w:rPr>
        <w:t xml:space="preserve"> in sequence, completing the template at the end of each chapter before moving to the next. Finish with </w:t>
      </w:r>
      <w:r>
        <w:rPr>
          <w:rFonts w:ascii="Inter" w:hAnsi="Inter" w:cs="Inter"/>
          <w:b/>
          <w:i w:val="0"/>
          <w:color w:val="2D2D2D"/>
          <w:sz w:val="22"/>
        </w:rPr>
        <w:t>Chapter 12</w:t>
      </w:r>
      <w:r>
        <w:rPr>
          <w:rFonts w:ascii="Inter" w:hAnsi="Inter" w:cs="Inter"/>
          <w:b w:val="0"/>
          <w:i w:val="0"/>
          <w:color w:val="2D2D2D"/>
          <w:sz w:val="22"/>
        </w:rPr>
        <w:t xml:space="preserve"> to assemble your final document.</w:t>
      </w:r>
    </w:p>
    <w:p>
      <w:pPr>
        <w:pStyle w:val="Heading3"/>
      </w:pPr>
      <w:r>
        <w:rPr>
          <w:rFonts w:ascii="Inter" w:hAnsi="Inter" w:cs="Inter"/>
          <w:b/>
          <w:i w:val="0"/>
          <w:color w:val="2C5F7C"/>
          <w:sz w:val="26"/>
        </w:rPr>
        <w:t>For Experienced Planners</w:t>
      </w:r>
    </w:p>
    <w:p>
      <w:pPr>
        <w:spacing w:after="120" w:line="276" w:lineRule="auto"/>
      </w:pPr>
      <w:r>
        <w:rPr>
          <w:rFonts w:ascii="Inter" w:hAnsi="Inter" w:cs="Inter"/>
          <w:b w:val="0"/>
          <w:i w:val="0"/>
          <w:color w:val="2D2D2D"/>
          <w:sz w:val="22"/>
        </w:rPr>
        <w:t xml:space="preserve">If you have produced strategic plans before, use </w:t>
      </w:r>
      <w:r>
        <w:rPr>
          <w:rFonts w:ascii="Inter" w:hAnsi="Inter" w:cs="Inter"/>
          <w:b/>
          <w:i w:val="0"/>
          <w:color w:val="2D2D2D"/>
          <w:sz w:val="22"/>
        </w:rPr>
        <w:t>Chapter 1</w:t>
      </w:r>
      <w:r>
        <w:rPr>
          <w:rFonts w:ascii="Inter" w:hAnsi="Inter" w:cs="Inter"/>
          <w:b w:val="0"/>
          <w:i w:val="0"/>
          <w:color w:val="2D2D2D"/>
          <w:sz w:val="22"/>
        </w:rPr>
        <w:t xml:space="preserve"> to orient yourself to the 10-Point Framework, then jump to the chapter that covers the planning point you are currently working on. The chapters are self-contained — you do not need to read them in order if you already understand the foundations.</w:t>
      </w:r>
    </w:p>
    <w:p>
      <w:pPr>
        <w:pStyle w:val="Heading3"/>
      </w:pPr>
      <w:r>
        <w:rPr>
          <w:rFonts w:ascii="Inter" w:hAnsi="Inter" w:cs="Inter"/>
          <w:b/>
          <w:i w:val="0"/>
          <w:color w:val="2C5F7C"/>
          <w:sz w:val="26"/>
        </w:rPr>
        <w:t>For Decision-Makers</w:t>
      </w:r>
    </w:p>
    <w:p>
      <w:pPr>
        <w:spacing w:after="120" w:line="276" w:lineRule="auto"/>
      </w:pPr>
      <w:r>
        <w:rPr>
          <w:rFonts w:ascii="Inter" w:hAnsi="Inter" w:cs="Inter"/>
          <w:b w:val="0"/>
          <w:i w:val="0"/>
          <w:color w:val="2D2D2D"/>
          <w:sz w:val="22"/>
        </w:rPr>
        <w:t xml:space="preserve">Read </w:t>
      </w:r>
      <w:r>
        <w:rPr>
          <w:rFonts w:ascii="Inter" w:hAnsi="Inter" w:cs="Inter"/>
          <w:b/>
          <w:i w:val="0"/>
          <w:color w:val="2D2D2D"/>
          <w:sz w:val="22"/>
        </w:rPr>
        <w:t>Chapter 1</w:t>
      </w:r>
      <w:r>
        <w:rPr>
          <w:rFonts w:ascii="Inter" w:hAnsi="Inter" w:cs="Inter"/>
          <w:b w:val="0"/>
          <w:i w:val="0"/>
          <w:color w:val="2D2D2D"/>
          <w:sz w:val="22"/>
        </w:rPr>
        <w:t xml:space="preserve"> (Sections 1.4-1.6) to understand the framework, your role, and what the planning team will produce. In each subsequent chapter, go directly to the </w:t>
      </w:r>
      <w:r>
        <w:rPr>
          <w:rFonts w:ascii="Inter" w:hAnsi="Inter" w:cs="Inter"/>
          <w:b/>
          <w:i w:val="0"/>
          <w:color w:val="2D2D2D"/>
          <w:sz w:val="22"/>
        </w:rPr>
        <w:t>For Decision-Makers</w:t>
      </w:r>
      <w:r>
        <w:rPr>
          <w:rFonts w:ascii="Inter" w:hAnsi="Inter" w:cs="Inter"/>
          <w:b w:val="0"/>
          <w:i w:val="0"/>
          <w:color w:val="2D2D2D"/>
          <w:sz w:val="22"/>
        </w:rPr>
        <w:t xml:space="preserve"> callout (Section X.5). Then read </w:t>
      </w:r>
      <w:r>
        <w:rPr>
          <w:rFonts w:ascii="Inter" w:hAnsi="Inter" w:cs="Inter"/>
          <w:b/>
          <w:i w:val="0"/>
          <w:color w:val="2D2D2D"/>
          <w:sz w:val="22"/>
        </w:rPr>
        <w:t>Chapter 12</w:t>
      </w:r>
      <w:r>
        <w:rPr>
          <w:rFonts w:ascii="Inter" w:hAnsi="Inter" w:cs="Inter"/>
          <w:b w:val="0"/>
          <w:i w:val="0"/>
          <w:color w:val="2D2D2D"/>
          <w:sz w:val="22"/>
        </w:rPr>
        <w:t xml:space="preserve"> in full — it is the chapter that most directly concerns your responsibilities: reviewing the assembled plan, approving the executive summary, and submitting through the proper workflow.</w:t>
      </w:r>
    </w:p>
    <w:p>
      <w:pPr>
        <w:pStyle w:val="Heading3"/>
      </w:pPr>
      <w:r>
        <w:rPr>
          <w:rFonts w:ascii="Inter" w:hAnsi="Inter" w:cs="Inter"/>
          <w:b/>
          <w:i w:val="0"/>
          <w:color w:val="2C5F7C"/>
          <w:sz w:val="26"/>
        </w:rPr>
        <w:t>For BPDA Reviewers</w:t>
      </w:r>
    </w:p>
    <w:p>
      <w:pPr>
        <w:spacing w:after="120" w:line="276" w:lineRule="auto"/>
      </w:pPr>
      <w:r>
        <w:rPr>
          <w:rFonts w:ascii="Inter" w:hAnsi="Inter" w:cs="Inter"/>
          <w:b w:val="0"/>
          <w:i w:val="0"/>
          <w:color w:val="2D2D2D"/>
          <w:sz w:val="22"/>
        </w:rPr>
        <w:t xml:space="preserve">Use </w:t>
      </w:r>
      <w:r>
        <w:rPr>
          <w:rFonts w:ascii="Inter" w:hAnsi="Inter" w:cs="Inter"/>
          <w:b/>
          <w:i w:val="0"/>
          <w:color w:val="2D2D2D"/>
          <w:sz w:val="22"/>
        </w:rPr>
        <w:t>Chapter 12</w:t>
      </w:r>
      <w:r>
        <w:rPr>
          <w:rFonts w:ascii="Inter" w:hAnsi="Inter" w:cs="Inter"/>
          <w:b w:val="0"/>
          <w:i w:val="0"/>
          <w:color w:val="2D2D2D"/>
          <w:sz w:val="22"/>
        </w:rPr>
        <w:t xml:space="preserve"> as the primary reference for document structure and submission requirements. The quality checklists at Section X.8 of each chapter serve as the checklist for certifying each planning component. </w:t>
      </w:r>
      <w:r>
        <w:rPr>
          <w:rFonts w:ascii="Inter" w:hAnsi="Inter" w:cs="Inter"/>
          <w:b/>
          <w:i w:val="0"/>
          <w:color w:val="2D2D2D"/>
          <w:sz w:val="22"/>
        </w:rPr>
        <w:t>Appendix D</w:t>
      </w:r>
      <w:r>
        <w:rPr>
          <w:rFonts w:ascii="Inter" w:hAnsi="Inter" w:cs="Inter"/>
          <w:b w:val="0"/>
          <w:i w:val="0"/>
          <w:color w:val="2D2D2D"/>
          <w:sz w:val="22"/>
        </w:rPr>
        <w:t xml:space="preserve"> contains all blank templates in the standard format for reference during review.</w:t>
      </w:r>
    </w:p>
    <w:p>
      <w:pPr>
        <w:pStyle w:val="Heading2"/>
      </w:pPr>
      <w:r>
        <w:rPr>
          <w:rFonts w:ascii="Inter" w:hAnsi="Inter" w:cs="Inter"/>
          <w:b/>
          <w:i w:val="0"/>
          <w:color w:val="1B365D"/>
          <w:sz w:val="32"/>
        </w:rPr>
        <w:t>Conventions Used in This Guidebook</w:t>
      </w:r>
    </w:p>
    <w:p>
      <w:pPr>
        <w:pStyle w:val="ListBullet"/>
      </w:pPr>
      <w:r>
        <w:rPr>
          <w:rFonts w:ascii="Inter" w:hAnsi="Inter" w:cs="Inter"/>
          <w:b w:val="0"/>
          <w:i w:val="0"/>
          <w:color w:val="2D2D2D"/>
          <w:sz w:val="22"/>
        </w:rPr>
      </w:r>
      <w:r>
        <w:rPr>
          <w:rFonts w:ascii="Inter" w:hAnsi="Inter" w:cs="Inter"/>
          <w:b/>
          <w:i w:val="0"/>
          <w:color w:val="2D2D2D"/>
          <w:sz w:val="22"/>
        </w:rPr>
        <w:t>Bold text</w:t>
      </w:r>
      <w:r>
        <w:rPr>
          <w:rFonts w:ascii="Inter" w:hAnsi="Inter" w:cs="Inter"/>
          <w:b w:val="0"/>
          <w:i w:val="0"/>
          <w:color w:val="2D2D2D"/>
          <w:sz w:val="22"/>
        </w:rPr>
        <w:t xml:space="preserve"> highlights key terms, framework names, planning points, and important concepts on first use</w:t>
      </w:r>
    </w:p>
    <w:p>
      <w:pPr>
        <w:pStyle w:val="ListBullet"/>
      </w:pPr>
      <w:r>
        <w:rPr>
          <w:rFonts w:ascii="Inter" w:hAnsi="Inter" w:cs="Inter"/>
          <w:b w:val="0"/>
          <w:i w:val="0"/>
          <w:color w:val="2D2D2D"/>
          <w:sz w:val="22"/>
        </w:rPr>
        <w:t>*Italic text* indicates document titles, template names, and technical terms on first use</w:t>
      </w:r>
    </w:p>
    <w:p>
      <w:pPr>
        <w:pStyle w:val="ListBullet"/>
      </w:pPr>
      <w:r>
        <w:rPr>
          <w:rFonts w:ascii="Inter" w:hAnsi="Inter" w:cs="Inter"/>
          <w:b w:val="0"/>
          <w:i w:val="0"/>
          <w:color w:val="2D2D2D"/>
          <w:sz w:val="22"/>
        </w:rPr>
        <w:t xml:space="preserve">Boxed callouts marked </w:t>
      </w:r>
      <w:r>
        <w:rPr>
          <w:rFonts w:ascii="Inter" w:hAnsi="Inter" w:cs="Inter"/>
          <w:b/>
          <w:i w:val="0"/>
          <w:color w:val="2D2D2D"/>
          <w:sz w:val="22"/>
        </w:rPr>
        <w:t>TIP</w:t>
      </w:r>
      <w:r>
        <w:rPr>
          <w:rFonts w:ascii="Inter" w:hAnsi="Inter" w:cs="Inter"/>
          <w:b w:val="0"/>
          <w:i w:val="0"/>
          <w:color w:val="2D2D2D"/>
          <w:sz w:val="22"/>
        </w:rPr>
        <w:t xml:space="preserve"> provide practical advice from planning practitioners</w:t>
      </w:r>
    </w:p>
    <w:p>
      <w:pPr>
        <w:pStyle w:val="ListBullet"/>
      </w:pPr>
      <w:r>
        <w:rPr>
          <w:rFonts w:ascii="Inter" w:hAnsi="Inter" w:cs="Inter"/>
          <w:b w:val="0"/>
          <w:i w:val="0"/>
          <w:color w:val="2D2D2D"/>
          <w:sz w:val="22"/>
        </w:rPr>
        <w:t xml:space="preserve">Boxed callouts marked </w:t>
      </w:r>
      <w:r>
        <w:rPr>
          <w:rFonts w:ascii="Inter" w:hAnsi="Inter" w:cs="Inter"/>
          <w:b/>
          <w:i w:val="0"/>
          <w:color w:val="2D2D2D"/>
          <w:sz w:val="22"/>
        </w:rPr>
        <w:t>CAUTION</w:t>
      </w:r>
      <w:r>
        <w:rPr>
          <w:rFonts w:ascii="Inter" w:hAnsi="Inter" w:cs="Inter"/>
          <w:b w:val="0"/>
          <w:i w:val="0"/>
          <w:color w:val="2D2D2D"/>
          <w:sz w:val="22"/>
        </w:rPr>
        <w:t xml:space="preserve"> warn about common planning mistakes and their consequences</w:t>
      </w:r>
    </w:p>
    <w:p>
      <w:pPr>
        <w:pStyle w:val="ListBullet"/>
      </w:pPr>
      <w:r>
        <w:rPr>
          <w:rFonts w:ascii="Inter" w:hAnsi="Inter" w:cs="Inter"/>
          <w:b w:val="0"/>
          <w:i w:val="0"/>
          <w:color w:val="2D2D2D"/>
          <w:sz w:val="22"/>
        </w:rPr>
        <w:t xml:space="preserve">Boxed callouts marked </w:t>
      </w:r>
      <w:r>
        <w:rPr>
          <w:rFonts w:ascii="Inter" w:hAnsi="Inter" w:cs="Inter"/>
          <w:b/>
          <w:i w:val="0"/>
          <w:color w:val="2D2D2D"/>
          <w:sz w:val="22"/>
        </w:rPr>
        <w:t>BANGSAMORO NOTE</w:t>
      </w:r>
      <w:r>
        <w:rPr>
          <w:rFonts w:ascii="Inter" w:hAnsi="Inter" w:cs="Inter"/>
          <w:b w:val="0"/>
          <w:i w:val="0"/>
          <w:color w:val="2D2D2D"/>
          <w:sz w:val="22"/>
        </w:rPr>
        <w:t xml:space="preserve"> highlight guidance specific to BARMM governance, budget cycles, and legal frameworks</w:t>
      </w:r>
    </w:p>
    <w:p>
      <w:pPr>
        <w:pStyle w:val="ListBullet"/>
      </w:pPr>
      <w:r>
        <w:rPr>
          <w:rFonts w:ascii="Inter" w:hAnsi="Inter" w:cs="Inter"/>
          <w:b w:val="0"/>
          <w:i w:val="0"/>
          <w:color w:val="2D2D2D"/>
          <w:sz w:val="22"/>
        </w:rPr>
        <w:t xml:space="preserve">Boxed callouts marked </w:t>
      </w:r>
      <w:r>
        <w:rPr>
          <w:rFonts w:ascii="Inter" w:hAnsi="Inter" w:cs="Inter"/>
          <w:b/>
          <w:i w:val="0"/>
          <w:color w:val="2D2D2D"/>
          <w:sz w:val="22"/>
        </w:rPr>
        <w:t>FOR DECISION-MAKERS</w:t>
      </w:r>
      <w:r>
        <w:rPr>
          <w:rFonts w:ascii="Inter" w:hAnsi="Inter" w:cs="Inter"/>
          <w:b w:val="0"/>
          <w:i w:val="0"/>
          <w:color w:val="2D2D2D"/>
          <w:sz w:val="22"/>
        </w:rPr>
        <w:t xml:space="preserve"> are addressed directly to Ministers, Executive Directors, and senior leadership — summarizing review responsibilities and key questions to ask</w:t>
      </w:r>
    </w:p>
    <w:p>
      <w:pPr>
        <w:pStyle w:val="Heading2"/>
      </w:pPr>
      <w:r>
        <w:rPr>
          <w:rFonts w:ascii="Inter" w:hAnsi="Inter" w:cs="Inter"/>
          <w:b/>
          <w:i w:val="0"/>
          <w:color w:val="1B365D"/>
          <w:sz w:val="32"/>
        </w:rPr>
        <w:t>Relationship to Other BARMM Guidebooks</w:t>
      </w:r>
    </w:p>
    <w:p>
      <w:pPr>
        <w:spacing w:after="120" w:line="276" w:lineRule="auto"/>
      </w:pPr>
      <w:r>
        <w:rPr>
          <w:rFonts w:ascii="Inter" w:hAnsi="Inter" w:cs="Inter"/>
          <w:b w:val="0"/>
          <w:i w:val="0"/>
          <w:color w:val="2D2D2D"/>
          <w:sz w:val="22"/>
        </w:rPr>
        <w:t>This guidebook is one of several practical references produced for BARMM governance practitioners. It is designed to stand alone and be used independently.</w:t>
      </w:r>
    </w:p>
    <w:p>
      <w:pPr>
        <w:spacing w:after="120" w:line="276" w:lineRule="auto"/>
      </w:pPr>
      <w:r>
        <w:rPr>
          <w:rFonts w:ascii="Inter" w:hAnsi="Inter" w:cs="Inter"/>
          <w:b w:val="0"/>
          <w:i w:val="0"/>
          <w:color w:val="2D2D2D"/>
          <w:sz w:val="22"/>
        </w:rPr>
      </w:r>
      <w:r>
        <w:rPr>
          <w:rFonts w:ascii="Inter" w:hAnsi="Inter" w:cs="Inter"/>
          <w:b/>
          <w:i w:val="0"/>
          <w:color w:val="2D2D2D"/>
          <w:sz w:val="22"/>
        </w:rPr>
        <w:t>CSW Guidebook</w:t>
      </w:r>
      <w:r>
        <w:rPr>
          <w:rFonts w:ascii="Inter" w:hAnsi="Inter" w:cs="Inter"/>
          <w:b w:val="0"/>
          <w:i w:val="0"/>
          <w:color w:val="2D2D2D"/>
          <w:sz w:val="22"/>
        </w:rPr>
        <w:t xml:space="preserve"> (Complete Staff Work Guidebook for the Bangsamoro Autonomous Region) covers the analytical process — how staff research, evaluate options, and prepare recommendations. Where the CSW Guidebook focuses on producing decision-support documents for any type of government action, this guidebook focuses specifically on the strategic planning process and its outputs. Staff preparing planning proposals or budget justifications should use both guidebooks together.</w:t>
      </w:r>
    </w:p>
    <w:p>
      <w:pPr>
        <w:spacing w:after="120" w:line="276" w:lineRule="auto"/>
      </w:pPr>
      <w:r>
        <w:rPr>
          <w:rFonts w:ascii="Inter" w:hAnsi="Inter" w:cs="Inter"/>
          <w:b w:val="0"/>
          <w:i w:val="0"/>
          <w:color w:val="2D2D2D"/>
          <w:sz w:val="22"/>
        </w:rPr>
      </w:r>
      <w:r>
        <w:rPr>
          <w:rFonts w:ascii="Inter" w:hAnsi="Inter" w:cs="Inter"/>
          <w:b/>
          <w:i w:val="0"/>
          <w:color w:val="2D2D2D"/>
          <w:sz w:val="22"/>
        </w:rPr>
        <w:t>Bill Drafting Guidebook for the Bangsamoro Parliament</w:t>
      </w:r>
      <w:r>
        <w:rPr>
          <w:rFonts w:ascii="Inter" w:hAnsi="Inter" w:cs="Inter"/>
          <w:b w:val="0"/>
          <w:i w:val="0"/>
          <w:color w:val="2D2D2D"/>
          <w:sz w:val="22"/>
        </w:rPr>
        <w:t xml:space="preserve"> covers the legislative output — how to translate policy intent into an enacted Bangsamoro Autonomy Act. When a strategic plan identifies the need for new legislation, the Bill Drafting Guidebook provides the process for producing the enabling BAA.</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Budget System Guidebook</w:t>
      </w:r>
      <w:r>
        <w:rPr>
          <w:rFonts w:ascii="Inter" w:hAnsi="Inter" w:cs="Inter"/>
          <w:b w:val="0"/>
          <w:i w:val="0"/>
          <w:color w:val="2D2D2D"/>
          <w:sz w:val="22"/>
        </w:rPr>
        <w:t xml:space="preserve"> covering the BARMM budget process under BAA 84 (Budget System Act) is planned. When available, it will complement this guidebook's Chapter 9 (Resource Planning) and Chapter 10 (Annual Work Plan) by providing detailed guidance on budget proposal forms, appropriation structure, and compliance with MFBM requirements.</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Chapter 1: Introduction to Strategic Planning in BARMM</w:t>
      </w:r>
    </w:p>
    <w:p>
      <w:pPr>
        <w:spacing w:after="120" w:line="276" w:lineRule="auto"/>
      </w:pPr>
      <w:r>
        <w:rPr>
          <w:rFonts w:ascii="Inter" w:hAnsi="Inter" w:cs="Inter"/>
          <w:b w:val="0"/>
          <w:i w:val="0"/>
          <w:color w:val="2D2D2D"/>
          <w:sz w:val="22"/>
        </w:rPr>
        <w:t>Your Minister has asked the planning unit to prepare the Ministry's Strategic Plan for the next three years. The directive is clear, but the questions pile up fast. Where do you start? What format should the plan follow? How do you connect your Ministry's work to the Bangsamoro Development Plan 2023-2028? What happens when the budget team asks how your plan links to the annual financial plan, and you have no answer? What does BPDA expect when you submit?</w:t>
      </w:r>
    </w:p>
    <w:p>
      <w:pPr>
        <w:spacing w:after="120" w:line="276" w:lineRule="auto"/>
      </w:pPr>
      <w:r>
        <w:rPr>
          <w:rFonts w:ascii="Inter" w:hAnsi="Inter" w:cs="Inter"/>
          <w:b w:val="0"/>
          <w:i w:val="0"/>
          <w:color w:val="2D2D2D"/>
          <w:sz w:val="22"/>
        </w:rPr>
        <w:t>This guidebook gives you a structured, repeatable process for building a strategic plan that answers all of those questions. It walks you through a 10-point framework designed specifically for Ministries, Offices, and Agencies (MOAs) in the Bangsamoro Autonomous Region. Whether you work in a large ministry with a dedicated planning division or in a small office where one person handles planning, budgeting, and M&amp;E, the process is the same.</w:t>
      </w:r>
    </w:p>
    <w:p>
      <w:pPr>
        <w:spacing w:after="120" w:line="276" w:lineRule="auto"/>
      </w:pPr>
      <w:r>
        <w:rPr>
          <w:rFonts w:ascii="Inter" w:hAnsi="Inter" w:cs="Inter"/>
          <w:b w:val="0"/>
          <w:i w:val="0"/>
          <w:color w:val="2D2D2D"/>
          <w:sz w:val="22"/>
        </w:rPr>
        <w:t>By the time you finish this guidebook, you will have produced a complete MOA Strategic Plan that is legally grounded, aligned with the BDP 2023-2028, linked to your annual budget, and ready for BPDA review.</w:t>
      </w:r>
    </w:p>
    <w:p>
      <w:pPr>
        <w:pStyle w:val="Heading2"/>
      </w:pPr>
      <w:r>
        <w:rPr>
          <w:rFonts w:ascii="Inter" w:hAnsi="Inter" w:cs="Inter"/>
          <w:b/>
          <w:i w:val="0"/>
          <w:color w:val="1B365D"/>
          <w:sz w:val="32"/>
        </w:rPr>
        <w:t>The Problem This Guidebook Solves</w:t>
      </w:r>
    </w:p>
    <w:p>
      <w:pPr>
        <w:spacing w:after="120" w:line="276" w:lineRule="auto"/>
      </w:pPr>
      <w:r>
        <w:rPr>
          <w:rFonts w:ascii="Inter" w:hAnsi="Inter" w:cs="Inter"/>
          <w:b w:val="0"/>
          <w:i w:val="0"/>
          <w:color w:val="2D2D2D"/>
          <w:sz w:val="22"/>
        </w:rPr>
        <w:t>The Bangsamoro Government has a clear development vision. The Bangsamoro Development Plan 2023-2028 lays out six development goals, eight strategies, and hundreds of targets across every sector. The 12-Point Priority Agenda translates that vision into actionable priorities for the transition period. The Bangsamoro Organic Law and the Administrative Code establish the legal mandates of every MOA.</w:t>
      </w:r>
    </w:p>
    <w:p>
      <w:pPr>
        <w:spacing w:after="120" w:line="276" w:lineRule="auto"/>
      </w:pPr>
      <w:r>
        <w:rPr>
          <w:rFonts w:ascii="Inter" w:hAnsi="Inter" w:cs="Inter"/>
          <w:b w:val="0"/>
          <w:i w:val="0"/>
          <w:color w:val="2D2D2D"/>
          <w:sz w:val="22"/>
        </w:rPr>
        <w:t>What is missing is a standardized process for connecting all of these elements at the MOA level.</w:t>
      </w:r>
    </w:p>
    <w:p>
      <w:pPr>
        <w:spacing w:after="120" w:line="276" w:lineRule="auto"/>
      </w:pPr>
      <w:r>
        <w:rPr>
          <w:rFonts w:ascii="Inter" w:hAnsi="Inter" w:cs="Inter"/>
          <w:b w:val="0"/>
          <w:i w:val="0"/>
          <w:color w:val="2D2D2D"/>
          <w:sz w:val="22"/>
        </w:rPr>
        <w:t>Today, strategic planning across MOAs looks different everywhere. Some ministries produce detailed plans with clear outcome indicators. Others submit documents that list activities without explaining how those activities contribute to development goals. Some offices have no strategic plan at all --- they operate year-to-year, responding to the budget call with a list of activities carried over from the previous fiscal year.</w:t>
      </w:r>
    </w:p>
    <w:p>
      <w:pPr>
        <w:spacing w:after="120" w:line="276" w:lineRule="auto"/>
      </w:pPr>
      <w:r>
        <w:rPr>
          <w:rFonts w:ascii="Inter" w:hAnsi="Inter" w:cs="Inter"/>
          <w:b w:val="0"/>
          <w:i w:val="0"/>
          <w:color w:val="2D2D2D"/>
          <w:sz w:val="22"/>
        </w:rPr>
        <w:t>The consequences of this inconsistency are serious:</w:t>
      </w:r>
    </w:p>
    <w:p>
      <w:pPr>
        <w:pStyle w:val="ListBullet"/>
      </w:pPr>
      <w:r>
        <w:rPr>
          <w:rFonts w:ascii="Inter" w:hAnsi="Inter" w:cs="Inter"/>
          <w:b w:val="0"/>
          <w:i w:val="0"/>
          <w:color w:val="2D2D2D"/>
          <w:sz w:val="22"/>
        </w:rPr>
      </w:r>
      <w:r>
        <w:rPr>
          <w:rFonts w:ascii="Inter" w:hAnsi="Inter" w:cs="Inter"/>
          <w:b/>
          <w:i w:val="0"/>
          <w:color w:val="2D2D2D"/>
          <w:sz w:val="22"/>
        </w:rPr>
        <w:t>BPDA cannot compare plans across MOAs.</w:t>
      </w:r>
      <w:r>
        <w:rPr>
          <w:rFonts w:ascii="Inter" w:hAnsi="Inter" w:cs="Inter"/>
          <w:b w:val="0"/>
          <w:i w:val="0"/>
          <w:color w:val="2D2D2D"/>
          <w:sz w:val="22"/>
        </w:rPr>
        <w:t xml:space="preserve"> When each MOA uses a different format, different terminology, and different levels of detail, the Bangsamoro Economic and Development Council has no basis for evaluating whether the region's collective efforts add up to the BDP 2023-2028 targets.</w:t>
      </w:r>
    </w:p>
    <w:p>
      <w:pPr>
        <w:pStyle w:val="ListBullet"/>
      </w:pPr>
      <w:r>
        <w:rPr>
          <w:rFonts w:ascii="Inter" w:hAnsi="Inter" w:cs="Inter"/>
          <w:b w:val="0"/>
          <w:i w:val="0"/>
          <w:color w:val="2D2D2D"/>
          <w:sz w:val="22"/>
        </w:rPr>
      </w:r>
      <w:r>
        <w:rPr>
          <w:rFonts w:ascii="Inter" w:hAnsi="Inter" w:cs="Inter"/>
          <w:b/>
          <w:i w:val="0"/>
          <w:color w:val="2D2D2D"/>
          <w:sz w:val="22"/>
        </w:rPr>
        <w:t>MFBM cannot link plans to budgets.</w:t>
      </w:r>
      <w:r>
        <w:rPr>
          <w:rFonts w:ascii="Inter" w:hAnsi="Inter" w:cs="Inter"/>
          <w:b w:val="0"/>
          <w:i w:val="0"/>
          <w:color w:val="2D2D2D"/>
          <w:sz w:val="22"/>
        </w:rPr>
        <w:t xml:space="preserve"> The Ministry of Finance, Budget and Management needs to see how proposed Programs, Projects, and Activities (PPAs) flow from strategic objectives. Without that logic chain, budget proposals become wish lists rather than investment plans.</w:t>
      </w:r>
    </w:p>
    <w:p>
      <w:pPr>
        <w:pStyle w:val="ListBullet"/>
      </w:pPr>
      <w:r>
        <w:rPr>
          <w:rFonts w:ascii="Inter" w:hAnsi="Inter" w:cs="Inter"/>
          <w:b w:val="0"/>
          <w:i w:val="0"/>
          <w:color w:val="2D2D2D"/>
          <w:sz w:val="22"/>
        </w:rPr>
      </w:r>
      <w:r>
        <w:rPr>
          <w:rFonts w:ascii="Inter" w:hAnsi="Inter" w:cs="Inter"/>
          <w:b/>
          <w:i w:val="0"/>
          <w:color w:val="2D2D2D"/>
          <w:sz w:val="22"/>
        </w:rPr>
        <w:t>Parliament cannot evaluate MOA performance.</w:t>
      </w:r>
      <w:r>
        <w:rPr>
          <w:rFonts w:ascii="Inter" w:hAnsi="Inter" w:cs="Inter"/>
          <w:b w:val="0"/>
          <w:i w:val="0"/>
          <w:color w:val="2D2D2D"/>
          <w:sz w:val="22"/>
        </w:rPr>
        <w:t xml:space="preserve"> When strategic plans do not specify measurable outcomes, parliamentary oversight committees have no benchmark against which to assess implementation. Oversight becomes anecdotal rather than evidence-based.</w:t>
      </w:r>
    </w:p>
    <w:p>
      <w:pPr>
        <w:pStyle w:val="ListBullet"/>
      </w:pPr>
      <w:r>
        <w:rPr>
          <w:rFonts w:ascii="Inter" w:hAnsi="Inter" w:cs="Inter"/>
          <w:b w:val="0"/>
          <w:i w:val="0"/>
          <w:color w:val="2D2D2D"/>
          <w:sz w:val="22"/>
        </w:rPr>
      </w:r>
      <w:r>
        <w:rPr>
          <w:rFonts w:ascii="Inter" w:hAnsi="Inter" w:cs="Inter"/>
          <w:b/>
          <w:i w:val="0"/>
          <w:color w:val="2D2D2D"/>
          <w:sz w:val="22"/>
        </w:rPr>
        <w:t>MOAs themselves suffer.</w:t>
      </w:r>
      <w:r>
        <w:rPr>
          <w:rFonts w:ascii="Inter" w:hAnsi="Inter" w:cs="Inter"/>
          <w:b w:val="0"/>
          <w:i w:val="0"/>
          <w:color w:val="2D2D2D"/>
          <w:sz w:val="22"/>
        </w:rPr>
        <w:t xml:space="preserve"> Without a planning framework, staff waste time reinventing the process each cycle. Knowledge walks out the door when personnel transfer. New leadership inherits plans they cannot build on because the logic behind the previous plan was never documented.</w:t>
      </w:r>
    </w:p>
    <w:p>
      <w:pPr>
        <w:spacing w:after="120" w:line="276" w:lineRule="auto"/>
      </w:pPr>
      <w:r>
        <w:rPr>
          <w:rFonts w:ascii="Inter" w:hAnsi="Inter" w:cs="Inter"/>
          <w:b w:val="0"/>
          <w:i w:val="0"/>
          <w:color w:val="2D2D2D"/>
          <w:sz w:val="22"/>
        </w:rPr>
        <w:t>This guidebook solves these problems by giving every MOA the same 10-point framework, the same templates, and the same submission standards. When all MOAs follow the same process, BPDA can aggregate plans into a coherent regional picture, MFBM can trace budget proposals back to strategic objectives, and Parliament can hold MOAs accountable against their own commitments.</w:t>
      </w:r>
    </w:p>
    <w:p>
      <w:pPr>
        <w:pStyle w:val="Heading2"/>
      </w:pPr>
      <w:r>
        <w:rPr>
          <w:rFonts w:ascii="Inter" w:hAnsi="Inter" w:cs="Inter"/>
          <w:b/>
          <w:i w:val="0"/>
          <w:color w:val="1B365D"/>
          <w:sz w:val="32"/>
        </w:rPr>
        <w:t>What Is Strategic Planning in BARMM?</w:t>
      </w:r>
    </w:p>
    <w:p>
      <w:pPr>
        <w:spacing w:after="120" w:line="276" w:lineRule="auto"/>
      </w:pPr>
      <w:r>
        <w:rPr>
          <w:rFonts w:ascii="Inter" w:hAnsi="Inter" w:cs="Inter"/>
          <w:b w:val="0"/>
          <w:i w:val="0"/>
          <w:color w:val="2D2D2D"/>
          <w:sz w:val="22"/>
        </w:rPr>
        <w:t>Strategic planning in the Bangsamoro context is not corporate strategy. It is not a vision-and-mission exercise that produces a framed poster for the lobby. It is the process by which a MOA translates its legal mandate into concrete programs, aligns those programs with the Bangsamoro Development Plan 2023-2028, and builds the accountability structures --- budgets, work plans, and monitoring systems --- that ensure those programs deliver results.</w:t>
      </w:r>
    </w:p>
    <w:p>
      <w:pPr>
        <w:spacing w:after="120" w:line="276" w:lineRule="auto"/>
      </w:pPr>
      <w:r>
        <w:rPr>
          <w:rFonts w:ascii="Inter" w:hAnsi="Inter" w:cs="Inter"/>
          <w:b w:val="0"/>
          <w:i w:val="0"/>
          <w:color w:val="2D2D2D"/>
          <w:sz w:val="22"/>
        </w:rPr>
        <w:t>Three legal and policy foundations anchor strategic planning in BARMM:</w:t>
      </w:r>
    </w:p>
    <w:p>
      <w:pPr>
        <w:spacing w:after="120" w:line="276" w:lineRule="auto"/>
      </w:pPr>
      <w:r>
        <w:rPr>
          <w:rFonts w:ascii="Inter" w:hAnsi="Inter" w:cs="Inter"/>
          <w:b w:val="0"/>
          <w:i w:val="0"/>
          <w:color w:val="2D2D2D"/>
          <w:sz w:val="22"/>
        </w:rPr>
      </w:r>
      <w:r>
        <w:rPr>
          <w:rFonts w:ascii="Inter" w:hAnsi="Inter" w:cs="Inter"/>
          <w:b/>
          <w:i w:val="0"/>
          <w:color w:val="2D2D2D"/>
          <w:sz w:val="22"/>
        </w:rPr>
        <w:t>First, the Bangsamoro Organic Law (Republic Act No. 11054).</w:t>
      </w:r>
      <w:r>
        <w:rPr>
          <w:rFonts w:ascii="Inter" w:hAnsi="Inter" w:cs="Inter"/>
          <w:b w:val="0"/>
          <w:i w:val="0"/>
          <w:color w:val="2D2D2D"/>
          <w:sz w:val="22"/>
        </w:rPr>
        <w:t xml:space="preserve"> Article V, Section 2 of the BOL enumerates the powers of the Bangsamoro Government, including authority over administrative organization, budgeting, and urban and rural planning development.[^1] Article VII, Section 2 vests the powers of government in the Parliament, which "shall set policies, legislate on matters within its authority, and elect a Chief Minister who shall exercise executive authority on its behalf."[^2] Every MOA strategic plan must trace its mandate back to these constitutional powers.</w:t>
      </w:r>
    </w:p>
    <w:p>
      <w:pPr>
        <w:spacing w:after="120" w:line="276" w:lineRule="auto"/>
      </w:pPr>
      <w:r>
        <w:rPr>
          <w:rFonts w:ascii="Inter" w:hAnsi="Inter" w:cs="Inter"/>
          <w:b w:val="0"/>
          <w:i w:val="0"/>
          <w:color w:val="2D2D2D"/>
          <w:sz w:val="22"/>
        </w:rPr>
      </w:r>
      <w:r>
        <w:rPr>
          <w:rFonts w:ascii="Inter" w:hAnsi="Inter" w:cs="Inter"/>
          <w:b/>
          <w:i w:val="0"/>
          <w:color w:val="2D2D2D"/>
          <w:sz w:val="22"/>
        </w:rPr>
        <w:t>Second, the Bangsamoro Administrative Code (BAA No. 13).</w:t>
      </w:r>
      <w:r>
        <w:rPr>
          <w:rFonts w:ascii="Inter" w:hAnsi="Inter" w:cs="Inter"/>
          <w:b w:val="0"/>
          <w:i w:val="0"/>
          <w:color w:val="2D2D2D"/>
          <w:sz w:val="22"/>
        </w:rPr>
        <w:t xml:space="preserve"> The Administrative Code establishes the structural and functional framework of the Bangsamoro Government. It declares the policy of the Bangsamoro Government "to pursue the acceleration of the socio-economic development of the region and promote the welfare of its constituents through a holistic, effective and responsive planning, coordination, and monitoring and evaluation of the implementation of policies, plans, programs, and projects in the region."[^3] The Code also creates the Bangsamoro Economic and Development Council (BEDC), chaired by the Chief Minister, which directs plan formulation and recommends the BDP for parliamentary approval.[^4] The Bangsamoro Planning and Development Authority (BPDA) serves as the technical secretariat of the BEDC and the planning, coordinating, and monitoring agency for all development plans, policies, programs, and projects.[^5]</w:t>
      </w:r>
    </w:p>
    <w:p>
      <w:pPr>
        <w:spacing w:after="120" w:line="276" w:lineRule="auto"/>
      </w:pPr>
      <w:r>
        <w:rPr>
          <w:rFonts w:ascii="Inter" w:hAnsi="Inter" w:cs="Inter"/>
          <w:b w:val="0"/>
          <w:i w:val="0"/>
          <w:color w:val="2D2D2D"/>
          <w:sz w:val="22"/>
        </w:rPr>
      </w:r>
      <w:r>
        <w:rPr>
          <w:rFonts w:ascii="Inter" w:hAnsi="Inter" w:cs="Inter"/>
          <w:b/>
          <w:i w:val="0"/>
          <w:color w:val="2D2D2D"/>
          <w:sz w:val="22"/>
        </w:rPr>
        <w:t>Third, the Bangsamoro Development Plan 2023-2028.</w:t>
      </w:r>
      <w:r>
        <w:rPr>
          <w:rFonts w:ascii="Inter" w:hAnsi="Inter" w:cs="Inter"/>
          <w:b w:val="0"/>
          <w:i w:val="0"/>
          <w:color w:val="2D2D2D"/>
          <w:sz w:val="22"/>
        </w:rPr>
        <w:t xml:space="preserve"> The BDP 2023-2028 is the medium-term development framework for the Bangsamoro Autonomous Region. It sets six development goals --- Moral Governance, Security and Justice, Economic Development, Social Development, Environment, and Infrastructure --- along with eight cross-cutting strategies and sector-specific targets. Every MOA strategic plan must demonstrate how its programs contribute to the BDP goals and targets. The BDP is not a separate document that sits on a shelf. It is the reference point against which all MOA plans are evaluated.</w:t>
      </w:r>
    </w:p>
    <w:p>
      <w:pPr>
        <w:spacing w:after="120" w:line="276" w:lineRule="auto"/>
      </w:pPr>
      <w:r>
        <w:rPr>
          <w:rFonts w:ascii="Inter" w:hAnsi="Inter" w:cs="Inter"/>
          <w:b w:val="0"/>
          <w:i w:val="0"/>
          <w:color w:val="2D2D2D"/>
          <w:sz w:val="22"/>
        </w:rPr>
        <w:t>Together, these three pillars mean that a MOA strategic plan is not optional or aspirational. It is a legal and institutional requirement. Your MOA has a mandate, and strategic planning is how you operationalize that mandate.</w:t>
      </w:r>
    </w:p>
    <w:p>
      <w:pPr>
        <w:spacing w:after="120" w:line="276" w:lineRule="auto"/>
      </w:pPr>
      <w:r>
        <w:rPr>
          <w:rFonts w:ascii="Inter" w:hAnsi="Inter" w:cs="Inter"/>
          <w:b w:val="0"/>
          <w:i w:val="0"/>
          <w:color w:val="2D2D2D"/>
          <w:sz w:val="22"/>
        </w:rPr>
        <w:t>[^1]: Republic Act No. 11054, Article V, Section 2. The full list of Bangsamoro Government powers includes 55 enumerated areas of authority, from administration of justice to water supply and services.</w:t>
      </w:r>
    </w:p>
    <w:p>
      <w:pPr>
        <w:spacing w:after="120" w:line="276" w:lineRule="auto"/>
      </w:pPr>
      <w:r>
        <w:rPr>
          <w:rFonts w:ascii="Inter" w:hAnsi="Inter" w:cs="Inter"/>
          <w:b w:val="0"/>
          <w:i w:val="0"/>
          <w:color w:val="2D2D2D"/>
          <w:sz w:val="22"/>
        </w:rPr>
        <w:t>[^2]: Republic Act No. 11054, Article VII, Section 2.</w:t>
      </w:r>
    </w:p>
    <w:p>
      <w:pPr>
        <w:spacing w:after="120" w:line="276" w:lineRule="auto"/>
      </w:pPr>
      <w:r>
        <w:rPr>
          <w:rFonts w:ascii="Inter" w:hAnsi="Inter" w:cs="Inter"/>
          <w:b w:val="0"/>
          <w:i w:val="0"/>
          <w:color w:val="2D2D2D"/>
          <w:sz w:val="22"/>
        </w:rPr>
        <w:t>[^3]: Bangsamoro Autonomy Act No. 13, Book V (Administrative Agencies), Section 12 (Declaration of Policy under the Bangsamoro Economic and Development Council).</w:t>
      </w:r>
    </w:p>
    <w:p>
      <w:pPr>
        <w:spacing w:after="120" w:line="276" w:lineRule="auto"/>
      </w:pPr>
      <w:r>
        <w:rPr>
          <w:rFonts w:ascii="Inter" w:hAnsi="Inter" w:cs="Inter"/>
          <w:b w:val="0"/>
          <w:i w:val="0"/>
          <w:color w:val="2D2D2D"/>
          <w:sz w:val="22"/>
        </w:rPr>
        <w:t>[^4]: Bangsamoro Autonomy Act No. 13, Section 13 (The Bangsamoro Economic and Development Council) and Section 15 (Powers and Functions), paragraph 1: "Direct the plan formulation and recommend for approval by the Parliament the Bangsamoro Development Plan."</w:t>
      </w:r>
    </w:p>
    <w:p>
      <w:pPr>
        <w:spacing w:after="120" w:line="276" w:lineRule="auto"/>
      </w:pPr>
      <w:r>
        <w:rPr>
          <w:rFonts w:ascii="Inter" w:hAnsi="Inter" w:cs="Inter"/>
          <w:b w:val="0"/>
          <w:i w:val="0"/>
          <w:color w:val="2D2D2D"/>
          <w:sz w:val="22"/>
        </w:rPr>
        <w:t>[^5]: Bangsamoro Autonomy Act No. 13, Section 39 (Bangsamoro Planning and Development Authority): "The BPDA shall serve as the planning, coordinating, and monitoring agency for all development plans, policies, programs and projects of the Bangsamoro Government."</w:t>
      </w:r>
    </w:p>
    <w:p>
      <w:pPr>
        <w:pStyle w:val="Heading2"/>
      </w:pPr>
      <w:r>
        <w:rPr>
          <w:rFonts w:ascii="Inter" w:hAnsi="Inter" w:cs="Inter"/>
          <w:b/>
          <w:i w:val="0"/>
          <w:color w:val="1B365D"/>
          <w:sz w:val="32"/>
        </w:rPr>
        <w:t>The 10-Point Strategic Planning Framework</w:t>
      </w:r>
    </w:p>
    <w:p>
      <w:pPr>
        <w:spacing w:after="120" w:line="276" w:lineRule="auto"/>
      </w:pPr>
      <w:r>
        <w:rPr>
          <w:rFonts w:ascii="Inter" w:hAnsi="Inter" w:cs="Inter"/>
          <w:b w:val="0"/>
          <w:i w:val="0"/>
          <w:color w:val="2D2D2D"/>
          <w:sz w:val="22"/>
        </w:rPr>
        <w:t xml:space="preserve">This guidebook is organized around a </w:t>
      </w:r>
      <w:r>
        <w:rPr>
          <w:rFonts w:ascii="Inter" w:hAnsi="Inter" w:cs="Inter"/>
          <w:b/>
          <w:i w:val="0"/>
          <w:color w:val="2D2D2D"/>
          <w:sz w:val="22"/>
        </w:rPr>
        <w:t>10-Point Strategic Planning Framework</w:t>
      </w:r>
      <w:r>
        <w:rPr>
          <w:rFonts w:ascii="Inter" w:hAnsi="Inter" w:cs="Inter"/>
          <w:b w:val="0"/>
          <w:i w:val="0"/>
          <w:color w:val="2D2D2D"/>
          <w:sz w:val="22"/>
        </w:rPr>
        <w:t xml:space="preserve"> designed to guide MOAs from legal mandate to measurable results. The framework is structured in five layers, each building on the one before it.</w:t>
      </w:r>
    </w:p>
    <w:p>
      <w:pPr>
        <w:pStyle w:val="Heading3"/>
      </w:pPr>
      <w:r>
        <w:rPr>
          <w:rFonts w:ascii="Inter" w:hAnsi="Inter" w:cs="Inter"/>
          <w:b/>
          <w:i w:val="0"/>
          <w:color w:val="2C5F7C"/>
          <w:sz w:val="26"/>
        </w:rPr>
        <w:t>Framework Overview</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Layer</w:t>
            </w:r>
          </w:p>
        </w:tc>
        <w:tc>
          <w:tcPr>
            <w:tcW w:type="dxa" w:w="3120"/>
            <w:shd w:fill="1B365D"/>
          </w:tcPr>
          <w:p>
            <w:r/>
            <w:r>
              <w:rPr>
                <w:rFonts w:ascii="Inter" w:hAnsi="Inter" w:cs="Inter"/>
                <w:b/>
                <w:i w:val="0"/>
                <w:color w:val="FFFFFF"/>
                <w:sz w:val="19"/>
              </w:rPr>
              <w:t>Points</w:t>
            </w:r>
          </w:p>
        </w:tc>
        <w:tc>
          <w:tcPr>
            <w:tcW w:type="dxa" w:w="3120"/>
            <w:shd w:fill="1B365D"/>
          </w:tcPr>
          <w:p>
            <w:r/>
            <w:r>
              <w:rPr>
                <w:rFonts w:ascii="Inter" w:hAnsi="Inter" w:cs="Inter"/>
                <w:b/>
                <w:i w:val="0"/>
                <w:color w:val="FFFFFF"/>
                <w:sz w:val="19"/>
              </w:rPr>
              <w:t>Purpose</w:t>
            </w:r>
          </w:p>
        </w:tc>
      </w:tr>
      <w:tr>
        <w:tc>
          <w:tcPr>
            <w:tcW w:type="dxa" w:w="3120"/>
          </w:tcPr>
          <w:p>
            <w:r/>
            <w:r>
              <w:rPr>
                <w:rFonts w:ascii="Inter" w:hAnsi="Inter" w:cs="Inter"/>
                <w:b w:val="0"/>
                <w:i w:val="0"/>
                <w:color w:val="2D2D2D"/>
                <w:sz w:val="19"/>
              </w:rPr>
              <w:t>**Foundation**</w:t>
            </w:r>
          </w:p>
        </w:tc>
        <w:tc>
          <w:tcPr>
            <w:tcW w:type="dxa" w:w="3120"/>
          </w:tcPr>
          <w:p>
            <w:r/>
            <w:r>
              <w:rPr>
                <w:rFonts w:ascii="Inter" w:hAnsi="Inter" w:cs="Inter"/>
                <w:b w:val="0"/>
                <w:i w:val="0"/>
                <w:color w:val="2D2D2D"/>
                <w:sz w:val="19"/>
              </w:rPr>
              <w:t>Points 1-3</w:t>
            </w:r>
          </w:p>
        </w:tc>
        <w:tc>
          <w:tcPr>
            <w:tcW w:type="dxa" w:w="3120"/>
          </w:tcPr>
          <w:p>
            <w:r/>
            <w:r>
              <w:rPr>
                <w:rFonts w:ascii="Inter" w:hAnsi="Inter" w:cs="Inter"/>
                <w:b w:val="0"/>
                <w:i w:val="0"/>
                <w:color w:val="2D2D2D"/>
                <w:sz w:val="19"/>
              </w:rPr>
              <w:t>Establish your MOA's legal basis, development alignment, and priority commitments</w:t>
            </w:r>
          </w:p>
        </w:tc>
      </w:tr>
      <w:tr>
        <w:tc>
          <w:tcPr>
            <w:tcW w:type="dxa" w:w="3120"/>
            <w:shd w:fill="F0F3F6"/>
          </w:tcPr>
          <w:p>
            <w:r/>
            <w:r>
              <w:rPr>
                <w:rFonts w:ascii="Inter" w:hAnsi="Inter" w:cs="Inter"/>
                <w:b w:val="0"/>
                <w:i w:val="0"/>
                <w:color w:val="2D2D2D"/>
                <w:sz w:val="19"/>
              </w:rPr>
              <w:t>**Analysis**</w:t>
            </w:r>
          </w:p>
        </w:tc>
        <w:tc>
          <w:tcPr>
            <w:tcW w:type="dxa" w:w="3120"/>
            <w:shd w:fill="F0F3F6"/>
          </w:tcPr>
          <w:p>
            <w:r/>
            <w:r>
              <w:rPr>
                <w:rFonts w:ascii="Inter" w:hAnsi="Inter" w:cs="Inter"/>
                <w:b w:val="0"/>
                <w:i w:val="0"/>
                <w:color w:val="2D2D2D"/>
                <w:sz w:val="19"/>
              </w:rPr>
              <w:t>Points 4-5</w:t>
            </w:r>
          </w:p>
        </w:tc>
        <w:tc>
          <w:tcPr>
            <w:tcW w:type="dxa" w:w="3120"/>
            <w:shd w:fill="F0F3F6"/>
          </w:tcPr>
          <w:p>
            <w:r/>
            <w:r>
              <w:rPr>
                <w:rFonts w:ascii="Inter" w:hAnsi="Inter" w:cs="Inter"/>
                <w:b w:val="0"/>
                <w:i w:val="0"/>
                <w:color w:val="2D2D2D"/>
                <w:sz w:val="19"/>
              </w:rPr>
              <w:t>Identify who your MOA serves and define your strategic direction</w:t>
            </w:r>
          </w:p>
        </w:tc>
      </w:tr>
      <w:tr>
        <w:tc>
          <w:tcPr>
            <w:tcW w:type="dxa" w:w="3120"/>
          </w:tcPr>
          <w:p>
            <w:r/>
            <w:r>
              <w:rPr>
                <w:rFonts w:ascii="Inter" w:hAnsi="Inter" w:cs="Inter"/>
                <w:b w:val="0"/>
                <w:i w:val="0"/>
                <w:color w:val="2D2D2D"/>
                <w:sz w:val="19"/>
              </w:rPr>
              <w:t>**Design**</w:t>
            </w:r>
          </w:p>
        </w:tc>
        <w:tc>
          <w:tcPr>
            <w:tcW w:type="dxa" w:w="3120"/>
          </w:tcPr>
          <w:p>
            <w:r/>
            <w:r>
              <w:rPr>
                <w:rFonts w:ascii="Inter" w:hAnsi="Inter" w:cs="Inter"/>
                <w:b w:val="0"/>
                <w:i w:val="0"/>
                <w:color w:val="2D2D2D"/>
                <w:sz w:val="19"/>
              </w:rPr>
              <w:t>Points 6-7</w:t>
            </w:r>
          </w:p>
        </w:tc>
        <w:tc>
          <w:tcPr>
            <w:tcW w:type="dxa" w:w="3120"/>
          </w:tcPr>
          <w:p>
            <w:r/>
            <w:r>
              <w:rPr>
                <w:rFonts w:ascii="Inter" w:hAnsi="Inter" w:cs="Inter"/>
                <w:b w:val="0"/>
                <w:i w:val="0"/>
                <w:color w:val="2D2D2D"/>
                <w:sz w:val="19"/>
              </w:rPr>
              <w:t>Map your theory of change and design specific programs, projects, and activities</w:t>
            </w:r>
          </w:p>
        </w:tc>
      </w:tr>
      <w:tr>
        <w:tc>
          <w:tcPr>
            <w:tcW w:type="dxa" w:w="3120"/>
            <w:shd w:fill="F0F3F6"/>
          </w:tcPr>
          <w:p>
            <w:r/>
            <w:r>
              <w:rPr>
                <w:rFonts w:ascii="Inter" w:hAnsi="Inter" w:cs="Inter"/>
                <w:b w:val="0"/>
                <w:i w:val="0"/>
                <w:color w:val="2D2D2D"/>
                <w:sz w:val="19"/>
              </w:rPr>
              <w:t>**Execution**</w:t>
            </w:r>
          </w:p>
        </w:tc>
        <w:tc>
          <w:tcPr>
            <w:tcW w:type="dxa" w:w="3120"/>
            <w:shd w:fill="F0F3F6"/>
          </w:tcPr>
          <w:p>
            <w:r/>
            <w:r>
              <w:rPr>
                <w:rFonts w:ascii="Inter" w:hAnsi="Inter" w:cs="Inter"/>
                <w:b w:val="0"/>
                <w:i w:val="0"/>
                <w:color w:val="2D2D2D"/>
                <w:sz w:val="19"/>
              </w:rPr>
              <w:t>Points 8-9</w:t>
            </w:r>
          </w:p>
        </w:tc>
        <w:tc>
          <w:tcPr>
            <w:tcW w:type="dxa" w:w="3120"/>
            <w:shd w:fill="F0F3F6"/>
          </w:tcPr>
          <w:p>
            <w:r/>
            <w:r>
              <w:rPr>
                <w:rFonts w:ascii="Inter" w:hAnsi="Inter" w:cs="Inter"/>
                <w:b w:val="0"/>
                <w:i w:val="0"/>
                <w:color w:val="2D2D2D"/>
                <w:sz w:val="19"/>
              </w:rPr>
              <w:t>Plan resources and translate strategy into annual work and financial plans</w:t>
            </w:r>
          </w:p>
        </w:tc>
      </w:tr>
      <w:tr>
        <w:tc>
          <w:tcPr>
            <w:tcW w:type="dxa" w:w="3120"/>
          </w:tcPr>
          <w:p>
            <w:r/>
            <w:r>
              <w:rPr>
                <w:rFonts w:ascii="Inter" w:hAnsi="Inter" w:cs="Inter"/>
                <w:b w:val="0"/>
                <w:i w:val="0"/>
                <w:color w:val="2D2D2D"/>
                <w:sz w:val="19"/>
              </w:rPr>
              <w:t>**Accountability**</w:t>
            </w:r>
          </w:p>
        </w:tc>
        <w:tc>
          <w:tcPr>
            <w:tcW w:type="dxa" w:w="3120"/>
          </w:tcPr>
          <w:p>
            <w:r/>
            <w:r>
              <w:rPr>
                <w:rFonts w:ascii="Inter" w:hAnsi="Inter" w:cs="Inter"/>
                <w:b w:val="0"/>
                <w:i w:val="0"/>
                <w:color w:val="2D2D2D"/>
                <w:sz w:val="19"/>
              </w:rPr>
              <w:t>Point 10</w:t>
            </w:r>
          </w:p>
        </w:tc>
        <w:tc>
          <w:tcPr>
            <w:tcW w:type="dxa" w:w="3120"/>
          </w:tcPr>
          <w:p>
            <w:r/>
            <w:r>
              <w:rPr>
                <w:rFonts w:ascii="Inter" w:hAnsi="Inter" w:cs="Inter"/>
                <w:b w:val="0"/>
                <w:i w:val="0"/>
                <w:color w:val="2D2D2D"/>
                <w:sz w:val="19"/>
              </w:rPr>
              <w:t>Build results-based monitoring and evaluation into your plan from the start</w:t>
            </w:r>
          </w:p>
        </w:tc>
      </w:tr>
    </w:tbl>
    <w:p/>
    <w:p>
      <w:pPr>
        <w:pStyle w:val="Heading3"/>
      </w:pPr>
      <w:r>
        <w:rPr>
          <w:rFonts w:ascii="Inter" w:hAnsi="Inter" w:cs="Inter"/>
          <w:b/>
          <w:i w:val="0"/>
          <w:color w:val="2C5F7C"/>
          <w:sz w:val="26"/>
        </w:rPr>
        <w:t>The 10 Points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Point</w:t>
            </w:r>
          </w:p>
        </w:tc>
        <w:tc>
          <w:tcPr>
            <w:tcW w:type="dxa" w:w="3120"/>
            <w:shd w:fill="1B365D"/>
          </w:tcPr>
          <w:p>
            <w:r/>
            <w:r>
              <w:rPr>
                <w:rFonts w:ascii="Inter" w:hAnsi="Inter" w:cs="Inter"/>
                <w:b/>
                <w:i w:val="0"/>
                <w:color w:val="FFFFFF"/>
                <w:sz w:val="19"/>
              </w:rPr>
              <w:t>Title</w:t>
            </w:r>
          </w:p>
        </w:tc>
        <w:tc>
          <w:tcPr>
            <w:tcW w:type="dxa" w:w="3120"/>
            <w:shd w:fill="1B365D"/>
          </w:tcPr>
          <w:p>
            <w:r/>
            <w:r>
              <w:rPr>
                <w:rFonts w:ascii="Inter" w:hAnsi="Inter" w:cs="Inter"/>
                <w:b/>
                <w:i w:val="0"/>
                <w:color w:val="FFFFFF"/>
                <w:sz w:val="19"/>
              </w:rPr>
              <w:t>One-Line Description</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**Legal Alignment**</w:t>
            </w:r>
          </w:p>
        </w:tc>
        <w:tc>
          <w:tcPr>
            <w:tcW w:type="dxa" w:w="3120"/>
          </w:tcPr>
          <w:p>
            <w:r/>
            <w:r>
              <w:rPr>
                <w:rFonts w:ascii="Inter" w:hAnsi="Inter" w:cs="Inter"/>
                <w:b w:val="0"/>
                <w:i w:val="0"/>
                <w:color w:val="2D2D2D"/>
                <w:sz w:val="19"/>
              </w:rPr>
              <w:t>Identify your MOA's constitutional and legal mandate --- BOL provisions, Administrative Code references, enabling laws, executive orders, and applicable national legislation.</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**BDP Alignment**</w:t>
            </w:r>
          </w:p>
        </w:tc>
        <w:tc>
          <w:tcPr>
            <w:tcW w:type="dxa" w:w="3120"/>
            <w:shd w:fill="F0F3F6"/>
          </w:tcPr>
          <w:p>
            <w:r/>
            <w:r>
              <w:rPr>
                <w:rFonts w:ascii="Inter" w:hAnsi="Inter" w:cs="Inter"/>
                <w:b w:val="0"/>
                <w:i w:val="0"/>
                <w:color w:val="2D2D2D"/>
                <w:sz w:val="19"/>
              </w:rPr>
              <w:t>Map your MOA's work to the Bangsamoro Development Plan 2023-2028 goals, strategies, and sector targets.</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**Priority Agenda**</w:t>
            </w:r>
          </w:p>
        </w:tc>
        <w:tc>
          <w:tcPr>
            <w:tcW w:type="dxa" w:w="3120"/>
          </w:tcPr>
          <w:p>
            <w:r/>
            <w:r>
              <w:rPr>
                <w:rFonts w:ascii="Inter" w:hAnsi="Inter" w:cs="Inter"/>
                <w:b w:val="0"/>
                <w:i w:val="0"/>
                <w:color w:val="2D2D2D"/>
                <w:sz w:val="19"/>
              </w:rPr>
              <w:t>Align your programs with the 12-Point Priority Agenda and specify your MOA's mode of contribution --- direct implementation, policy support, regulatory function, or advocacy and coordination.</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**Stakeholder Analysis**</w:t>
            </w:r>
          </w:p>
        </w:tc>
        <w:tc>
          <w:tcPr>
            <w:tcW w:type="dxa" w:w="3120"/>
            <w:shd w:fill="F0F3F6"/>
          </w:tcPr>
          <w:p>
            <w:r/>
            <w:r>
              <w:rPr>
                <w:rFonts w:ascii="Inter" w:hAnsi="Inter" w:cs="Inter"/>
                <w:b w:val="0"/>
                <w:i w:val="0"/>
                <w:color w:val="2D2D2D"/>
                <w:sz w:val="19"/>
              </w:rPr>
              <w:t>Identify primary beneficiaries, institutional partners, and key actors. Map their power and interest. Plan engagement strategies.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**Strategy Analysis**</w:t>
            </w:r>
          </w:p>
        </w:tc>
        <w:tc>
          <w:tcPr>
            <w:tcW w:type="dxa" w:w="3120"/>
          </w:tcPr>
          <w:p>
            <w:r/>
            <w:r>
              <w:rPr>
                <w:rFonts w:ascii="Inter" w:hAnsi="Inter" w:cs="Inter"/>
                <w:b w:val="0"/>
                <w:i w:val="0"/>
                <w:color w:val="2D2D2D"/>
                <w:sz w:val="19"/>
              </w:rPr>
              <w:t>Define your MOA's vision, mission, core values, problem statements, and SMART strategic objectives.</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**Theory of Change**</w:t>
            </w:r>
          </w:p>
        </w:tc>
        <w:tc>
          <w:tcPr>
            <w:tcW w:type="dxa" w:w="3120"/>
            <w:shd w:fill="F0F3F6"/>
          </w:tcPr>
          <w:p>
            <w:r/>
            <w:r>
              <w:rPr>
                <w:rFonts w:ascii="Inter" w:hAnsi="Inter" w:cs="Inter"/>
                <w:b w:val="0"/>
                <w:i w:val="0"/>
                <w:color w:val="2D2D2D"/>
                <w:sz w:val="19"/>
              </w:rPr>
              <w:t>Map the causal pathway from your activities to outputs, outcomes, and long-term impact. State your assumptions explicitly.</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**PPA Planning**</w:t>
            </w:r>
          </w:p>
        </w:tc>
        <w:tc>
          <w:tcPr>
            <w:tcW w:type="dxa" w:w="3120"/>
          </w:tcPr>
          <w:p>
            <w:r/>
            <w:r>
              <w:rPr>
                <w:rFonts w:ascii="Inter" w:hAnsi="Inter" w:cs="Inter"/>
                <w:b w:val="0"/>
                <w:i w:val="0"/>
                <w:color w:val="2D2D2D"/>
                <w:sz w:val="19"/>
              </w:rPr>
              <w:t>Design your Programs, Projects, and Activities (PPAs) with UACS-compliant coding, logical frameworks, and clear deliverables.</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**Resource Planning**</w:t>
            </w:r>
          </w:p>
        </w:tc>
        <w:tc>
          <w:tcPr>
            <w:tcW w:type="dxa" w:w="3120"/>
            <w:shd w:fill="F0F3F6"/>
          </w:tcPr>
          <w:p>
            <w:r/>
            <w:r>
              <w:rPr>
                <w:rFonts w:ascii="Inter" w:hAnsi="Inter" w:cs="Inter"/>
                <w:b w:val="0"/>
                <w:i w:val="0"/>
                <w:color w:val="2D2D2D"/>
                <w:sz w:val="19"/>
              </w:rPr>
              <w:t>Plan the financial, human, physical, and partnership resources required to implement your PPAs.</w:t>
            </w:r>
          </w:p>
        </w:tc>
      </w:tr>
      <w:tr>
        <w:tc>
          <w:tcPr>
            <w:tcW w:type="dxa" w:w="3120"/>
          </w:tcPr>
          <w:p>
            <w:r/>
            <w:r>
              <w:rPr>
                <w:rFonts w:ascii="Inter" w:hAnsi="Inter" w:cs="Inter"/>
                <w:b w:val="0"/>
                <w:i w:val="0"/>
                <w:color w:val="2D2D2D"/>
                <w:sz w:val="19"/>
              </w:rPr>
              <w:t>9</w:t>
            </w:r>
          </w:p>
        </w:tc>
        <w:tc>
          <w:tcPr>
            <w:tcW w:type="dxa" w:w="3120"/>
          </w:tcPr>
          <w:p>
            <w:r/>
            <w:r>
              <w:rPr>
                <w:rFonts w:ascii="Inter" w:hAnsi="Inter" w:cs="Inter"/>
                <w:b w:val="0"/>
                <w:i w:val="0"/>
                <w:color w:val="2D2D2D"/>
                <w:sz w:val="19"/>
              </w:rPr>
              <w:t>**Annual Work and Financial Plan**</w:t>
            </w:r>
          </w:p>
        </w:tc>
        <w:tc>
          <w:tcPr>
            <w:tcW w:type="dxa" w:w="3120"/>
          </w:tcPr>
          <w:p>
            <w:r/>
            <w:r>
              <w:rPr>
                <w:rFonts w:ascii="Inter" w:hAnsi="Inter" w:cs="Inter"/>
                <w:b w:val="0"/>
                <w:i w:val="0"/>
                <w:color w:val="2D2D2D"/>
                <w:sz w:val="19"/>
              </w:rPr>
              <w:t>Translate your multi-year strategy into annual targets, quarterly milestones, a financial plan, and a procurement plan.</w:t>
            </w:r>
          </w:p>
        </w:tc>
      </w:tr>
      <w:tr>
        <w:tc>
          <w:tcPr>
            <w:tcW w:type="dxa" w:w="3120"/>
            <w:shd w:fill="F0F3F6"/>
          </w:tcPr>
          <w:p>
            <w:r/>
            <w:r>
              <w:rPr>
                <w:rFonts w:ascii="Inter" w:hAnsi="Inter" w:cs="Inter"/>
                <w:b w:val="0"/>
                <w:i w:val="0"/>
                <w:color w:val="2D2D2D"/>
                <w:sz w:val="19"/>
              </w:rPr>
              <w:t>10</w:t>
            </w:r>
          </w:p>
        </w:tc>
        <w:tc>
          <w:tcPr>
            <w:tcW w:type="dxa" w:w="3120"/>
            <w:shd w:fill="F0F3F6"/>
          </w:tcPr>
          <w:p>
            <w:r/>
            <w:r>
              <w:rPr>
                <w:rFonts w:ascii="Inter" w:hAnsi="Inter" w:cs="Inter"/>
                <w:b w:val="0"/>
                <w:i w:val="0"/>
                <w:color w:val="2D2D2D"/>
                <w:sz w:val="19"/>
              </w:rPr>
              <w:t>**Results-Based M&amp;E**</w:t>
            </w:r>
          </w:p>
        </w:tc>
        <w:tc>
          <w:tcPr>
            <w:tcW w:type="dxa" w:w="3120"/>
            <w:shd w:fill="F0F3F6"/>
          </w:tcPr>
          <w:p>
            <w:r/>
            <w:r>
              <w:rPr>
                <w:rFonts w:ascii="Inter" w:hAnsi="Inter" w:cs="Inter"/>
                <w:b w:val="0"/>
                <w:i w:val="0"/>
                <w:color w:val="2D2D2D"/>
                <w:sz w:val="19"/>
              </w:rPr>
              <w:t>Design your monitoring and evaluation framework with indicators at every level --- input, process, output, outcome, and impact --- with clear data collection plans.</w:t>
            </w:r>
          </w:p>
        </w:tc>
      </w:tr>
    </w:tbl>
    <w:p/>
    <w:p>
      <w:pPr>
        <w:pStyle w:val="Heading3"/>
      </w:pPr>
      <w:r>
        <w:rPr>
          <w:rFonts w:ascii="Inter" w:hAnsi="Inter" w:cs="Inter"/>
          <w:b/>
          <w:i w:val="0"/>
          <w:color w:val="2C5F7C"/>
          <w:sz w:val="26"/>
        </w:rPr>
        <w:t>Visual Flow</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FOUNDATION                 ANALYSIS                 DESIGN</w:t>
      </w:r>
    </w:p>
    <w:p>
      <w:pPr>
        <w:spacing w:after="120" w:line="276" w:lineRule="auto"/>
      </w:pPr>
      <w:r>
        <w:rPr>
          <w:rFonts w:ascii="Inter" w:hAnsi="Inter" w:cs="Inter"/>
          <w:b w:val="0"/>
          <w:i w:val="0"/>
          <w:color w:val="2D2D2D"/>
          <w:sz w:val="22"/>
        </w:rPr>
        <w:t>========================   =====================    =====================</w:t>
      </w:r>
    </w:p>
    <w:p>
      <w:pPr>
        <w:spacing w:after="120" w:line="276" w:lineRule="auto"/>
      </w:pPr>
      <w:r>
        <w:rPr>
          <w:rFonts w:ascii="Inter" w:hAnsi="Inter" w:cs="Inter"/>
          <w:b w:val="0"/>
          <w:i w:val="0"/>
          <w:color w:val="2D2D2D"/>
          <w:sz w:val="22"/>
        </w:rPr>
        <w:t>Point 1: Legal Alignment   Point 4: Stakeholders    Point 6: Theory of Change</w:t>
      </w:r>
    </w:p>
    <w:tbl>
      <w:tblPr>
        <w:tblStyle w:val="TableGrid"/>
        <w:tblW w:type="auto" w:w="0"/>
        <w:tblLook w:firstColumn="1" w:firstRow="1" w:lastColumn="0" w:lastRow="0" w:noHBand="0" w:noVBand="1" w:val="04A0"/>
      </w:tblPr>
      <w:tblGrid>
        <w:gridCol w:w="9360"/>
      </w:tblGrid>
      <w:tr>
        <w:tc>
          <w:tcPr>
            <w:tcW w:type="dxa" w:w="9360"/>
            <w:shd w:fill="1B365D"/>
          </w:tcPr>
          <w:p>
            <w:r/>
            <w:r>
              <w:rPr>
                <w:rFonts w:ascii="Inter" w:hAnsi="Inter" w:cs="Inter"/>
                <w:b/>
                <w:i w:val="0"/>
                <w:color w:val="FFFFFF"/>
                <w:sz w:val="19"/>
              </w:rPr>
              <w:t>Point 2: BDP Alignment     Point 5: Strategy</w:t>
            </w:r>
          </w:p>
        </w:tc>
      </w:tr>
      <w:tr>
        <w:tc>
          <w:tcPr>
            <w:tcW w:type="dxa" w:w="9360"/>
          </w:tcPr>
          <w:p>
            <w:r/>
            <w:r>
              <w:rPr>
                <w:rFonts w:ascii="Inter" w:hAnsi="Inter" w:cs="Inter"/>
                <w:b w:val="0"/>
                <w:i w:val="0"/>
                <w:color w:val="2D2D2D"/>
                <w:sz w:val="19"/>
              </w:rPr>
              <w:t>Point 3: Priority Agenda</w:t>
            </w:r>
          </w:p>
        </w:tc>
      </w:tr>
      <w:tr>
        <w:tc>
          <w:tcPr>
            <w:tcW w:type="dxa" w:w="9360"/>
            <w:shd w:fill="F0F3F6"/>
          </w:tcPr>
          <w:p>
            <w:r/>
            <w:r>
              <w:rPr>
                <w:rFonts w:ascii="Inter" w:hAnsi="Inter" w:cs="Inter"/>
                <w:b w:val="0"/>
                <w:i w:val="0"/>
                <w:color w:val="2D2D2D"/>
                <w:sz w:val="19"/>
              </w:rPr>
              <w:t>Point 7: PPA Planning</w:t>
            </w:r>
          </w:p>
        </w:tc>
      </w:tr>
    </w:tbl>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v</w:t>
      </w:r>
    </w:p>
    <w:p>
      <w:pPr>
        <w:spacing w:after="120" w:line="276" w:lineRule="auto"/>
      </w:pPr>
      <w:r>
        <w:rPr>
          <w:rFonts w:ascii="Inter" w:hAnsi="Inter" w:cs="Inter"/>
          <w:b w:val="0"/>
          <w:i w:val="0"/>
          <w:color w:val="2D2D2D"/>
          <w:sz w:val="22"/>
        </w:rPr>
        <w:t>EXECUTION                 ACCOUNTABILITY</w:t>
      </w:r>
    </w:p>
    <w:p>
      <w:pPr>
        <w:spacing w:after="120" w:line="276" w:lineRule="auto"/>
      </w:pPr>
      <w:r>
        <w:rPr>
          <w:rFonts w:ascii="Inter" w:hAnsi="Inter" w:cs="Inter"/>
          <w:b w:val="0"/>
          <w:i w:val="0"/>
          <w:color w:val="2D2D2D"/>
          <w:sz w:val="22"/>
        </w:rPr>
        <w:t>=====================    =====================</w:t>
      </w:r>
    </w:p>
    <w:p>
      <w:pPr>
        <w:spacing w:after="120" w:line="276" w:lineRule="auto"/>
      </w:pPr>
      <w:r>
        <w:rPr>
          <w:rFonts w:ascii="Inter" w:hAnsi="Inter" w:cs="Inter"/>
          <w:b w:val="0"/>
          <w:i w:val="0"/>
          <w:color w:val="2D2D2D"/>
          <w:sz w:val="22"/>
        </w:rPr>
        <w:t>Point 8: Resources        Point 10: Results-Based M&amp;E</w:t>
      </w:r>
    </w:p>
    <w:p>
      <w:pPr>
        <w:spacing w:after="120" w:line="276" w:lineRule="auto"/>
      </w:pPr>
      <w:r>
        <w:rPr>
          <w:rFonts w:ascii="Inter" w:hAnsi="Inter" w:cs="Inter"/>
          <w:b w:val="0"/>
          <w:i w:val="0"/>
          <w:color w:val="2D2D2D"/>
          <w:sz w:val="22"/>
        </w:rPr>
        <w:t>Point 9: Annual Plan</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 xml:space="preserve">The framework is sequential for first-time users --- you start at Point 1 and work through to Point 10. But it is also modular. An experienced planning team updating an existing strategic plan can jump directly to the point that needs revision. The key rule: </w:t>
      </w:r>
      <w:r>
        <w:rPr>
          <w:rFonts w:ascii="Inter" w:hAnsi="Inter" w:cs="Inter"/>
          <w:b/>
          <w:i w:val="0"/>
          <w:color w:val="2D2D2D"/>
          <w:sz w:val="22"/>
        </w:rPr>
        <w:t>if you change a foundation point, review all downstream points for consistency.</w:t>
      </w:r>
      <w:r>
        <w:rPr>
          <w:rFonts w:ascii="Inter" w:hAnsi="Inter" w:cs="Inter"/>
          <w:b w:val="0"/>
          <w:i w:val="0"/>
          <w:color w:val="2D2D2D"/>
          <w:sz w:val="22"/>
        </w:rPr>
      </w:r>
    </w:p>
    <w:p>
      <w:pPr>
        <w:pStyle w:val="Heading2"/>
      </w:pPr>
      <w:r>
        <w:rPr>
          <w:rFonts w:ascii="Inter" w:hAnsi="Inter" w:cs="Inter"/>
          <w:b/>
          <w:i w:val="0"/>
          <w:color w:val="1B365D"/>
          <w:sz w:val="32"/>
        </w:rPr>
        <w:t>What You Will Produce</w:t>
      </w:r>
    </w:p>
    <w:p>
      <w:pPr>
        <w:spacing w:after="120" w:line="276" w:lineRule="auto"/>
      </w:pPr>
      <w:r>
        <w:rPr>
          <w:rFonts w:ascii="Inter" w:hAnsi="Inter" w:cs="Inter"/>
          <w:b w:val="0"/>
          <w:i w:val="0"/>
          <w:color w:val="2D2D2D"/>
          <w:sz w:val="22"/>
        </w:rPr>
        <w:t>By working through the 10-point framework, you will produce eleven outputs: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t>
            </w:r>
          </w:p>
        </w:tc>
        <w:tc>
          <w:tcPr>
            <w:tcW w:type="dxa" w:w="3120"/>
            <w:shd w:fill="1B365D"/>
          </w:tcPr>
          <w:p>
            <w:r/>
            <w:r>
              <w:rPr>
                <w:rFonts w:ascii="Inter" w:hAnsi="Inter" w:cs="Inter"/>
                <w:b/>
                <w:i w:val="0"/>
                <w:color w:val="FFFFFF"/>
                <w:sz w:val="19"/>
              </w:rPr>
              <w:t>Output</w:t>
            </w:r>
          </w:p>
        </w:tc>
        <w:tc>
          <w:tcPr>
            <w:tcW w:type="dxa" w:w="3120"/>
            <w:shd w:fill="1B365D"/>
          </w:tcPr>
          <w:p>
            <w:r/>
            <w:r>
              <w:rPr>
                <w:rFonts w:ascii="Inter" w:hAnsi="Inter" w:cs="Inter"/>
                <w:b/>
                <w:i w:val="0"/>
                <w:color w:val="FFFFFF"/>
                <w:sz w:val="19"/>
              </w:rPr>
              <w:t>Source Point</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Legal Mandate Statement with verified citations</w:t>
            </w:r>
          </w:p>
        </w:tc>
        <w:tc>
          <w:tcPr>
            <w:tcW w:type="dxa" w:w="3120"/>
          </w:tcPr>
          <w:p>
            <w:r/>
            <w:r>
              <w:rPr>
                <w:rFonts w:ascii="Inter" w:hAnsi="Inter" w:cs="Inter"/>
                <w:b w:val="0"/>
                <w:i w:val="0"/>
                <w:color w:val="2D2D2D"/>
                <w:sz w:val="19"/>
              </w:rPr>
              <w:t>Point 1</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BDP Alignment Matrix with contribution pathways</w:t>
            </w:r>
          </w:p>
        </w:tc>
        <w:tc>
          <w:tcPr>
            <w:tcW w:type="dxa" w:w="3120"/>
            <w:shd w:fill="F0F3F6"/>
          </w:tcPr>
          <w:p>
            <w:r/>
            <w:r>
              <w:rPr>
                <w:rFonts w:ascii="Inter" w:hAnsi="Inter" w:cs="Inter"/>
                <w:b w:val="0"/>
                <w:i w:val="0"/>
                <w:color w:val="2D2D2D"/>
                <w:sz w:val="19"/>
              </w:rPr>
              <w:t>Point 2</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Priority Agenda Alignment Statement</w:t>
            </w:r>
          </w:p>
        </w:tc>
        <w:tc>
          <w:tcPr>
            <w:tcW w:type="dxa" w:w="3120"/>
          </w:tcPr>
          <w:p>
            <w:r/>
            <w:r>
              <w:rPr>
                <w:rFonts w:ascii="Inter" w:hAnsi="Inter" w:cs="Inter"/>
                <w:b w:val="0"/>
                <w:i w:val="0"/>
                <w:color w:val="2D2D2D"/>
                <w:sz w:val="19"/>
              </w:rPr>
              <w:t>Point 3</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Stakeholder Analysis Matrix with engagement plan</w:t>
            </w:r>
          </w:p>
        </w:tc>
        <w:tc>
          <w:tcPr>
            <w:tcW w:type="dxa" w:w="3120"/>
            <w:shd w:fill="F0F3F6"/>
          </w:tcPr>
          <w:p>
            <w:r/>
            <w:r>
              <w:rPr>
                <w:rFonts w:ascii="Inter" w:hAnsi="Inter" w:cs="Inter"/>
                <w:b w:val="0"/>
                <w:i w:val="0"/>
                <w:color w:val="2D2D2D"/>
                <w:sz w:val="19"/>
              </w:rPr>
              <w:t>Point 4</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Strategic Direction Document (vision, mission, values, objectives)</w:t>
            </w:r>
          </w:p>
        </w:tc>
        <w:tc>
          <w:tcPr>
            <w:tcW w:type="dxa" w:w="3120"/>
          </w:tcPr>
          <w:p>
            <w:r/>
            <w:r>
              <w:rPr>
                <w:rFonts w:ascii="Inter" w:hAnsi="Inter" w:cs="Inter"/>
                <w:b w:val="0"/>
                <w:i w:val="0"/>
                <w:color w:val="2D2D2D"/>
                <w:sz w:val="19"/>
              </w:rPr>
              <w:t>Point 5</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Theory of Change narrative and diagram</w:t>
            </w:r>
          </w:p>
        </w:tc>
        <w:tc>
          <w:tcPr>
            <w:tcW w:type="dxa" w:w="3120"/>
            <w:shd w:fill="F0F3F6"/>
          </w:tcPr>
          <w:p>
            <w:r/>
            <w:r>
              <w:rPr>
                <w:rFonts w:ascii="Inter" w:hAnsi="Inter" w:cs="Inter"/>
                <w:b w:val="0"/>
                <w:i w:val="0"/>
                <w:color w:val="2D2D2D"/>
                <w:sz w:val="19"/>
              </w:rPr>
              <w:t>Point 6</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PPA Register with logical frameworks</w:t>
            </w:r>
          </w:p>
        </w:tc>
        <w:tc>
          <w:tcPr>
            <w:tcW w:type="dxa" w:w="3120"/>
          </w:tcPr>
          <w:p>
            <w:r/>
            <w:r>
              <w:rPr>
                <w:rFonts w:ascii="Inter" w:hAnsi="Inter" w:cs="Inter"/>
                <w:b w:val="0"/>
                <w:i w:val="0"/>
                <w:color w:val="2D2D2D"/>
                <w:sz w:val="19"/>
              </w:rPr>
              <w:t>Point 7</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Resource Plan (financial, human, physical, partnerships)</w:t>
            </w:r>
          </w:p>
        </w:tc>
        <w:tc>
          <w:tcPr>
            <w:tcW w:type="dxa" w:w="3120"/>
            <w:shd w:fill="F0F3F6"/>
          </w:tcPr>
          <w:p>
            <w:r/>
            <w:r>
              <w:rPr>
                <w:rFonts w:ascii="Inter" w:hAnsi="Inter" w:cs="Inter"/>
                <w:b w:val="0"/>
                <w:i w:val="0"/>
                <w:color w:val="2D2D2D"/>
                <w:sz w:val="19"/>
              </w:rPr>
              <w:t>Point 8</w:t>
            </w:r>
          </w:p>
        </w:tc>
      </w:tr>
      <w:tr>
        <w:tc>
          <w:tcPr>
            <w:tcW w:type="dxa" w:w="3120"/>
          </w:tcPr>
          <w:p>
            <w:r/>
            <w:r>
              <w:rPr>
                <w:rFonts w:ascii="Inter" w:hAnsi="Inter" w:cs="Inter"/>
                <w:b w:val="0"/>
                <w:i w:val="0"/>
                <w:color w:val="2D2D2D"/>
                <w:sz w:val="19"/>
              </w:rPr>
              <w:t>9</w:t>
            </w:r>
          </w:p>
        </w:tc>
        <w:tc>
          <w:tcPr>
            <w:tcW w:type="dxa" w:w="3120"/>
          </w:tcPr>
          <w:p>
            <w:r/>
            <w:r>
              <w:rPr>
                <w:rFonts w:ascii="Inter" w:hAnsi="Inter" w:cs="Inter"/>
                <w:b w:val="0"/>
                <w:i w:val="0"/>
                <w:color w:val="2D2D2D"/>
                <w:sz w:val="19"/>
              </w:rPr>
              <w:t>Annual Work and Financial Plan</w:t>
            </w:r>
          </w:p>
        </w:tc>
        <w:tc>
          <w:tcPr>
            <w:tcW w:type="dxa" w:w="3120"/>
          </w:tcPr>
          <w:p>
            <w:r/>
            <w:r>
              <w:rPr>
                <w:rFonts w:ascii="Inter" w:hAnsi="Inter" w:cs="Inter"/>
                <w:b w:val="0"/>
                <w:i w:val="0"/>
                <w:color w:val="2D2D2D"/>
                <w:sz w:val="19"/>
              </w:rPr>
              <w:t>Point 9</w:t>
            </w:r>
          </w:p>
        </w:tc>
      </w:tr>
      <w:tr>
        <w:tc>
          <w:tcPr>
            <w:tcW w:type="dxa" w:w="3120"/>
            <w:shd w:fill="F0F3F6"/>
          </w:tcPr>
          <w:p>
            <w:r/>
            <w:r>
              <w:rPr>
                <w:rFonts w:ascii="Inter" w:hAnsi="Inter" w:cs="Inter"/>
                <w:b w:val="0"/>
                <w:i w:val="0"/>
                <w:color w:val="2D2D2D"/>
                <w:sz w:val="19"/>
              </w:rPr>
              <w:t>10</w:t>
            </w:r>
          </w:p>
        </w:tc>
        <w:tc>
          <w:tcPr>
            <w:tcW w:type="dxa" w:w="3120"/>
            <w:shd w:fill="F0F3F6"/>
          </w:tcPr>
          <w:p>
            <w:r/>
            <w:r>
              <w:rPr>
                <w:rFonts w:ascii="Inter" w:hAnsi="Inter" w:cs="Inter"/>
                <w:b w:val="0"/>
                <w:i w:val="0"/>
                <w:color w:val="2D2D2D"/>
                <w:sz w:val="19"/>
              </w:rPr>
              <w:t>Results-Based M&amp;E Framework with indicator matrix</w:t>
            </w:r>
          </w:p>
        </w:tc>
        <w:tc>
          <w:tcPr>
            <w:tcW w:type="dxa" w:w="3120"/>
            <w:shd w:fill="F0F3F6"/>
          </w:tcPr>
          <w:p>
            <w:r/>
            <w:r>
              <w:rPr>
                <w:rFonts w:ascii="Inter" w:hAnsi="Inter" w:cs="Inter"/>
                <w:b w:val="0"/>
                <w:i w:val="0"/>
                <w:color w:val="2D2D2D"/>
                <w:sz w:val="19"/>
              </w:rPr>
              <w:t>Point 10</w:t>
            </w:r>
          </w:p>
        </w:tc>
      </w:tr>
      <w:tr>
        <w:tc>
          <w:tcPr>
            <w:tcW w:type="dxa" w:w="3120"/>
          </w:tcPr>
          <w:p>
            <w:r/>
            <w:r>
              <w:rPr>
                <w:rFonts w:ascii="Inter" w:hAnsi="Inter" w:cs="Inter"/>
                <w:b w:val="0"/>
                <w:i w:val="0"/>
                <w:color w:val="2D2D2D"/>
                <w:sz w:val="19"/>
              </w:rPr>
              <w:t>11</w:t>
            </w:r>
          </w:p>
        </w:tc>
        <w:tc>
          <w:tcPr>
            <w:tcW w:type="dxa" w:w="3120"/>
          </w:tcPr>
          <w:p>
            <w:r/>
            <w:r>
              <w:rPr>
                <w:rFonts w:ascii="Inter" w:hAnsi="Inter" w:cs="Inter"/>
                <w:b w:val="0"/>
                <w:i w:val="0"/>
                <w:color w:val="2D2D2D"/>
                <w:sz w:val="19"/>
              </w:rPr>
              <w:t>**Consolidated MOA Strategic Plan**</w:t>
            </w:r>
          </w:p>
        </w:tc>
        <w:tc>
          <w:tcPr>
            <w:tcW w:type="dxa" w:w="3120"/>
          </w:tcPr>
          <w:p>
            <w:r/>
            <w:r>
              <w:rPr>
                <w:rFonts w:ascii="Inter" w:hAnsi="Inter" w:cs="Inter"/>
                <w:b w:val="0"/>
                <w:i w:val="0"/>
                <w:color w:val="2D2D2D"/>
                <w:sz w:val="19"/>
              </w:rPr>
              <w:t>All points</w:t>
            </w:r>
          </w:p>
        </w:tc>
      </w:tr>
    </w:tbl>
    <w:p/>
    <w:p>
      <w:pPr>
        <w:spacing w:after="120" w:line="276" w:lineRule="auto"/>
      </w:pPr>
      <w:r>
        <w:rPr>
          <w:rFonts w:ascii="Inter" w:hAnsi="Inter" w:cs="Inter"/>
          <w:b w:val="0"/>
          <w:i w:val="0"/>
          <w:color w:val="2D2D2D"/>
          <w:sz w:val="22"/>
        </w:rPr>
        <w:t>The eleventh output --- the consolidated plan --- is what you submit to BPDA for review and certification. It integrates all ten component outputs into a single document that tells the complete story of your MOA's strategic direction.</w:t>
      </w:r>
    </w:p>
    <w:p>
      <w:pPr>
        <w:spacing w:after="120" w:line="276" w:lineRule="auto"/>
      </w:pPr>
      <w:r>
        <w:rPr>
          <w:rFonts w:ascii="Inter" w:hAnsi="Inter" w:cs="Inter"/>
          <w:b w:val="0"/>
          <w:i w:val="0"/>
          <w:color w:val="2D2D2D"/>
          <w:sz w:val="22"/>
        </w:rPr>
      </w:r>
      <w:r>
        <w:rPr>
          <w:rFonts w:ascii="Inter" w:hAnsi="Inter" w:cs="Inter"/>
          <w:b/>
          <w:i w:val="0"/>
          <w:color w:val="2D2D2D"/>
          <w:sz w:val="22"/>
        </w:rPr>
        <w:t>Appendix D</w:t>
      </w:r>
      <w:r>
        <w:rPr>
          <w:rFonts w:ascii="Inter" w:hAnsi="Inter" w:cs="Inter"/>
          <w:b w:val="0"/>
          <w:i w:val="0"/>
          <w:color w:val="2D2D2D"/>
          <w:sz w:val="22"/>
        </w:rPr>
        <w:t xml:space="preserve"> provides blank templates for each of the ten component outputs and the consolidated plan. </w:t>
      </w:r>
      <w:r>
        <w:rPr>
          <w:rFonts w:ascii="Inter" w:hAnsi="Inter" w:cs="Inter"/>
          <w:b/>
          <w:i w:val="0"/>
          <w:color w:val="2D2D2D"/>
          <w:sz w:val="22"/>
        </w:rPr>
        <w:t>Appendix E</w:t>
      </w:r>
      <w:r>
        <w:rPr>
          <w:rFonts w:ascii="Inter" w:hAnsi="Inter" w:cs="Inter"/>
          <w:b w:val="0"/>
          <w:i w:val="0"/>
          <w:color w:val="2D2D2D"/>
          <w:sz w:val="22"/>
        </w:rPr>
        <w:t xml:space="preserve"> provides a fully worked example using a hypothetical ministry, showing what a completed plan looks like at each stage.</w:t>
      </w:r>
    </w:p>
    <w:p>
      <w:pPr>
        <w:pStyle w:val="Heading2"/>
      </w:pPr>
      <w:r>
        <w:rPr>
          <w:rFonts w:ascii="Inter" w:hAnsi="Inter" w:cs="Inter"/>
          <w:b/>
          <w:i w:val="0"/>
          <w:color w:val="1B365D"/>
          <w:sz w:val="32"/>
        </w:rPr>
        <w:t>Who Does What</w:t>
      </w:r>
    </w:p>
    <w:p>
      <w:pPr>
        <w:spacing w:after="120" w:line="276" w:lineRule="auto"/>
      </w:pPr>
      <w:r>
        <w:rPr>
          <w:rFonts w:ascii="Inter" w:hAnsi="Inter" w:cs="Inter"/>
          <w:b w:val="0"/>
          <w:i w:val="0"/>
          <w:color w:val="2D2D2D"/>
          <w:sz w:val="22"/>
        </w:rPr>
        <w:t>Strategic planning is not a one-person job. This guidebook is designed for planning teams, and each team member has a defined role across the 10 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Role</w:t>
            </w:r>
          </w:p>
        </w:tc>
        <w:tc>
          <w:tcPr>
            <w:tcW w:type="dxa" w:w="2340"/>
            <w:shd w:fill="1B365D"/>
          </w:tcPr>
          <w:p>
            <w:r/>
            <w:r>
              <w:rPr>
                <w:rFonts w:ascii="Inter" w:hAnsi="Inter" w:cs="Inter"/>
                <w:b/>
                <w:i w:val="0"/>
                <w:color w:val="FFFFFF"/>
                <w:sz w:val="19"/>
              </w:rPr>
              <w:t>Primary Responsibility</w:t>
            </w:r>
          </w:p>
        </w:tc>
        <w:tc>
          <w:tcPr>
            <w:tcW w:type="dxa" w:w="2340"/>
            <w:shd w:fill="1B365D"/>
          </w:tcPr>
          <w:p>
            <w:r/>
            <w:r>
              <w:rPr>
                <w:rFonts w:ascii="Inter" w:hAnsi="Inter" w:cs="Inter"/>
                <w:b/>
                <w:i w:val="0"/>
                <w:color w:val="FFFFFF"/>
                <w:sz w:val="19"/>
              </w:rPr>
              <w:t>Points Led</w:t>
            </w:r>
          </w:p>
        </w:tc>
        <w:tc>
          <w:tcPr>
            <w:tcW w:type="dxa" w:w="2340"/>
            <w:shd w:fill="1B365D"/>
          </w:tcPr>
          <w:p>
            <w:r/>
            <w:r>
              <w:rPr>
                <w:rFonts w:ascii="Inter" w:hAnsi="Inter" w:cs="Inter"/>
                <w:b/>
                <w:i w:val="0"/>
                <w:color w:val="FFFFFF"/>
                <w:sz w:val="19"/>
              </w:rPr>
              <w:t>Key Deliverables</w:t>
            </w:r>
          </w:p>
        </w:tc>
      </w:tr>
      <w:tr>
        <w:tc>
          <w:tcPr>
            <w:tcW w:type="dxa" w:w="2340"/>
          </w:tcPr>
          <w:p>
            <w:r/>
            <w:r>
              <w:rPr>
                <w:rFonts w:ascii="Inter" w:hAnsi="Inter" w:cs="Inter"/>
                <w:b w:val="0"/>
                <w:i w:val="0"/>
                <w:color w:val="2D2D2D"/>
                <w:sz w:val="19"/>
              </w:rPr>
              <w:t>**Planning Officer**</w:t>
            </w:r>
          </w:p>
        </w:tc>
        <w:tc>
          <w:tcPr>
            <w:tcW w:type="dxa" w:w="2340"/>
          </w:tcPr>
          <w:p>
            <w:r/>
            <w:r>
              <w:rPr>
                <w:rFonts w:ascii="Inter" w:hAnsi="Inter" w:cs="Inter"/>
                <w:b w:val="0"/>
                <w:i w:val="0"/>
                <w:color w:val="2D2D2D"/>
                <w:sz w:val="19"/>
              </w:rPr>
              <w:t>Drafts the foundation, analysis, and design layers; consolidates all outputs into the final plan</w:t>
            </w:r>
          </w:p>
        </w:tc>
        <w:tc>
          <w:tcPr>
            <w:tcW w:type="dxa" w:w="2340"/>
          </w:tcPr>
          <w:p>
            <w:r/>
            <w:r>
              <w:rPr>
                <w:rFonts w:ascii="Inter" w:hAnsi="Inter" w:cs="Inter"/>
                <w:b w:val="0"/>
                <w:i w:val="0"/>
                <w:color w:val="2D2D2D"/>
                <w:sz w:val="19"/>
              </w:rPr>
              <w:t>Points 1-7</w:t>
            </w:r>
          </w:p>
        </w:tc>
        <w:tc>
          <w:tcPr>
            <w:tcW w:type="dxa" w:w="2340"/>
          </w:tcPr>
          <w:p>
            <w:r/>
            <w:r>
              <w:rPr>
                <w:rFonts w:ascii="Inter" w:hAnsi="Inter" w:cs="Inter"/>
                <w:b w:val="0"/>
                <w:i w:val="0"/>
                <w:color w:val="2D2D2D"/>
                <w:sz w:val="19"/>
              </w:rPr>
              <w:t>Legal Mandate Statement, BDP Alignment Matrix, Priority Agenda Statement, Stakeholder Analysis, Strategic Direction Document, Theory of Change, PPA Register, Consolidated Plan</w:t>
            </w:r>
          </w:p>
        </w:tc>
      </w:tr>
      <w:tr>
        <w:tc>
          <w:tcPr>
            <w:tcW w:type="dxa" w:w="2340"/>
            <w:shd w:fill="F0F3F6"/>
          </w:tcPr>
          <w:p>
            <w:r/>
            <w:r>
              <w:rPr>
                <w:rFonts w:ascii="Inter" w:hAnsi="Inter" w:cs="Inter"/>
                <w:b w:val="0"/>
                <w:i w:val="0"/>
                <w:color w:val="2D2D2D"/>
                <w:sz w:val="19"/>
              </w:rPr>
              <w:t>**Budget Officer**</w:t>
            </w:r>
          </w:p>
        </w:tc>
        <w:tc>
          <w:tcPr>
            <w:tcW w:type="dxa" w:w="2340"/>
            <w:shd w:fill="F0F3F6"/>
          </w:tcPr>
          <w:p>
            <w:r/>
            <w:r>
              <w:rPr>
                <w:rFonts w:ascii="Inter" w:hAnsi="Inter" w:cs="Inter"/>
                <w:b w:val="0"/>
                <w:i w:val="0"/>
                <w:color w:val="2D2D2D"/>
                <w:sz w:val="19"/>
              </w:rPr>
              <w:t>Leads resource and financial planning; ensures PPAs comply with budget ceilings and MFBM requirements</w:t>
            </w:r>
          </w:p>
        </w:tc>
        <w:tc>
          <w:tcPr>
            <w:tcW w:type="dxa" w:w="2340"/>
            <w:shd w:fill="F0F3F6"/>
          </w:tcPr>
          <w:p>
            <w:r/>
            <w:r>
              <w:rPr>
                <w:rFonts w:ascii="Inter" w:hAnsi="Inter" w:cs="Inter"/>
                <w:b w:val="0"/>
                <w:i w:val="0"/>
                <w:color w:val="2D2D2D"/>
                <w:sz w:val="19"/>
              </w:rPr>
              <w:t>Points 8-9</w:t>
            </w:r>
          </w:p>
        </w:tc>
        <w:tc>
          <w:tcPr>
            <w:tcW w:type="dxa" w:w="2340"/>
            <w:shd w:fill="F0F3F6"/>
          </w:tcPr>
          <w:p>
            <w:r/>
            <w:r>
              <w:rPr>
                <w:rFonts w:ascii="Inter" w:hAnsi="Inter" w:cs="Inter"/>
                <w:b w:val="0"/>
                <w:i w:val="0"/>
                <w:color w:val="2D2D2D"/>
                <w:sz w:val="19"/>
              </w:rPr>
              <w:t>Resource Plan, Annual Financial Plan, Procurement Plan</w:t>
            </w:r>
          </w:p>
        </w:tc>
      </w:tr>
      <w:tr>
        <w:tc>
          <w:tcPr>
            <w:tcW w:type="dxa" w:w="2340"/>
          </w:tcPr>
          <w:p>
            <w:r/>
            <w:r>
              <w:rPr>
                <w:rFonts w:ascii="Inter" w:hAnsi="Inter" w:cs="Inter"/>
                <w:b w:val="0"/>
                <w:i w:val="0"/>
                <w:color w:val="2D2D2D"/>
                <w:sz w:val="19"/>
              </w:rPr>
              <w:t>**M&amp;E Officer**</w:t>
            </w:r>
          </w:p>
        </w:tc>
        <w:tc>
          <w:tcPr>
            <w:tcW w:type="dxa" w:w="2340"/>
          </w:tcPr>
          <w:p>
            <w:r/>
            <w:r>
              <w:rPr>
                <w:rFonts w:ascii="Inter" w:hAnsi="Inter" w:cs="Inter"/>
                <w:b w:val="0"/>
                <w:i w:val="0"/>
                <w:color w:val="2D2D2D"/>
                <w:sz w:val="19"/>
              </w:rPr>
              <w:t>Designs the monitoring and evaluation framework; defines indicators, baselines, targets, and data collection methods</w:t>
            </w:r>
          </w:p>
        </w:tc>
        <w:tc>
          <w:tcPr>
            <w:tcW w:type="dxa" w:w="2340"/>
          </w:tcPr>
          <w:p>
            <w:r/>
            <w:r>
              <w:rPr>
                <w:rFonts w:ascii="Inter" w:hAnsi="Inter" w:cs="Inter"/>
                <w:b w:val="0"/>
                <w:i w:val="0"/>
                <w:color w:val="2D2D2D"/>
                <w:sz w:val="19"/>
              </w:rPr>
              <w:t>Point 10</w:t>
            </w:r>
          </w:p>
        </w:tc>
        <w:tc>
          <w:tcPr>
            <w:tcW w:type="dxa" w:w="2340"/>
          </w:tcPr>
          <w:p>
            <w:r/>
            <w:r>
              <w:rPr>
                <w:rFonts w:ascii="Inter" w:hAnsi="Inter" w:cs="Inter"/>
                <w:b w:val="0"/>
                <w:i w:val="0"/>
                <w:color w:val="2D2D2D"/>
                <w:sz w:val="19"/>
              </w:rPr>
              <w:t>M&amp;E Framework, Indicator Matrix, Data Collection Plan</w:t>
            </w:r>
          </w:p>
        </w:tc>
      </w:tr>
      <w:tr>
        <w:tc>
          <w:tcPr>
            <w:tcW w:type="dxa" w:w="2340"/>
            <w:shd w:fill="F0F3F6"/>
          </w:tcPr>
          <w:p>
            <w:r/>
            <w:r>
              <w:rPr>
                <w:rFonts w:ascii="Inter" w:hAnsi="Inter" w:cs="Inter"/>
                <w:b w:val="0"/>
                <w:i w:val="0"/>
                <w:color w:val="2D2D2D"/>
                <w:sz w:val="19"/>
              </w:rPr>
              <w:t>**Minister / Executive Director**</w:t>
            </w:r>
          </w:p>
        </w:tc>
        <w:tc>
          <w:tcPr>
            <w:tcW w:type="dxa" w:w="2340"/>
            <w:shd w:fill="F0F3F6"/>
          </w:tcPr>
          <w:p>
            <w:r/>
            <w:r>
              <w:rPr>
                <w:rFonts w:ascii="Inter" w:hAnsi="Inter" w:cs="Inter"/>
                <w:b w:val="0"/>
                <w:i w:val="0"/>
                <w:color w:val="2D2D2D"/>
                <w:sz w:val="19"/>
              </w:rPr>
              <w:t>Provides strategic direction and approves outputs at each stage; makes final decisions on priorities, resource allocation, and plan submission</w:t>
            </w:r>
          </w:p>
        </w:tc>
        <w:tc>
          <w:tcPr>
            <w:tcW w:type="dxa" w:w="2340"/>
            <w:shd w:fill="F0F3F6"/>
          </w:tcPr>
          <w:p>
            <w:r/>
            <w:r>
              <w:rPr>
                <w:rFonts w:ascii="Inter" w:hAnsi="Inter" w:cs="Inter"/>
                <w:b w:val="0"/>
                <w:i w:val="0"/>
                <w:color w:val="2D2D2D"/>
                <w:sz w:val="19"/>
              </w:rPr>
              <w:t>Approval at all stages</w:t>
            </w:r>
          </w:p>
        </w:tc>
        <w:tc>
          <w:tcPr>
            <w:tcW w:type="dxa" w:w="2340"/>
            <w:shd w:fill="F0F3F6"/>
          </w:tcPr>
          <w:p>
            <w:r/>
            <w:r>
              <w:rPr>
                <w:rFonts w:ascii="Inter" w:hAnsi="Inter" w:cs="Inter"/>
                <w:b w:val="0"/>
                <w:i w:val="0"/>
                <w:color w:val="2D2D2D"/>
                <w:sz w:val="19"/>
              </w:rPr>
              <w:t>Approved plan at each milestone</w:t>
            </w:r>
          </w:p>
        </w:tc>
      </w:tr>
      <w:tr>
        <w:tc>
          <w:tcPr>
            <w:tcW w:type="dxa" w:w="2340"/>
          </w:tcPr>
          <w:p>
            <w:r/>
            <w:r>
              <w:rPr>
                <w:rFonts w:ascii="Inter" w:hAnsi="Inter" w:cs="Inter"/>
                <w:b w:val="0"/>
                <w:i w:val="0"/>
                <w:color w:val="2D2D2D"/>
                <w:sz w:val="19"/>
              </w:rPr>
              <w:t>**BPDA**</w:t>
            </w:r>
          </w:p>
        </w:tc>
        <w:tc>
          <w:tcPr>
            <w:tcW w:type="dxa" w:w="2340"/>
          </w:tcPr>
          <w:p>
            <w:r/>
            <w:r>
              <w:rPr>
                <w:rFonts w:ascii="Inter" w:hAnsi="Inter" w:cs="Inter"/>
                <w:b w:val="0"/>
                <w:i w:val="0"/>
                <w:color w:val="2D2D2D"/>
                <w:sz w:val="19"/>
              </w:rPr>
              <w:t>Reviews submitted plans for completeness, BDP alignment, and technical quality; certifies compliant plans</w:t>
            </w:r>
          </w:p>
        </w:tc>
        <w:tc>
          <w:tcPr>
            <w:tcW w:type="dxa" w:w="2340"/>
          </w:tcPr>
          <w:p>
            <w:r/>
            <w:r>
              <w:rPr>
                <w:rFonts w:ascii="Inter" w:hAnsi="Inter" w:cs="Inter"/>
                <w:b w:val="0"/>
                <w:i w:val="0"/>
                <w:color w:val="2D2D2D"/>
                <w:sz w:val="19"/>
              </w:rPr>
              <w:t>External review</w:t>
            </w:r>
          </w:p>
        </w:tc>
        <w:tc>
          <w:tcPr>
            <w:tcW w:type="dxa" w:w="2340"/>
          </w:tcPr>
          <w:p>
            <w:r/>
            <w:r>
              <w:rPr>
                <w:rFonts w:ascii="Inter" w:hAnsi="Inter" w:cs="Inter"/>
                <w:b w:val="0"/>
                <w:i w:val="0"/>
                <w:color w:val="2D2D2D"/>
                <w:sz w:val="19"/>
              </w:rPr>
              <w:t>Plan certification or feedback for revision</w:t>
            </w:r>
          </w:p>
        </w:tc>
      </w:tr>
      <w:tr>
        <w:tc>
          <w:tcPr>
            <w:tcW w:type="dxa" w:w="2340"/>
            <w:shd w:fill="F0F3F6"/>
          </w:tcPr>
          <w:p>
            <w:r/>
            <w:r>
              <w:rPr>
                <w:rFonts w:ascii="Inter" w:hAnsi="Inter" w:cs="Inter"/>
                <w:b w:val="0"/>
                <w:i w:val="0"/>
                <w:color w:val="2D2D2D"/>
                <w:sz w:val="19"/>
              </w:rPr>
              <w:t>**MFBM**</w:t>
            </w:r>
          </w:p>
        </w:tc>
        <w:tc>
          <w:tcPr>
            <w:tcW w:type="dxa" w:w="2340"/>
            <w:shd w:fill="F0F3F6"/>
          </w:tcPr>
          <w:p>
            <w:r/>
            <w:r>
              <w:rPr>
                <w:rFonts w:ascii="Inter" w:hAnsi="Inter" w:cs="Inter"/>
                <w:b w:val="0"/>
                <w:i w:val="0"/>
                <w:color w:val="2D2D2D"/>
                <w:sz w:val="19"/>
              </w:rPr>
              <w:t>Reviews resource and financial plans for budget feasibility and compliance with fiscal policies</w:t>
            </w:r>
          </w:p>
        </w:tc>
        <w:tc>
          <w:tcPr>
            <w:tcW w:type="dxa" w:w="2340"/>
            <w:shd w:fill="F0F3F6"/>
          </w:tcPr>
          <w:p>
            <w:r/>
            <w:r>
              <w:rPr>
                <w:rFonts w:ascii="Inter" w:hAnsi="Inter" w:cs="Inter"/>
                <w:b w:val="0"/>
                <w:i w:val="0"/>
                <w:color w:val="2D2D2D"/>
                <w:sz w:val="19"/>
              </w:rPr>
              <w:t>External review</w:t>
            </w:r>
          </w:p>
        </w:tc>
        <w:tc>
          <w:tcPr>
            <w:tcW w:type="dxa" w:w="2340"/>
            <w:shd w:fill="F0F3F6"/>
          </w:tcPr>
          <w:p>
            <w:r/>
            <w:r>
              <w:rPr>
                <w:rFonts w:ascii="Inter" w:hAnsi="Inter" w:cs="Inter"/>
                <w:b w:val="0"/>
                <w:i w:val="0"/>
                <w:color w:val="2D2D2D"/>
                <w:sz w:val="19"/>
              </w:rPr>
              <w:t>Budget feasibility assessment</w:t>
            </w:r>
          </w:p>
        </w:tc>
      </w:tr>
    </w:tbl>
    <w:p/>
    <w:p>
      <w:pPr>
        <w:pStyle w:val="Heading3"/>
      </w:pPr>
      <w:r>
        <w:rPr>
          <w:rFonts w:ascii="Inter" w:hAnsi="Inter" w:cs="Inter"/>
          <w:b/>
          <w:i w:val="0"/>
          <w:color w:val="2C5F7C"/>
          <w:sz w:val="26"/>
        </w:rPr>
        <w:t>A Note for Decision-Makers</w:t>
      </w:r>
    </w:p>
    <w:p>
      <w:pPr>
        <w:spacing w:after="120" w:line="276" w:lineRule="auto"/>
      </w:pPr>
      <w:r>
        <w:rPr>
          <w:rFonts w:ascii="Inter" w:hAnsi="Inter" w:cs="Inter"/>
          <w:b w:val="0"/>
          <w:i w:val="0"/>
          <w:color w:val="2D2D2D"/>
          <w:sz w:val="22"/>
        </w:rPr>
        <w:t xml:space="preserve">Each chapter in this guidebook includes a </w:t>
      </w:r>
      <w:r>
        <w:rPr>
          <w:rFonts w:ascii="Inter" w:hAnsi="Inter" w:cs="Inter"/>
          <w:b/>
          <w:i w:val="0"/>
          <w:color w:val="2D2D2D"/>
          <w:sz w:val="22"/>
        </w:rPr>
        <w:t>"For Decision-Makers"</w:t>
      </w:r>
      <w:r>
        <w:rPr>
          <w:rFonts w:ascii="Inter" w:hAnsi="Inter" w:cs="Inter"/>
          <w:b w:val="0"/>
          <w:i w:val="0"/>
          <w:color w:val="2D2D2D"/>
          <w:sz w:val="22"/>
        </w:rPr>
        <w:t xml:space="preserve"> callout. These callouts summarize the key questions you need to answer and the decisions you need to make at each stage. If you are a Minister, Deputy Minister, or Executive Director, you do not need to read every chapter in full. Read the opening section for context, then focus on the decision-maker callouts to understand what your planning team needs from you.</w:t>
      </w:r>
    </w:p>
    <w:p>
      <w:pPr>
        <w:pStyle w:val="Heading2"/>
      </w:pPr>
      <w:r>
        <w:rPr>
          <w:rFonts w:ascii="Inter" w:hAnsi="Inter" w:cs="Inter"/>
          <w:b/>
          <w:i w:val="0"/>
          <w:color w:val="1B365D"/>
          <w:sz w:val="32"/>
        </w:rPr>
        <w:t>The Planning Calendar</w:t>
      </w:r>
    </w:p>
    <w:p>
      <w:pPr>
        <w:spacing w:after="120" w:line="276" w:lineRule="auto"/>
      </w:pPr>
      <w:r>
        <w:rPr>
          <w:rFonts w:ascii="Inter" w:hAnsi="Inter" w:cs="Inter"/>
          <w:b w:val="0"/>
          <w:i w:val="0"/>
          <w:color w:val="2D2D2D"/>
          <w:sz w:val="22"/>
        </w:rPr>
        <w:t>Strategic planning does not happen in isolation. It follows the rhythm of the BARMM fiscal year and budget cycle. The table below shows when each layer of the 10-point framework typically takes place.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Quarter</w:t>
            </w:r>
          </w:p>
        </w:tc>
        <w:tc>
          <w:tcPr>
            <w:tcW w:type="dxa" w:w="2340"/>
            <w:shd w:fill="1B365D"/>
          </w:tcPr>
          <w:p>
            <w:r/>
            <w:r>
              <w:rPr>
                <w:rFonts w:ascii="Inter" w:hAnsi="Inter" w:cs="Inter"/>
                <w:b/>
                <w:i w:val="0"/>
                <w:color w:val="FFFFFF"/>
                <w:sz w:val="19"/>
              </w:rPr>
              <w:t>Months</w:t>
            </w:r>
          </w:p>
        </w:tc>
        <w:tc>
          <w:tcPr>
            <w:tcW w:type="dxa" w:w="2340"/>
            <w:shd w:fill="1B365D"/>
          </w:tcPr>
          <w:p>
            <w:r/>
            <w:r>
              <w:rPr>
                <w:rFonts w:ascii="Inter" w:hAnsi="Inter" w:cs="Inter"/>
                <w:b/>
                <w:i w:val="0"/>
                <w:color w:val="FFFFFF"/>
                <w:sz w:val="19"/>
              </w:rPr>
              <w:t>Framework Layer</w:t>
            </w:r>
          </w:p>
        </w:tc>
        <w:tc>
          <w:tcPr>
            <w:tcW w:type="dxa" w:w="2340"/>
            <w:shd w:fill="1B365D"/>
          </w:tcPr>
          <w:p>
            <w:r/>
            <w:r>
              <w:rPr>
                <w:rFonts w:ascii="Inter" w:hAnsi="Inter" w:cs="Inter"/>
                <w:b/>
                <w:i w:val="0"/>
                <w:color w:val="FFFFFF"/>
                <w:sz w:val="19"/>
              </w:rPr>
              <w:t>Key Activities</w:t>
            </w:r>
          </w:p>
        </w:tc>
      </w:tr>
      <w:tr>
        <w:tc>
          <w:tcPr>
            <w:tcW w:type="dxa" w:w="2340"/>
          </w:tcPr>
          <w:p>
            <w:r/>
            <w:r>
              <w:rPr>
                <w:rFonts w:ascii="Inter" w:hAnsi="Inter" w:cs="Inter"/>
                <w:b w:val="0"/>
                <w:i w:val="0"/>
                <w:color w:val="2D2D2D"/>
                <w:sz w:val="19"/>
              </w:rPr>
              <w:t>**Q1**</w:t>
            </w:r>
          </w:p>
        </w:tc>
        <w:tc>
          <w:tcPr>
            <w:tcW w:type="dxa" w:w="2340"/>
          </w:tcPr>
          <w:p>
            <w:r/>
            <w:r>
              <w:rPr>
                <w:rFonts w:ascii="Inter" w:hAnsi="Inter" w:cs="Inter"/>
                <w:b w:val="0"/>
                <w:i w:val="0"/>
                <w:color w:val="2D2D2D"/>
                <w:sz w:val="19"/>
              </w:rPr>
              <w:t>January -- March</w:t>
            </w:r>
          </w:p>
        </w:tc>
        <w:tc>
          <w:tcPr>
            <w:tcW w:type="dxa" w:w="2340"/>
          </w:tcPr>
          <w:p>
            <w:r/>
            <w:r>
              <w:rPr>
                <w:rFonts w:ascii="Inter" w:hAnsi="Inter" w:cs="Inter"/>
                <w:b w:val="0"/>
                <w:i w:val="0"/>
                <w:color w:val="2D2D2D"/>
                <w:sz w:val="19"/>
              </w:rPr>
              <w:t>**Foundation** (Points 1-3)</w:t>
            </w:r>
          </w:p>
        </w:tc>
        <w:tc>
          <w:tcPr>
            <w:tcW w:type="dxa" w:w="2340"/>
          </w:tcPr>
          <w:p>
            <w:r/>
            <w:r>
              <w:rPr>
                <w:rFonts w:ascii="Inter" w:hAnsi="Inter" w:cs="Inter"/>
                <w:b w:val="0"/>
                <w:i w:val="0"/>
                <w:color w:val="2D2D2D"/>
                <w:sz w:val="19"/>
              </w:rPr>
              <w:t>Conduct strategic review of previous plan performance. Update legal alignment for any new legislation enacted in the previous year. Review BDP 2023-2028 targets and assess progress. Reaffirm or adjust Priority Agenda alignment.</w:t>
            </w:r>
          </w:p>
        </w:tc>
      </w:tr>
      <w:tr>
        <w:tc>
          <w:tcPr>
            <w:tcW w:type="dxa" w:w="2340"/>
            <w:shd w:fill="F0F3F6"/>
          </w:tcPr>
          <w:p>
            <w:r/>
            <w:r>
              <w:rPr>
                <w:rFonts w:ascii="Inter" w:hAnsi="Inter" w:cs="Inter"/>
                <w:b w:val="0"/>
                <w:i w:val="0"/>
                <w:color w:val="2D2D2D"/>
                <w:sz w:val="19"/>
              </w:rPr>
              <w:t>**Q2**</w:t>
            </w:r>
          </w:p>
        </w:tc>
        <w:tc>
          <w:tcPr>
            <w:tcW w:type="dxa" w:w="2340"/>
            <w:shd w:fill="F0F3F6"/>
          </w:tcPr>
          <w:p>
            <w:r/>
            <w:r>
              <w:rPr>
                <w:rFonts w:ascii="Inter" w:hAnsi="Inter" w:cs="Inter"/>
                <w:b w:val="0"/>
                <w:i w:val="0"/>
                <w:color w:val="2D2D2D"/>
                <w:sz w:val="19"/>
              </w:rPr>
              <w:t>April -- June</w:t>
            </w:r>
          </w:p>
        </w:tc>
        <w:tc>
          <w:tcPr>
            <w:tcW w:type="dxa" w:w="2340"/>
            <w:shd w:fill="F0F3F6"/>
          </w:tcPr>
          <w:p>
            <w:r/>
            <w:r>
              <w:rPr>
                <w:rFonts w:ascii="Inter" w:hAnsi="Inter" w:cs="Inter"/>
                <w:b w:val="0"/>
                <w:i w:val="0"/>
                <w:color w:val="2D2D2D"/>
                <w:sz w:val="19"/>
              </w:rPr>
              <w:t>**Analysis and Design** (Points 4-6)</w:t>
            </w:r>
          </w:p>
        </w:tc>
        <w:tc>
          <w:tcPr>
            <w:tcW w:type="dxa" w:w="2340"/>
            <w:shd w:fill="F0F3F6"/>
          </w:tcPr>
          <w:p>
            <w:r/>
            <w:r>
              <w:rPr>
                <w:rFonts w:ascii="Inter" w:hAnsi="Inter" w:cs="Inter"/>
                <w:b w:val="0"/>
                <w:i w:val="0"/>
                <w:color w:val="2D2D2D"/>
                <w:sz w:val="19"/>
              </w:rPr>
              <w:t>Conduct stakeholder analysis. Update or develop vision, mission, and strategic objectives. Build or revise the Theory of Change. This is also when the BARMM Budget Call typically arrives, providing budget ceilings for the coming fiscal year.</w:t>
            </w:r>
          </w:p>
        </w:tc>
      </w:tr>
      <w:tr>
        <w:tc>
          <w:tcPr>
            <w:tcW w:type="dxa" w:w="2340"/>
          </w:tcPr>
          <w:p>
            <w:r/>
            <w:r>
              <w:rPr>
                <w:rFonts w:ascii="Inter" w:hAnsi="Inter" w:cs="Inter"/>
                <w:b w:val="0"/>
                <w:i w:val="0"/>
                <w:color w:val="2D2D2D"/>
                <w:sz w:val="19"/>
              </w:rPr>
              <w:t>**Q3**</w:t>
            </w:r>
          </w:p>
        </w:tc>
        <w:tc>
          <w:tcPr>
            <w:tcW w:type="dxa" w:w="2340"/>
          </w:tcPr>
          <w:p>
            <w:r/>
            <w:r>
              <w:rPr>
                <w:rFonts w:ascii="Inter" w:hAnsi="Inter" w:cs="Inter"/>
                <w:b w:val="0"/>
                <w:i w:val="0"/>
                <w:color w:val="2D2D2D"/>
                <w:sz w:val="19"/>
              </w:rPr>
              <w:t>July -- September</w:t>
            </w:r>
          </w:p>
        </w:tc>
        <w:tc>
          <w:tcPr>
            <w:tcW w:type="dxa" w:w="2340"/>
          </w:tcPr>
          <w:p>
            <w:r/>
            <w:r>
              <w:rPr>
                <w:rFonts w:ascii="Inter" w:hAnsi="Inter" w:cs="Inter"/>
                <w:b w:val="0"/>
                <w:i w:val="0"/>
                <w:color w:val="2D2D2D"/>
                <w:sz w:val="19"/>
              </w:rPr>
              <w:t>**Design and Execution** (Points 7-9)</w:t>
            </w:r>
          </w:p>
        </w:tc>
        <w:tc>
          <w:tcPr>
            <w:tcW w:type="dxa" w:w="2340"/>
          </w:tcPr>
          <w:p>
            <w:r/>
            <w:r>
              <w:rPr>
                <w:rFonts w:ascii="Inter" w:hAnsi="Inter" w:cs="Inter"/>
                <w:b w:val="0"/>
                <w:i w:val="0"/>
                <w:color w:val="2D2D2D"/>
                <w:sz w:val="19"/>
              </w:rPr>
              <w:t>Design or update PPAs with logical frameworks. Develop the resource plan within budget ceilings. Prepare the Annual Work and Financial Plan, including the procurement plan.</w:t>
            </w:r>
          </w:p>
        </w:tc>
      </w:tr>
      <w:tr>
        <w:tc>
          <w:tcPr>
            <w:tcW w:type="dxa" w:w="2340"/>
            <w:shd w:fill="F0F3F6"/>
          </w:tcPr>
          <w:p>
            <w:r/>
            <w:r>
              <w:rPr>
                <w:rFonts w:ascii="Inter" w:hAnsi="Inter" w:cs="Inter"/>
                <w:b w:val="0"/>
                <w:i w:val="0"/>
                <w:color w:val="2D2D2D"/>
                <w:sz w:val="19"/>
              </w:rPr>
              <w:t>**Q4**</w:t>
            </w:r>
          </w:p>
        </w:tc>
        <w:tc>
          <w:tcPr>
            <w:tcW w:type="dxa" w:w="2340"/>
            <w:shd w:fill="F0F3F6"/>
          </w:tcPr>
          <w:p>
            <w:r/>
            <w:r>
              <w:rPr>
                <w:rFonts w:ascii="Inter" w:hAnsi="Inter" w:cs="Inter"/>
                <w:b w:val="0"/>
                <w:i w:val="0"/>
                <w:color w:val="2D2D2D"/>
                <w:sz w:val="19"/>
              </w:rPr>
              <w:t>October -- December</w:t>
            </w:r>
          </w:p>
        </w:tc>
        <w:tc>
          <w:tcPr>
            <w:tcW w:type="dxa" w:w="2340"/>
            <w:shd w:fill="F0F3F6"/>
          </w:tcPr>
          <w:p>
            <w:r/>
            <w:r>
              <w:rPr>
                <w:rFonts w:ascii="Inter" w:hAnsi="Inter" w:cs="Inter"/>
                <w:b w:val="0"/>
                <w:i w:val="0"/>
                <w:color w:val="2D2D2D"/>
                <w:sz w:val="19"/>
              </w:rPr>
              <w:t>**Accountability and Submission** (Point 10, consolidation)</w:t>
            </w:r>
          </w:p>
        </w:tc>
        <w:tc>
          <w:tcPr>
            <w:tcW w:type="dxa" w:w="2340"/>
            <w:shd w:fill="F0F3F6"/>
          </w:tcPr>
          <w:p>
            <w:r/>
            <w:r>
              <w:rPr>
                <w:rFonts w:ascii="Inter" w:hAnsi="Inter" w:cs="Inter"/>
                <w:b w:val="0"/>
                <w:i w:val="0"/>
                <w:color w:val="2D2D2D"/>
                <w:sz w:val="19"/>
              </w:rPr>
              <w:t>Finalize the M&amp;E framework. Consolidate all outputs into the MOA Strategic Plan. Submit to the Minister/Executive Director for approval. Submit to BPDA for review and certification.</w:t>
            </w:r>
          </w:p>
        </w:tc>
      </w:tr>
    </w:tbl>
    <w:p/>
    <w:p>
      <w:pPr>
        <w:pStyle w:val="Heading3"/>
      </w:pPr>
      <w:r>
        <w:rPr>
          <w:rFonts w:ascii="Inter" w:hAnsi="Inter" w:cs="Inter"/>
          <w:b/>
          <w:i w:val="0"/>
          <w:color w:val="2C5F7C"/>
          <w:sz w:val="26"/>
        </w:rPr>
        <w:t>Alignment with the Budget Cycle</w:t>
      </w:r>
    </w:p>
    <w:p>
      <w:pPr>
        <w:spacing w:after="120" w:line="276" w:lineRule="auto"/>
      </w:pPr>
      <w:r>
        <w:rPr>
          <w:rFonts w:ascii="Inter" w:hAnsi="Inter" w:cs="Inter"/>
          <w:b w:val="0"/>
          <w:i w:val="0"/>
          <w:color w:val="2D2D2D"/>
          <w:sz w:val="22"/>
        </w:rPr>
        <w:t>The planning calendar is designed to feed directly into the budget process. When the Budget Call arrives (typically Q2-Q3), your MOA should already have its foundation and analysis layers complete. This means your budget proposals are grounded in legal mandate, aligned with BDP 2023-2028 goals, and supported by a Theory of Change --- not assembled from scratch under time pressure.</w:t>
      </w:r>
    </w:p>
    <w:p>
      <w:pPr>
        <w:spacing w:after="120" w:line="276" w:lineRule="auto"/>
      </w:pPr>
      <w:r>
        <w:rPr>
          <w:rFonts w:ascii="Inter" w:hAnsi="Inter" w:cs="Inter"/>
          <w:b w:val="0"/>
          <w:i w:val="0"/>
          <w:color w:val="2D2D2D"/>
          <w:sz w:val="22"/>
        </w:rPr>
        <w:t>Point 9 (Annual Work and Financial Plan) produces the annual targets, financial plan, and procurement plan that flow directly into your MOA's budget submission. The PPAs you design in Point 7 map to the BBP budget forms that MFBM requires. When your planning and budgeting are integrated, the budget defense becomes a conversation about strategy rather than a negotiation over line items.</w:t>
      </w:r>
    </w:p>
    <w:p>
      <w:pPr>
        <w:pStyle w:val="Heading3"/>
      </w:pPr>
      <w:r>
        <w:rPr>
          <w:rFonts w:ascii="Inter" w:hAnsi="Inter" w:cs="Inter"/>
          <w:b/>
          <w:i w:val="0"/>
          <w:color w:val="2C5F7C"/>
          <w:sz w:val="26"/>
        </w:rPr>
        <w:t>For Existing Plans</w:t>
      </w:r>
    </w:p>
    <w:p>
      <w:pPr>
        <w:spacing w:after="120" w:line="276" w:lineRule="auto"/>
      </w:pPr>
      <w:r>
        <w:rPr>
          <w:rFonts w:ascii="Inter" w:hAnsi="Inter" w:cs="Inter"/>
          <w:b w:val="0"/>
          <w:i w:val="0"/>
          <w:color w:val="2D2D2D"/>
          <w:sz w:val="22"/>
        </w:rPr>
        <w:t>If your MOA already has a strategic plan, you do not need to start from scratch each year. The planning calendar supports annual updating:</w:t>
      </w:r>
    </w:p>
    <w:p>
      <w:pPr>
        <w:pStyle w:val="ListBullet"/>
      </w:pPr>
      <w:r>
        <w:rPr>
          <w:rFonts w:ascii="Inter" w:hAnsi="Inter" w:cs="Inter"/>
          <w:b w:val="0"/>
          <w:i w:val="0"/>
          <w:color w:val="2D2D2D"/>
          <w:sz w:val="22"/>
        </w:rPr>
      </w:r>
      <w:r>
        <w:rPr>
          <w:rFonts w:ascii="Inter" w:hAnsi="Inter" w:cs="Inter"/>
          <w:b/>
          <w:i w:val="0"/>
          <w:color w:val="2D2D2D"/>
          <w:sz w:val="22"/>
        </w:rPr>
        <w:t>Q1</w:t>
      </w:r>
      <w:r>
        <w:rPr>
          <w:rFonts w:ascii="Inter" w:hAnsi="Inter" w:cs="Inter"/>
          <w:b w:val="0"/>
          <w:i w:val="0"/>
          <w:color w:val="2D2D2D"/>
          <w:sz w:val="22"/>
        </w:rPr>
        <w:t>: Review the foundation points (1-3) for any changes in law, policy, or BDP targets.</w:t>
      </w:r>
    </w:p>
    <w:p>
      <w:pPr>
        <w:pStyle w:val="ListBullet"/>
      </w:pPr>
      <w:r>
        <w:rPr>
          <w:rFonts w:ascii="Inter" w:hAnsi="Inter" w:cs="Inter"/>
          <w:b w:val="0"/>
          <w:i w:val="0"/>
          <w:color w:val="2D2D2D"/>
          <w:sz w:val="22"/>
        </w:rPr>
      </w:r>
      <w:r>
        <w:rPr>
          <w:rFonts w:ascii="Inter" w:hAnsi="Inter" w:cs="Inter"/>
          <w:b/>
          <w:i w:val="0"/>
          <w:color w:val="2D2D2D"/>
          <w:sz w:val="22"/>
        </w:rPr>
        <w:t>Q2-Q3</w:t>
      </w:r>
      <w:r>
        <w:rPr>
          <w:rFonts w:ascii="Inter" w:hAnsi="Inter" w:cs="Inter"/>
          <w:b w:val="0"/>
          <w:i w:val="0"/>
          <w:color w:val="2D2D2D"/>
          <w:sz w:val="22"/>
        </w:rPr>
        <w:t>: Update the analysis and design points (4-7) based on lessons learned from implementation.</w:t>
      </w:r>
    </w:p>
    <w:p>
      <w:pPr>
        <w:pStyle w:val="ListBullet"/>
      </w:pPr>
      <w:r>
        <w:rPr>
          <w:rFonts w:ascii="Inter" w:hAnsi="Inter" w:cs="Inter"/>
          <w:b w:val="0"/>
          <w:i w:val="0"/>
          <w:color w:val="2D2D2D"/>
          <w:sz w:val="22"/>
        </w:rPr>
      </w:r>
      <w:r>
        <w:rPr>
          <w:rFonts w:ascii="Inter" w:hAnsi="Inter" w:cs="Inter"/>
          <w:b/>
          <w:i w:val="0"/>
          <w:color w:val="2D2D2D"/>
          <w:sz w:val="22"/>
        </w:rPr>
        <w:t>Q3</w:t>
      </w:r>
      <w:r>
        <w:rPr>
          <w:rFonts w:ascii="Inter" w:hAnsi="Inter" w:cs="Inter"/>
          <w:b w:val="0"/>
          <w:i w:val="0"/>
          <w:color w:val="2D2D2D"/>
          <w:sz w:val="22"/>
        </w:rPr>
        <w:t>: Revise resource and annual plans (8-9) within the new budget ceiling.</w:t>
      </w:r>
    </w:p>
    <w:p>
      <w:pPr>
        <w:pStyle w:val="ListBullet"/>
      </w:pPr>
      <w:r>
        <w:rPr>
          <w:rFonts w:ascii="Inter" w:hAnsi="Inter" w:cs="Inter"/>
          <w:b w:val="0"/>
          <w:i w:val="0"/>
          <w:color w:val="2D2D2D"/>
          <w:sz w:val="22"/>
        </w:rPr>
      </w:r>
      <w:r>
        <w:rPr>
          <w:rFonts w:ascii="Inter" w:hAnsi="Inter" w:cs="Inter"/>
          <w:b/>
          <w:i w:val="0"/>
          <w:color w:val="2D2D2D"/>
          <w:sz w:val="22"/>
        </w:rPr>
        <w:t>Q4</w:t>
      </w:r>
      <w:r>
        <w:rPr>
          <w:rFonts w:ascii="Inter" w:hAnsi="Inter" w:cs="Inter"/>
          <w:b w:val="0"/>
          <w:i w:val="0"/>
          <w:color w:val="2D2D2D"/>
          <w:sz w:val="22"/>
        </w:rPr>
        <w:t>: Update the M&amp;E framework (10) and resubmit the consolidated plan.</w:t>
      </w:r>
    </w:p>
    <w:p>
      <w:pPr>
        <w:pStyle w:val="Heading2"/>
      </w:pPr>
      <w:r>
        <w:rPr>
          <w:rFonts w:ascii="Inter" w:hAnsi="Inter" w:cs="Inter"/>
          <w:b/>
          <w:i w:val="0"/>
          <w:color w:val="1B365D"/>
          <w:sz w:val="32"/>
        </w:rPr>
        <w:t>How to Read This Guidebook</w:t>
      </w:r>
    </w:p>
    <w:p>
      <w:pPr>
        <w:spacing w:after="120" w:line="276" w:lineRule="auto"/>
      </w:pPr>
      <w:r>
        <w:rPr>
          <w:rFonts w:ascii="Inter" w:hAnsi="Inter" w:cs="Inter"/>
          <w:b w:val="0"/>
          <w:i w:val="0"/>
          <w:color w:val="2D2D2D"/>
          <w:sz w:val="22"/>
        </w:rPr>
        <w:t>This guidebook is designed for multiple audiences. Choose the reading path that matches your role and experience.</w:t>
      </w:r>
    </w:p>
    <w:p>
      <w:pPr>
        <w:pStyle w:val="Heading3"/>
      </w:pPr>
      <w:r>
        <w:rPr>
          <w:rFonts w:ascii="Inter" w:hAnsi="Inter" w:cs="Inter"/>
          <w:b/>
          <w:i w:val="0"/>
          <w:color w:val="2C5F7C"/>
          <w:sz w:val="26"/>
        </w:rPr>
        <w:t>If You Are a First-Time Planner</w:t>
      </w:r>
    </w:p>
    <w:p>
      <w:pPr>
        <w:spacing w:after="120" w:line="276" w:lineRule="auto"/>
      </w:pPr>
      <w:r>
        <w:rPr>
          <w:rFonts w:ascii="Inter" w:hAnsi="Inter" w:cs="Inter"/>
          <w:b w:val="0"/>
          <w:i w:val="0"/>
          <w:color w:val="2D2D2D"/>
          <w:sz w:val="22"/>
        </w:rPr>
        <w:t>Read this introduction, then follow Chapters 2 through 12 in order. Each chapter covers one point of the framework and includes step-by-step instructions, templates, examples, and common mistakes to avoid. Chapter 12 covers plan consolidation and the BPDA submission process.</w:t>
      </w:r>
    </w:p>
    <w:p>
      <w:pPr>
        <w:pStyle w:val="Heading3"/>
      </w:pPr>
      <w:r>
        <w:rPr>
          <w:rFonts w:ascii="Inter" w:hAnsi="Inter" w:cs="Inter"/>
          <w:b/>
          <w:i w:val="0"/>
          <w:color w:val="2C5F7C"/>
          <w:sz w:val="26"/>
        </w:rPr>
        <w:t>If You Are an Experienced Planner Updating a Specific Component</w:t>
      </w:r>
    </w:p>
    <w:p>
      <w:pPr>
        <w:spacing w:after="120" w:line="276" w:lineRule="auto"/>
      </w:pPr>
      <w:r>
        <w:rPr>
          <w:rFonts w:ascii="Inter" w:hAnsi="Inter" w:cs="Inter"/>
          <w:b w:val="0"/>
          <w:i w:val="0"/>
          <w:color w:val="2D2D2D"/>
          <w:sz w:val="22"/>
        </w:rPr>
        <w:t>Jump directly to the chapter that covers the point you need to revise. Each chapter is self-contained enough to use independently, though you should check the "upstream dependencies" section at the start of each chapter to ensure your foundation is still current.</w:t>
      </w:r>
    </w:p>
    <w:p>
      <w:pPr>
        <w:pStyle w:val="Heading3"/>
      </w:pPr>
      <w:r>
        <w:rPr>
          <w:rFonts w:ascii="Inter" w:hAnsi="Inter" w:cs="Inter"/>
          <w:b/>
          <w:i w:val="0"/>
          <w:color w:val="2C5F7C"/>
          <w:sz w:val="26"/>
        </w:rPr>
        <w:t>If You Are a Decision-Maker (Minister, Deputy Minister, Executive Director)</w:t>
      </w:r>
    </w:p>
    <w:p>
      <w:pPr>
        <w:spacing w:after="120" w:line="276" w:lineRule="auto"/>
      </w:pPr>
      <w:r>
        <w:rPr>
          <w:rFonts w:ascii="Inter" w:hAnsi="Inter" w:cs="Inter"/>
          <w:b w:val="0"/>
          <w:i w:val="0"/>
          <w:color w:val="2D2D2D"/>
          <w:sz w:val="22"/>
        </w:rPr>
        <w:t xml:space="preserve">Read this introduction for the overall framework. Then, for each chapter, read only the </w:t>
      </w:r>
      <w:r>
        <w:rPr>
          <w:rFonts w:ascii="Inter" w:hAnsi="Inter" w:cs="Inter"/>
          <w:b/>
          <w:i w:val="0"/>
          <w:color w:val="2D2D2D"/>
          <w:sz w:val="22"/>
        </w:rPr>
        <w:t>"For Decision-Makers"</w:t>
      </w:r>
      <w:r>
        <w:rPr>
          <w:rFonts w:ascii="Inter" w:hAnsi="Inter" w:cs="Inter"/>
          <w:b w:val="0"/>
          <w:i w:val="0"/>
          <w:color w:val="2D2D2D"/>
          <w:sz w:val="22"/>
        </w:rPr>
        <w:t xml:space="preserve"> callout boxes and the chapter summary. Focus especially on Chapter 12 (Plan Consolidation and Submission), which explains what you are approving and what BPDA will evaluate. You do not need to master the technical details of Theory of Change construction or indicator design --- that is what your planning team does. Your role is to provide strategic direction and approve the outputs.</w:t>
      </w:r>
    </w:p>
    <w:p>
      <w:pPr>
        <w:pStyle w:val="Heading3"/>
      </w:pPr>
      <w:r>
        <w:rPr>
          <w:rFonts w:ascii="Inter" w:hAnsi="Inter" w:cs="Inter"/>
          <w:b/>
          <w:i w:val="0"/>
          <w:color w:val="2C5F7C"/>
          <w:sz w:val="26"/>
        </w:rPr>
        <w:t>If You Are a BPDA Reviewer</w:t>
      </w:r>
    </w:p>
    <w:p>
      <w:pPr>
        <w:spacing w:after="120" w:line="276" w:lineRule="auto"/>
      </w:pPr>
      <w:r>
        <w:rPr>
          <w:rFonts w:ascii="Inter" w:hAnsi="Inter" w:cs="Inter"/>
          <w:b w:val="0"/>
          <w:i w:val="0"/>
          <w:color w:val="2D2D2D"/>
          <w:sz w:val="22"/>
        </w:rPr>
        <w:t xml:space="preserve">Start with Chapter 12 (Plan Consolidation and Submission), which specifies the submission format, completeness criteria, and quality standards. Then review </w:t>
      </w:r>
      <w:r>
        <w:rPr>
          <w:rFonts w:ascii="Inter" w:hAnsi="Inter" w:cs="Inter"/>
          <w:b/>
          <w:i w:val="0"/>
          <w:color w:val="2D2D2D"/>
          <w:sz w:val="22"/>
        </w:rPr>
        <w:t>Appendix D</w:t>
      </w:r>
      <w:r>
        <w:rPr>
          <w:rFonts w:ascii="Inter" w:hAnsi="Inter" w:cs="Inter"/>
          <w:b w:val="0"/>
          <w:i w:val="0"/>
          <w:color w:val="2D2D2D"/>
          <w:sz w:val="22"/>
        </w:rPr>
        <w:t xml:space="preserve"> (blank templates) to understand the expected structure of each component. </w:t>
      </w:r>
      <w:r>
        <w:rPr>
          <w:rFonts w:ascii="Inter" w:hAnsi="Inter" w:cs="Inter"/>
          <w:b/>
          <w:i w:val="0"/>
          <w:color w:val="2D2D2D"/>
          <w:sz w:val="22"/>
        </w:rPr>
        <w:t>Appendix E</w:t>
      </w:r>
      <w:r>
        <w:rPr>
          <w:rFonts w:ascii="Inter" w:hAnsi="Inter" w:cs="Inter"/>
          <w:b w:val="0"/>
          <w:i w:val="0"/>
          <w:color w:val="2D2D2D"/>
          <w:sz w:val="22"/>
        </w:rPr>
        <w:t xml:space="preserve"> (worked example) shows what a compliant plan looks like. You can then refer to individual chapters for the technical criteria behind each point.</w:t>
      </w:r>
    </w:p>
    <w:p>
      <w:pPr>
        <w:pStyle w:val="Heading2"/>
      </w:pPr>
      <w:r>
        <w:rPr>
          <w:rFonts w:ascii="Inter" w:hAnsi="Inter" w:cs="Inter"/>
          <w:b/>
          <w:i w:val="0"/>
          <w:color w:val="1B365D"/>
          <w:sz w:val="32"/>
        </w:rPr>
        <w:t>Conventions Used in This Guidebook</w:t>
      </w:r>
    </w:p>
    <w:p>
      <w:pPr>
        <w:spacing w:after="120" w:line="276" w:lineRule="auto"/>
      </w:pPr>
      <w:r>
        <w:rPr>
          <w:rFonts w:ascii="Inter" w:hAnsi="Inter" w:cs="Inter"/>
          <w:b w:val="0"/>
          <w:i w:val="0"/>
          <w:color w:val="2D2D2D"/>
          <w:sz w:val="22"/>
        </w:rPr>
        <w:t>Throughout this guidebook, you will encounter the following formatting conventions:</w:t>
      </w:r>
    </w:p>
    <w:p>
      <w:pPr>
        <w:pStyle w:val="ListBullet"/>
      </w:pPr>
      <w:r>
        <w:rPr>
          <w:rFonts w:ascii="Inter" w:hAnsi="Inter" w:cs="Inter"/>
          <w:b w:val="0"/>
          <w:i w:val="0"/>
          <w:color w:val="2D2D2D"/>
          <w:sz w:val="22"/>
        </w:rPr>
      </w:r>
      <w:r>
        <w:rPr>
          <w:rFonts w:ascii="Inter" w:hAnsi="Inter" w:cs="Inter"/>
          <w:b/>
          <w:i w:val="0"/>
          <w:color w:val="2D2D2D"/>
          <w:sz w:val="22"/>
        </w:rPr>
        <w:t>Bold text</w:t>
      </w:r>
      <w:r>
        <w:rPr>
          <w:rFonts w:ascii="Inter" w:hAnsi="Inter" w:cs="Inter"/>
          <w:b w:val="0"/>
          <w:i w:val="0"/>
          <w:color w:val="2D2D2D"/>
          <w:sz w:val="22"/>
        </w:rPr>
        <w:t xml:space="preserve"> highlights key terms, framework names, and definitions</w:t>
      </w:r>
    </w:p>
    <w:p>
      <w:pPr>
        <w:pStyle w:val="ListBullet"/>
      </w:pPr>
      <w:r>
        <w:rPr>
          <w:rFonts w:ascii="Inter" w:hAnsi="Inter" w:cs="Inter"/>
          <w:b w:val="0"/>
          <w:i w:val="0"/>
          <w:color w:val="2D2D2D"/>
          <w:sz w:val="22"/>
        </w:rPr>
        <w:t>*Italic text* marks document titles and template names on first reference</w:t>
      </w:r>
    </w:p>
    <w:p>
      <w:pPr>
        <w:pStyle w:val="ListBullet"/>
      </w:pPr>
      <w:r>
        <w:rPr>
          <w:rFonts w:ascii="Inter" w:hAnsi="Inter" w:cs="Inter"/>
          <w:b w:val="0"/>
          <w:i w:val="0"/>
          <w:color w:val="2D2D2D"/>
          <w:sz w:val="22"/>
        </w:rPr>
      </w:r>
      <w:r>
        <w:rPr>
          <w:rFonts w:ascii="Inter" w:hAnsi="Inter" w:cs="Inter"/>
          <w:b/>
          <w:i w:val="0"/>
          <w:color w:val="2D2D2D"/>
          <w:sz w:val="22"/>
        </w:rPr>
        <w:t>TIP</w:t>
      </w:r>
      <w:r>
        <w:rPr>
          <w:rFonts w:ascii="Inter" w:hAnsi="Inter" w:cs="Inter"/>
          <w:b w:val="0"/>
          <w:i w:val="0"/>
          <w:color w:val="2D2D2D"/>
          <w:sz w:val="22"/>
        </w:rPr>
        <w:t xml:space="preserve"> callouts provide practical advice from experienced planning practitioners</w:t>
      </w:r>
    </w:p>
    <w:p>
      <w:pPr>
        <w:pStyle w:val="ListBullet"/>
      </w:pPr>
      <w:r>
        <w:rPr>
          <w:rFonts w:ascii="Inter" w:hAnsi="Inter" w:cs="Inter"/>
          <w:b w:val="0"/>
          <w:i w:val="0"/>
          <w:color w:val="2D2D2D"/>
          <w:sz w:val="22"/>
        </w:rPr>
      </w:r>
      <w:r>
        <w:rPr>
          <w:rFonts w:ascii="Inter" w:hAnsi="Inter" w:cs="Inter"/>
          <w:b/>
          <w:i w:val="0"/>
          <w:color w:val="2D2D2D"/>
          <w:sz w:val="22"/>
        </w:rPr>
        <w:t>CAUTION</w:t>
      </w:r>
      <w:r>
        <w:rPr>
          <w:rFonts w:ascii="Inter" w:hAnsi="Inter" w:cs="Inter"/>
          <w:b w:val="0"/>
          <w:i w:val="0"/>
          <w:color w:val="2D2D2D"/>
          <w:sz w:val="22"/>
        </w:rPr>
        <w:t xml:space="preserve"> callouts warn about common mistakes and their consequences</w:t>
      </w:r>
    </w:p>
    <w:p>
      <w:pPr>
        <w:pStyle w:val="ListBullet"/>
      </w:pPr>
      <w:r>
        <w:rPr>
          <w:rFonts w:ascii="Inter" w:hAnsi="Inter" w:cs="Inter"/>
          <w:b w:val="0"/>
          <w:i w:val="0"/>
          <w:color w:val="2D2D2D"/>
          <w:sz w:val="22"/>
        </w:rPr>
      </w:r>
      <w:r>
        <w:rPr>
          <w:rFonts w:ascii="Inter" w:hAnsi="Inter" w:cs="Inter"/>
          <w:b/>
          <w:i w:val="0"/>
          <w:color w:val="2D2D2D"/>
          <w:sz w:val="22"/>
        </w:rPr>
        <w:t>FOR DECISION-MAKERS</w:t>
      </w:r>
      <w:r>
        <w:rPr>
          <w:rFonts w:ascii="Inter" w:hAnsi="Inter" w:cs="Inter"/>
          <w:b w:val="0"/>
          <w:i w:val="0"/>
          <w:color w:val="2D2D2D"/>
          <w:sz w:val="22"/>
        </w:rPr>
        <w:t xml:space="preserve"> callouts summarize the key decisions required at each stage</w:t>
      </w:r>
    </w:p>
    <w:p>
      <w:pPr>
        <w:pStyle w:val="ListBullet"/>
      </w:pPr>
      <w:r>
        <w:rPr>
          <w:rFonts w:ascii="Inter" w:hAnsi="Inter" w:cs="Inter"/>
          <w:b w:val="0"/>
          <w:i w:val="0"/>
          <w:color w:val="2D2D2D"/>
          <w:sz w:val="22"/>
        </w:rPr>
      </w:r>
      <w:r>
        <w:rPr>
          <w:rFonts w:ascii="Inter" w:hAnsi="Inter" w:cs="Inter"/>
          <w:b/>
          <w:i w:val="0"/>
          <w:color w:val="2D2D2D"/>
          <w:sz w:val="22"/>
        </w:rPr>
        <w:t>BANGSAMORO NOTE</w:t>
      </w:r>
      <w:r>
        <w:rPr>
          <w:rFonts w:ascii="Inter" w:hAnsi="Inter" w:cs="Inter"/>
          <w:b w:val="0"/>
          <w:i w:val="0"/>
          <w:color w:val="2D2D2D"/>
          <w:sz w:val="22"/>
        </w:rPr>
        <w:t xml:space="preserve"> callouts highlight adaptations specific to BARMM governance and fiscal processes</w:t>
      </w:r>
    </w:p>
    <w:p>
      <w:pPr>
        <w:pStyle w:val="ListBullet"/>
      </w:pPr>
      <w:r>
        <w:rPr>
          <w:rFonts w:ascii="Inter" w:hAnsi="Inter" w:cs="Inter"/>
          <w:b w:val="0"/>
          <w:i w:val="0"/>
          <w:color w:val="2D2D2D"/>
          <w:sz w:val="22"/>
        </w:rPr>
        <w:t>Blockquoted text presents verbatim legal provisions from the BOL, Administrative Code, or other legislation</w:t>
      </w:r>
    </w:p>
    <w:p>
      <w:pPr>
        <w:pStyle w:val="ListBullet"/>
      </w:pPr>
      <w:r>
        <w:rPr>
          <w:rFonts w:ascii="Inter" w:hAnsi="Inter" w:cs="Inter"/>
          <w:b w:val="0"/>
          <w:i w:val="0"/>
          <w:color w:val="2D2D2D"/>
          <w:sz w:val="22"/>
        </w:rPr>
        <w:t>Footnotes provide full legal citations following the Philippine Manual of Legal Citations format</w:t>
      </w:r>
    </w:p>
    <w:p>
      <w:pPr>
        <w:pStyle w:val="ListBullet"/>
      </w:pPr>
      <w:r>
        <w:rPr>
          <w:rFonts w:ascii="Inter" w:hAnsi="Inter" w:cs="Inter"/>
          <w:b w:val="0"/>
          <w:i w:val="0"/>
          <w:color w:val="2D2D2D"/>
          <w:sz w:val="22"/>
        </w:rPr>
        <w:t>Section references use "Chapter X, Section X.X" for cross-referencing within this guidebook</w:t>
      </w:r>
    </w:p>
    <w:p>
      <w:pPr>
        <w:pStyle w:val="Heading2"/>
      </w:pPr>
      <w:r>
        <w:rPr>
          <w:rFonts w:ascii="Inter" w:hAnsi="Inter" w:cs="Inter"/>
          <w:b/>
          <w:i w:val="0"/>
          <w:color w:val="1B365D"/>
          <w:sz w:val="32"/>
        </w:rPr>
        <w:t>Companion Resources</w:t>
      </w:r>
    </w:p>
    <w:p>
      <w:pPr>
        <w:spacing w:after="120" w:line="276" w:lineRule="auto"/>
      </w:pPr>
      <w:r>
        <w:rPr>
          <w:rFonts w:ascii="Inter" w:hAnsi="Inter" w:cs="Inter"/>
          <w:b w:val="0"/>
          <w:i w:val="0"/>
          <w:color w:val="2D2D2D"/>
          <w:sz w:val="22"/>
        </w:rPr>
        <w:t>This guidebook complements several other key BARMM publications:</w:t>
      </w:r>
    </w:p>
    <w:p>
      <w:pPr>
        <w:pStyle w:val="ListBullet"/>
      </w:pPr>
      <w:r>
        <w:rPr>
          <w:rFonts w:ascii="Inter" w:hAnsi="Inter" w:cs="Inter"/>
          <w:b w:val="0"/>
          <w:i w:val="0"/>
          <w:color w:val="2D2D2D"/>
          <w:sz w:val="22"/>
        </w:rPr>
        <w:t xml:space="preserve">The </w:t>
      </w:r>
      <w:r>
        <w:rPr>
          <w:rFonts w:ascii="Inter" w:hAnsi="Inter" w:cs="Inter"/>
          <w:b/>
          <w:i w:val="0"/>
          <w:color w:val="2D2D2D"/>
          <w:sz w:val="22"/>
        </w:rPr>
        <w:t>Bill Drafting Guidebook for the Bangsamoro Parliament</w:t>
      </w:r>
      <w:r>
        <w:rPr>
          <w:rFonts w:ascii="Inter" w:hAnsi="Inter" w:cs="Inter"/>
          <w:b w:val="0"/>
          <w:i w:val="0"/>
          <w:color w:val="2D2D2D"/>
          <w:sz w:val="22"/>
        </w:rPr>
        <w:t xml:space="preserve"> covers the technical craft of writing legislation. If your MOA's strategic plan identifies legislative gaps that require new BAAs, consult the Bill Drafting Guidebook for drafting standards.</w:t>
      </w:r>
    </w:p>
    <w:p>
      <w:pPr>
        <w:pStyle w:val="ListBullet"/>
      </w:pPr>
      <w:r>
        <w:rPr>
          <w:rFonts w:ascii="Inter" w:hAnsi="Inter" w:cs="Inter"/>
          <w:b w:val="0"/>
          <w:i w:val="0"/>
          <w:color w:val="2D2D2D"/>
          <w:sz w:val="22"/>
        </w:rPr>
        <w:t xml:space="preserve">The </w:t>
      </w:r>
      <w:r>
        <w:rPr>
          <w:rFonts w:ascii="Inter" w:hAnsi="Inter" w:cs="Inter"/>
          <w:b/>
          <w:i w:val="0"/>
          <w:color w:val="2D2D2D"/>
          <w:sz w:val="22"/>
        </w:rPr>
        <w:t>Complete Staff Work (CSW) Guidebook</w:t>
      </w:r>
      <w:r>
        <w:rPr>
          <w:rFonts w:ascii="Inter" w:hAnsi="Inter" w:cs="Inter"/>
          <w:b w:val="0"/>
          <w:i w:val="0"/>
          <w:color w:val="2D2D2D"/>
          <w:sz w:val="22"/>
        </w:rPr>
        <w:t xml:space="preserve"> provides the ADDRESS IT methodology for analytical and decision-support work. Strategic planning draws on CSW skills --- particularly the research, analysis, and options-evaluation steps. If your planning team needs to strengthen their analytical process, the CSW Guidebook is the reference.</w:t>
      </w:r>
    </w:p>
    <w:p>
      <w:pPr>
        <w:pStyle w:val="ListBullet"/>
      </w:pPr>
      <w:r>
        <w:rPr>
          <w:rFonts w:ascii="Inter" w:hAnsi="Inter" w:cs="Inter"/>
          <w:b w:val="0"/>
          <w:i w:val="0"/>
          <w:color w:val="2D2D2D"/>
          <w:sz w:val="22"/>
        </w:rPr>
        <w:t xml:space="preserve">The </w:t>
      </w:r>
      <w:r>
        <w:rPr>
          <w:rFonts w:ascii="Inter" w:hAnsi="Inter" w:cs="Inter"/>
          <w:b/>
          <w:i w:val="0"/>
          <w:color w:val="2D2D2D"/>
          <w:sz w:val="22"/>
        </w:rPr>
        <w:t>Bangsamoro Development Plan 2023-2028</w:t>
      </w:r>
      <w:r>
        <w:rPr>
          <w:rFonts w:ascii="Inter" w:hAnsi="Inter" w:cs="Inter"/>
          <w:b w:val="0"/>
          <w:i w:val="0"/>
          <w:color w:val="2D2D2D"/>
          <w:sz w:val="22"/>
        </w:rPr>
        <w:t xml:space="preserve"> is the primary reference document for BDP alignment (Point 2). You will need a copy of the BDP accessible to your team throughout the planning process.</w:t>
      </w:r>
    </w:p>
    <w:p>
      <w:pPr>
        <w:spacing w:after="120" w:line="276" w:lineRule="auto"/>
      </w:pPr>
      <w:r>
        <w:rPr>
          <w:rFonts w:ascii="Inter" w:hAnsi="Inter" w:cs="Inter"/>
          <w:b w:val="0"/>
          <w:i w:val="0"/>
          <w:color w:val="2D2D2D"/>
          <w:sz w:val="22"/>
        </w:rPr>
      </w:r>
      <w:r>
        <w:rPr>
          <w:rFonts w:ascii="Inter" w:hAnsi="Inter" w:cs="Inter"/>
          <w:b/>
          <w:i w:val="0"/>
          <w:color w:val="2D2D2D"/>
          <w:sz w:val="22"/>
        </w:rPr>
        <w:t>Now turn to Chapter 2 to begin the first point of the framework: establishing your MOA's legal alignment.</w:t>
      </w:r>
      <w:r>
        <w:rPr>
          <w:rFonts w:ascii="Inter" w:hAnsi="Inter" w:cs="Inter"/>
          <w:b w:val="0"/>
          <w:i w:val="0"/>
          <w:color w:val="2D2D2D"/>
          <w:sz w:val="22"/>
        </w:rPr>
      </w:r>
    </w:p>
    <w:p>
      <w:pPr>
        <w:pageBreakBefore/>
      </w:pPr>
    </w:p>
    <w:p>
      <w:pPr>
        <w:pStyle w:val="Heading1"/>
      </w:pPr>
      <w:r>
        <w:rPr>
          <w:rFonts w:ascii="Inter" w:hAnsi="Inter" w:cs="Inter"/>
          <w:b/>
          <w:i w:val="0"/>
          <w:color w:val="1B365D"/>
          <w:sz w:val="44"/>
        </w:rPr>
        <w:t>Chapter 2: Establishing Your Legal Mandate</w:t>
      </w:r>
    </w:p>
    <w:p>
      <w:pPr>
        <w:spacing w:after="120" w:line="276" w:lineRule="auto"/>
      </w:pPr>
      <w:r>
        <w:rPr>
          <w:rFonts w:ascii="Inter" w:hAnsi="Inter" w:cs="Inter"/>
          <w:b w:val="0"/>
          <w:i w:val="0"/>
          <w:color w:val="2D2D2D"/>
          <w:sz w:val="22"/>
        </w:rPr>
        <w:t>Every plan your MOA produces rests on a single question: *Does the law authorize you to do this?*</w:t>
      </w:r>
    </w:p>
    <w:p>
      <w:pPr>
        <w:spacing w:after="120" w:line="276" w:lineRule="auto"/>
      </w:pPr>
      <w:r>
        <w:rPr>
          <w:rFonts w:ascii="Inter" w:hAnsi="Inter" w:cs="Inter"/>
          <w:b w:val="0"/>
          <w:i w:val="0"/>
          <w:color w:val="2D2D2D"/>
          <w:sz w:val="22"/>
        </w:rPr>
        <w:t>This is not a formality. A strategic plan without legal basis is a wish list. It cannot survive parliamentary scrutiny, will not pass BPDA review, and gives the Commission on Audit grounds to disallow expenditures. Legal alignment is Point 1 of the 10-Point Framework because it determines the boundaries of everything that follows. Your vision, your programs, your budget proposals, your performance targets --- all of them must trace back to a specific legal provision that grants your MOA the authority to act.</w:t>
      </w:r>
    </w:p>
    <w:p>
      <w:pPr>
        <w:spacing w:after="120" w:line="276" w:lineRule="auto"/>
      </w:pPr>
      <w:r>
        <w:rPr>
          <w:rFonts w:ascii="Inter" w:hAnsi="Inter" w:cs="Inter"/>
          <w:b w:val="0"/>
          <w:i w:val="0"/>
          <w:color w:val="2D2D2D"/>
          <w:sz w:val="22"/>
        </w:rPr>
        <w:t>This chapter gives you a systematic process for identifying, documenting, and validating your MOA's legal mandate across the full hierarchy of Philippine and Bangsamoro law. By the end, you will have completed a Legal Mandate Matrix that maps every planning domain in your MOA to its legal basis.</w:t>
      </w:r>
    </w:p>
    <w:p>
      <w:pPr>
        <w:pStyle w:val="Heading2"/>
      </w:pPr>
      <w:r>
        <w:rPr>
          <w:rFonts w:ascii="Inter" w:hAnsi="Inter" w:cs="Inter"/>
          <w:b/>
          <w:i w:val="0"/>
          <w:color w:val="1B365D"/>
          <w:sz w:val="32"/>
        </w:rPr>
        <w:t>2.1 Purpose</w:t>
      </w:r>
    </w:p>
    <w:p>
      <w:pPr>
        <w:spacing w:after="120" w:line="276" w:lineRule="auto"/>
      </w:pPr>
      <w:r>
        <w:rPr>
          <w:rFonts w:ascii="Inter" w:hAnsi="Inter" w:cs="Inter"/>
          <w:b w:val="0"/>
          <w:i w:val="0"/>
          <w:color w:val="2D2D2D"/>
          <w:sz w:val="22"/>
        </w:rPr>
        <w:t>Legal alignment comes first because authority comes first.</w:t>
      </w:r>
    </w:p>
    <w:p>
      <w:pPr>
        <w:spacing w:after="120" w:line="276" w:lineRule="auto"/>
      </w:pPr>
      <w:r>
        <w:rPr>
          <w:rFonts w:ascii="Inter" w:hAnsi="Inter" w:cs="Inter"/>
          <w:b w:val="0"/>
          <w:i w:val="0"/>
          <w:color w:val="2D2D2D"/>
          <w:sz w:val="22"/>
        </w:rPr>
        <w:t>The Bangsamoro Government operates under a layered legal architecture. The 1987 Philippine Constitution establishes the framework for autonomous regions. Republic Act No. 11054 --- the Bangsamoro Organic Law --- creates the Bangsamoro Autonomous Region and defines its powers. The Bangsamoro Administrative Code (BAA No. 13) prescribes the structural and functional principles of governance. Below these foundational laws sit the Bangsamoro Autonomy Acts passed by Parliament, applicable national laws, executive issuances, and jurisprudence.</w:t>
      </w:r>
    </w:p>
    <w:p>
      <w:pPr>
        <w:spacing w:after="120" w:line="276" w:lineRule="auto"/>
      </w:pPr>
      <w:r>
        <w:rPr>
          <w:rFonts w:ascii="Inter" w:hAnsi="Inter" w:cs="Inter"/>
          <w:b w:val="0"/>
          <w:i w:val="0"/>
          <w:color w:val="2D2D2D"/>
          <w:sz w:val="22"/>
        </w:rPr>
        <w:t>Your MOA exists because a specific law created it. Your MOA's functions exist because specific provisions authorize them. When you plan a program, you must be able to point to the provision that gives you the mandate to implement it. When you request a budget, you must demonstrate that the proposed expenditure falls within your legal authority. When Parliament asks why your MOA is spending public funds on a particular activity, your answer must begin with a legal citation.</w:t>
      </w:r>
    </w:p>
    <w:p>
      <w:pPr>
        <w:spacing w:after="120" w:line="276" w:lineRule="auto"/>
      </w:pPr>
      <w:r>
        <w:rPr>
          <w:rFonts w:ascii="Inter" w:hAnsi="Inter" w:cs="Inter"/>
          <w:b w:val="0"/>
          <w:i w:val="0"/>
          <w:color w:val="2D2D2D"/>
          <w:sz w:val="22"/>
        </w:rPr>
        <w:t>This is also a protection mechanism. If your MOA is performing functions without clear legal basis, those functions are vulnerable. A change in leadership, a budget challenge, or an audit finding can eliminate programs that lack legal grounding. Conversely, if your creating law mandates a function that your MOA is not performing, you have a compliance gap that must be addressed.</w:t>
      </w:r>
    </w:p>
    <w:p>
      <w:pPr>
        <w:spacing w:after="120" w:line="276" w:lineRule="auto"/>
      </w:pPr>
      <w:r>
        <w:rPr>
          <w:rFonts w:ascii="Inter" w:hAnsi="Inter" w:cs="Inter"/>
          <w:b w:val="0"/>
          <w:i w:val="0"/>
          <w:color w:val="2D2D2D"/>
          <w:sz w:val="22"/>
        </w:rPr>
        <w:t>Legal alignment is not a one-time exercise. The Bangsamoro Parliament passes new BAAs regularly. National laws change. Executive issuances are issued and superseded. Your Legal Mandate Matrix must be reviewed and updated at the start of every planning cycle.</w:t>
      </w:r>
    </w:p>
    <w:p>
      <w:pPr>
        <w:pStyle w:val="Heading2"/>
      </w:pPr>
      <w:r>
        <w:rPr>
          <w:rFonts w:ascii="Inter" w:hAnsi="Inter" w:cs="Inter"/>
          <w:b/>
          <w:i w:val="0"/>
          <w:color w:val="1B365D"/>
          <w:sz w:val="32"/>
        </w:rPr>
        <w:t>2.2 Key Concepts</w:t>
      </w:r>
    </w:p>
    <w:p>
      <w:pPr>
        <w:pStyle w:val="Heading3"/>
      </w:pPr>
      <w:r>
        <w:rPr>
          <w:rFonts w:ascii="Inter" w:hAnsi="Inter" w:cs="Inter"/>
          <w:b/>
          <w:i w:val="0"/>
          <w:color w:val="2C5F7C"/>
          <w:sz w:val="26"/>
        </w:rPr>
        <w:t>The 7-Tier BARMM Legal Hierarchy</w:t>
      </w:r>
    </w:p>
    <w:p>
      <w:pPr>
        <w:spacing w:after="120" w:line="276" w:lineRule="auto"/>
      </w:pPr>
      <w:r>
        <w:rPr>
          <w:rFonts w:ascii="Inter" w:hAnsi="Inter" w:cs="Inter"/>
          <w:b w:val="0"/>
          <w:i w:val="0"/>
          <w:color w:val="2D2D2D"/>
          <w:sz w:val="22"/>
        </w:rPr>
        <w:t>Every MOA's authority derives from a hierarchy of legal sources. Understanding this hierarchy is essential because when provisions conflict, the higher-tier source prevails. When your MOA cites legal authority, you must know where that authority sits in the hierarchy and whether a higher-tier provision limits or expands it.</w:t>
      </w:r>
    </w:p>
    <w:p>
      <w:pPr>
        <w:spacing w:after="120" w:line="276" w:lineRule="auto"/>
      </w:pPr>
      <w:r>
        <w:rPr>
          <w:rFonts w:ascii="Inter" w:hAnsi="Inter" w:cs="Inter"/>
          <w:b w:val="0"/>
          <w:i w:val="0"/>
          <w:color w:val="2D2D2D"/>
          <w:sz w:val="22"/>
        </w:rPr>
      </w:r>
      <w:r>
        <w:rPr>
          <w:rFonts w:ascii="Inter" w:hAnsi="Inter" w:cs="Inter"/>
          <w:b/>
          <w:i w:val="0"/>
          <w:color w:val="2D2D2D"/>
          <w:sz w:val="22"/>
        </w:rPr>
        <w:t>Tier 1: The 1987 Philippine Constitution</w:t>
      </w:r>
      <w:r>
        <w:rPr>
          <w:rFonts w:ascii="Inter" w:hAnsi="Inter" w:cs="Inter"/>
          <w:b w:val="0"/>
          <w:i w:val="0"/>
          <w:color w:val="2D2D2D"/>
          <w:sz w:val="22"/>
        </w:rPr>
      </w:r>
    </w:p>
    <w:p>
      <w:pPr>
        <w:spacing w:after="120" w:line="276" w:lineRule="auto"/>
      </w:pPr>
      <w:r>
        <w:rPr>
          <w:rFonts w:ascii="Inter" w:hAnsi="Inter" w:cs="Inter"/>
          <w:b w:val="0"/>
          <w:i w:val="0"/>
          <w:color w:val="2D2D2D"/>
          <w:sz w:val="22"/>
        </w:rPr>
        <w:t>The Constitution is the supreme law. No provision of the BOL, no BAA, and no executive order can contradict it. For BARMM planning, the most relevant constitutional provisions are:</w:t>
      </w:r>
    </w:p>
    <w:p>
      <w:pPr>
        <w:pStyle w:val="ListBullet"/>
      </w:pPr>
      <w:r>
        <w:rPr>
          <w:rFonts w:ascii="Inter" w:hAnsi="Inter" w:cs="Inter"/>
          <w:b w:val="0"/>
          <w:i w:val="0"/>
          <w:color w:val="2D2D2D"/>
          <w:sz w:val="22"/>
        </w:rPr>
        <w:t>Article X, Sections 15-21 --- the constitutional basis for autonomous regions, including the requirement for an organic act and the scope of regional legislative authority.[^1]</w:t>
      </w:r>
    </w:p>
    <w:p>
      <w:pPr>
        <w:pStyle w:val="ListBullet"/>
      </w:pPr>
      <w:r>
        <w:rPr>
          <w:rFonts w:ascii="Inter" w:hAnsi="Inter" w:cs="Inter"/>
          <w:b w:val="0"/>
          <w:i w:val="0"/>
          <w:color w:val="2D2D2D"/>
          <w:sz w:val="22"/>
        </w:rPr>
        <w:t>Article VI, Section 29 --- the requirement that no money shall be paid out of the treasury except in pursuance of an appropriation made by law.[^2]</w:t>
      </w:r>
    </w:p>
    <w:p>
      <w:pPr>
        <w:pStyle w:val="ListBullet"/>
      </w:pPr>
      <w:r>
        <w:rPr>
          <w:rFonts w:ascii="Inter" w:hAnsi="Inter" w:cs="Inter"/>
          <w:b w:val="0"/>
          <w:i w:val="0"/>
          <w:color w:val="2D2D2D"/>
          <w:sz w:val="22"/>
        </w:rPr>
        <w:t>Article XI --- the public trust doctrine, which holds that public office is a public trust and that public officers are accountable to the people at all times.[^3]</w:t>
      </w:r>
    </w:p>
    <w:p>
      <w:pPr>
        <w:spacing w:after="120" w:line="276" w:lineRule="auto"/>
      </w:pPr>
      <w:r>
        <w:rPr>
          <w:rFonts w:ascii="Inter" w:hAnsi="Inter" w:cs="Inter"/>
          <w:b w:val="0"/>
          <w:i w:val="0"/>
          <w:color w:val="2D2D2D"/>
          <w:sz w:val="22"/>
        </w:rPr>
      </w:r>
      <w:r>
        <w:rPr>
          <w:rFonts w:ascii="Inter" w:hAnsi="Inter" w:cs="Inter"/>
          <w:b/>
          <w:i w:val="0"/>
          <w:color w:val="2D2D2D"/>
          <w:sz w:val="22"/>
        </w:rPr>
        <w:t>Tier 2: The Bangsamoro Organic Law (Republic Act No. 11054)</w:t>
      </w:r>
      <w:r>
        <w:rPr>
          <w:rFonts w:ascii="Inter" w:hAnsi="Inter" w:cs="Inter"/>
          <w:b w:val="0"/>
          <w:i w:val="0"/>
          <w:color w:val="2D2D2D"/>
          <w:sz w:val="22"/>
        </w:rPr>
      </w:r>
    </w:p>
    <w:p>
      <w:pPr>
        <w:spacing w:after="120" w:line="276" w:lineRule="auto"/>
      </w:pPr>
      <w:r>
        <w:rPr>
          <w:rFonts w:ascii="Inter" w:hAnsi="Inter" w:cs="Inter"/>
          <w:b w:val="0"/>
          <w:i w:val="0"/>
          <w:color w:val="2D2D2D"/>
          <w:sz w:val="22"/>
        </w:rPr>
        <w:t>The BOL is the organic act that created the Bangsamoro Autonomous Region. It defines the powers of the Bangsamoro Government, establishes the parliamentary form of government, and sets the framework for fiscal autonomy. For your MOA, the BOL is the primary source of authority because Article V, Section 2 enumerates the 55 areas over which the Bangsamoro Government exercises power --- from administration of justice to water supply and services.[^4]</w:t>
      </w:r>
    </w:p>
    <w:p>
      <w:pPr>
        <w:spacing w:after="120" w:line="276" w:lineRule="auto"/>
      </w:pPr>
      <w:r>
        <w:rPr>
          <w:rFonts w:ascii="Inter" w:hAnsi="Inter" w:cs="Inter"/>
          <w:b w:val="0"/>
          <w:i w:val="0"/>
          <w:color w:val="2D2D2D"/>
          <w:sz w:val="22"/>
        </w:rPr>
        <w:t>Two critical provisions in Article V shape every MOA's mandate:</w:t>
      </w:r>
    </w:p>
    <w:p>
      <w:pPr>
        <w:pStyle w:val="ListBullet"/>
      </w:pPr>
      <w:r>
        <w:rPr>
          <w:rFonts w:ascii="Inter" w:hAnsi="Inter" w:cs="Inter"/>
          <w:b w:val="0"/>
          <w:i w:val="0"/>
          <w:color w:val="2D2D2D"/>
          <w:sz w:val="22"/>
        </w:rPr>
      </w:r>
      <w:r>
        <w:rPr>
          <w:rFonts w:ascii="Inter" w:hAnsi="Inter" w:cs="Inter"/>
          <w:b/>
          <w:i w:val="0"/>
          <w:color w:val="2D2D2D"/>
          <w:sz w:val="22"/>
        </w:rPr>
        <w:t>Section 2</w:t>
      </w:r>
      <w:r>
        <w:rPr>
          <w:rFonts w:ascii="Inter" w:hAnsi="Inter" w:cs="Inter"/>
          <w:b w:val="0"/>
          <w:i w:val="0"/>
          <w:color w:val="2D2D2D"/>
          <w:sz w:val="22"/>
        </w:rPr>
        <w:t xml:space="preserve"> lists the exclusive powers of the Bangsamoro Government, including administrative organization, budgeting, agriculture, health, education, environment, public works, trade and industry, and dozens more.[^5]</w:t>
      </w:r>
    </w:p>
    <w:p>
      <w:pPr>
        <w:pStyle w:val="ListBullet"/>
      </w:pPr>
      <w:r>
        <w:rPr>
          <w:rFonts w:ascii="Inter" w:hAnsi="Inter" w:cs="Inter"/>
          <w:b w:val="0"/>
          <w:i w:val="0"/>
          <w:color w:val="2D2D2D"/>
          <w:sz w:val="22"/>
        </w:rPr>
      </w:r>
      <w:r>
        <w:rPr>
          <w:rFonts w:ascii="Inter" w:hAnsi="Inter" w:cs="Inter"/>
          <w:b/>
          <w:i w:val="0"/>
          <w:color w:val="2D2D2D"/>
          <w:sz w:val="22"/>
        </w:rPr>
        <w:t>Section 3</w:t>
      </w:r>
      <w:r>
        <w:rPr>
          <w:rFonts w:ascii="Inter" w:hAnsi="Inter" w:cs="Inter"/>
          <w:b w:val="0"/>
          <w:i w:val="0"/>
          <w:color w:val="2D2D2D"/>
          <w:sz w:val="22"/>
        </w:rPr>
        <w:t xml:space="preserve"> establishes the general welfare clause: the Bangsamoro Government may exercise "the powers expressly granted, those necessarily implied therefrom, as well as powers necessary, appropriate, or incidental for its efficient and effective governance."[^6]</w:t>
      </w:r>
    </w:p>
    <w:p>
      <w:pPr>
        <w:spacing w:after="120" w:line="276" w:lineRule="auto"/>
      </w:pPr>
      <w:r>
        <w:rPr>
          <w:rFonts w:ascii="Inter" w:hAnsi="Inter" w:cs="Inter"/>
          <w:b w:val="0"/>
          <w:i w:val="0"/>
          <w:color w:val="2D2D2D"/>
          <w:sz w:val="22"/>
        </w:rPr>
        <w:t>Section 3 is significant because it means your MOA is not limited to the literal text of its creating law. If a function is necessarily implied by your mandate, or if it is incidental to the efficient performance of your core functions, you have authority to include it in your strategic plan. However, implied powers must still be traceable to an express grant. You cannot use the general welfare clause to claim authority that no provision supports.</w:t>
      </w:r>
    </w:p>
    <w:p>
      <w:pPr>
        <w:spacing w:after="120" w:line="276" w:lineRule="auto"/>
      </w:pPr>
      <w:r>
        <w:rPr>
          <w:rFonts w:ascii="Inter" w:hAnsi="Inter" w:cs="Inter"/>
          <w:b w:val="0"/>
          <w:i w:val="0"/>
          <w:color w:val="2D2D2D"/>
          <w:sz w:val="22"/>
        </w:rPr>
      </w:r>
      <w:r>
        <w:rPr>
          <w:rFonts w:ascii="Inter" w:hAnsi="Inter" w:cs="Inter"/>
          <w:b/>
          <w:i w:val="0"/>
          <w:color w:val="2D2D2D"/>
          <w:sz w:val="22"/>
        </w:rPr>
        <w:t>Tier 3: The Bangsamoro Administrative Code (BAA No. 13)</w:t>
      </w:r>
      <w:r>
        <w:rPr>
          <w:rFonts w:ascii="Inter" w:hAnsi="Inter" w:cs="Inter"/>
          <w:b w:val="0"/>
          <w:i w:val="0"/>
          <w:color w:val="2D2D2D"/>
          <w:sz w:val="22"/>
        </w:rPr>
      </w:r>
    </w:p>
    <w:p>
      <w:pPr>
        <w:spacing w:after="120" w:line="276" w:lineRule="auto"/>
      </w:pPr>
      <w:r>
        <w:rPr>
          <w:rFonts w:ascii="Inter" w:hAnsi="Inter" w:cs="Inter"/>
          <w:b w:val="0"/>
          <w:i w:val="0"/>
          <w:color w:val="2D2D2D"/>
          <w:sz w:val="22"/>
        </w:rPr>
        <w:t>The Administrative Code prescribes the structural, functional, and procedural principles of the Bangsamoro Government.[^7] It establishes the ministries, defines the powers of the Chief Minister, creates the Bangsamoro Economic and Development Council (BEDC) and the Bangsamoro Planning and Development Authority (BPDA), and provides the governance framework within which all MOAs operate.</w:t>
      </w:r>
    </w:p>
    <w:p>
      <w:pPr>
        <w:spacing w:after="120" w:line="276" w:lineRule="auto"/>
      </w:pPr>
      <w:r>
        <w:rPr>
          <w:rFonts w:ascii="Inter" w:hAnsi="Inter" w:cs="Inter"/>
          <w:b w:val="0"/>
          <w:i w:val="0"/>
          <w:color w:val="2D2D2D"/>
          <w:sz w:val="22"/>
        </w:rPr>
        <w:t>For strategic planning, BAA No. 13 is critical because it defines:</w:t>
      </w:r>
    </w:p>
    <w:p>
      <w:pPr>
        <w:pStyle w:val="ListBullet"/>
      </w:pPr>
      <w:r>
        <w:rPr>
          <w:rFonts w:ascii="Inter" w:hAnsi="Inter" w:cs="Inter"/>
          <w:b w:val="0"/>
          <w:i w:val="0"/>
          <w:color w:val="2D2D2D"/>
          <w:sz w:val="22"/>
        </w:rPr>
        <w:t>The 15 primary ministries and their general mandates (Book II, Title IV).[^8]</w:t>
      </w:r>
    </w:p>
    <w:p>
      <w:pPr>
        <w:pStyle w:val="ListBullet"/>
      </w:pPr>
      <w:r>
        <w:rPr>
          <w:rFonts w:ascii="Inter" w:hAnsi="Inter" w:cs="Inter"/>
          <w:b w:val="0"/>
          <w:i w:val="0"/>
          <w:color w:val="2D2D2D"/>
          <w:sz w:val="22"/>
        </w:rPr>
        <w:t>The BEDC's role in directing plan formulation and recommending the Bangsamoro Development Plan for parliamentary approval (Sections 13-15).[^9]</w:t>
      </w:r>
    </w:p>
    <w:p>
      <w:pPr>
        <w:pStyle w:val="ListBullet"/>
      </w:pPr>
      <w:r>
        <w:rPr>
          <w:rFonts w:ascii="Inter" w:hAnsi="Inter" w:cs="Inter"/>
          <w:b w:val="0"/>
          <w:i w:val="0"/>
          <w:color w:val="2D2D2D"/>
          <w:sz w:val="22"/>
        </w:rPr>
        <w:t>The BPDA's role as the planning, coordinating, and monitoring agency for all development plans (Sections 39-42).[^10]</w:t>
      </w:r>
    </w:p>
    <w:p>
      <w:pPr>
        <w:pStyle w:val="ListBullet"/>
      </w:pPr>
      <w:r>
        <w:rPr>
          <w:rFonts w:ascii="Inter" w:hAnsi="Inter" w:cs="Inter"/>
          <w:b w:val="0"/>
          <w:i w:val="0"/>
          <w:color w:val="2D2D2D"/>
          <w:sz w:val="22"/>
        </w:rPr>
        <w:t>The powers, duties, and functions of the Chief Minister, including the authority to "formulate the platform of government" (Book IV, Title I).[^11]</w:t>
      </w:r>
    </w:p>
    <w:p>
      <w:pPr>
        <w:spacing w:after="120" w:line="276" w:lineRule="auto"/>
      </w:pPr>
      <w:r>
        <w:rPr>
          <w:rFonts w:ascii="Inter" w:hAnsi="Inter" w:cs="Inter"/>
          <w:b w:val="0"/>
          <w:i w:val="0"/>
          <w:color w:val="2D2D2D"/>
          <w:sz w:val="22"/>
        </w:rPr>
      </w:r>
      <w:r>
        <w:rPr>
          <w:rFonts w:ascii="Inter" w:hAnsi="Inter" w:cs="Inter"/>
          <w:b/>
          <w:i w:val="0"/>
          <w:color w:val="2D2D2D"/>
          <w:sz w:val="22"/>
        </w:rPr>
        <w:t>Tier 4: Bangsamoro Autonomy Acts (BAAs)</w:t>
      </w:r>
      <w:r>
        <w:rPr>
          <w:rFonts w:ascii="Inter" w:hAnsi="Inter" w:cs="Inter"/>
          <w:b w:val="0"/>
          <w:i w:val="0"/>
          <w:color w:val="2D2D2D"/>
          <w:sz w:val="22"/>
        </w:rPr>
      </w:r>
    </w:p>
    <w:p>
      <w:pPr>
        <w:spacing w:after="120" w:line="276" w:lineRule="auto"/>
      </w:pPr>
      <w:r>
        <w:rPr>
          <w:rFonts w:ascii="Inter" w:hAnsi="Inter" w:cs="Inter"/>
          <w:b w:val="0"/>
          <w:i w:val="0"/>
          <w:color w:val="2D2D2D"/>
          <w:sz w:val="22"/>
        </w:rPr>
        <w:t>BAAs are laws enacted by the BTA Parliament on matters within the Bangsamoro Government's legislative authority. They include appropriations acts (the annual General Appropriations Act), fiscal legislation (such as the Bangsamoro Budget System Act, BAA No. 84), sector-specific laws (such as the Bangsamoro Education Act, BAA No. 25), and administrative legislation (such as the Bangsamoro Civil Service Act, BAA No. 31).[^12]</w:t>
      </w:r>
    </w:p>
    <w:p>
      <w:pPr>
        <w:spacing w:after="120" w:line="276" w:lineRule="auto"/>
      </w:pPr>
      <w:r>
        <w:rPr>
          <w:rFonts w:ascii="Inter" w:hAnsi="Inter" w:cs="Inter"/>
          <w:b w:val="0"/>
          <w:i w:val="0"/>
          <w:color w:val="2D2D2D"/>
          <w:sz w:val="22"/>
        </w:rPr>
        <w:t>For your MOA, the most important BAAs are:</w:t>
      </w:r>
    </w:p>
    <w:p>
      <w:pPr>
        <w:pStyle w:val="ListBullet"/>
      </w:pPr>
      <w:r>
        <w:rPr>
          <w:rFonts w:ascii="Inter" w:hAnsi="Inter" w:cs="Inter"/>
          <w:b w:val="0"/>
          <w:i w:val="0"/>
          <w:color w:val="2D2D2D"/>
          <w:sz w:val="22"/>
        </w:rPr>
        <w:t>Your MOA's *creating law* --- the specific BAA that established your ministry, office, or agency and defined its mandate, structure, and functions.</w:t>
      </w:r>
    </w:p>
    <w:p>
      <w:pPr>
        <w:pStyle w:val="ListBullet"/>
      </w:pPr>
      <w:r>
        <w:rPr>
          <w:rFonts w:ascii="Inter" w:hAnsi="Inter" w:cs="Inter"/>
          <w:b w:val="0"/>
          <w:i w:val="0"/>
          <w:color w:val="2D2D2D"/>
          <w:sz w:val="22"/>
        </w:rPr>
        <w:t>*Cross-cutting BAAs* that apply to all MOAs --- procurement (BAA No. 38), civil service (BAA No. 31), the budget system (BAA No. 84), and the revenue code (BAA No. 46).</w:t>
      </w:r>
    </w:p>
    <w:p>
      <w:pPr>
        <w:pStyle w:val="ListBullet"/>
      </w:pPr>
      <w:r>
        <w:rPr>
          <w:rFonts w:ascii="Inter" w:hAnsi="Inter" w:cs="Inter"/>
          <w:b w:val="0"/>
          <w:i w:val="0"/>
          <w:color w:val="2D2D2D"/>
          <w:sz w:val="22"/>
        </w:rPr>
        <w:t>*Sector-specific BAAs* that grant your MOA additional mandates or expand your functions.</w:t>
      </w:r>
    </w:p>
    <w:p>
      <w:pPr>
        <w:spacing w:after="120" w:line="276" w:lineRule="auto"/>
      </w:pPr>
      <w:r>
        <w:rPr>
          <w:rFonts w:ascii="Inter" w:hAnsi="Inter" w:cs="Inter"/>
          <w:b w:val="0"/>
          <w:i w:val="0"/>
          <w:color w:val="2D2D2D"/>
          <w:sz w:val="22"/>
        </w:rPr>
      </w:r>
      <w:r>
        <w:rPr>
          <w:rFonts w:ascii="Inter" w:hAnsi="Inter" w:cs="Inter"/>
          <w:b/>
          <w:i w:val="0"/>
          <w:color w:val="2D2D2D"/>
          <w:sz w:val="22"/>
        </w:rPr>
        <w:t>Tier 5: Applicable National Laws</w:t>
      </w:r>
      <w:r>
        <w:rPr>
          <w:rFonts w:ascii="Inter" w:hAnsi="Inter" w:cs="Inter"/>
          <w:b w:val="0"/>
          <w:i w:val="0"/>
          <w:color w:val="2D2D2D"/>
          <w:sz w:val="22"/>
        </w:rPr>
      </w:r>
    </w:p>
    <w:p>
      <w:pPr>
        <w:spacing w:after="120" w:line="276" w:lineRule="auto"/>
      </w:pPr>
      <w:r>
        <w:rPr>
          <w:rFonts w:ascii="Inter" w:hAnsi="Inter" w:cs="Inter"/>
          <w:b w:val="0"/>
          <w:i w:val="0"/>
          <w:color w:val="2D2D2D"/>
          <w:sz w:val="22"/>
        </w:rPr>
        <w:t>National laws apply to BARMM in three ways: (a) directly, when the subject matter falls outside the BOL's exclusive powers; (b) as suppletory law, when a BAA is silent on a matter; or (c) through express adoption by Parliament.[^13]</w:t>
      </w:r>
    </w:p>
    <w:p>
      <w:pPr>
        <w:spacing w:after="120" w:line="276" w:lineRule="auto"/>
      </w:pPr>
      <w:r>
        <w:rPr>
          <w:rFonts w:ascii="Inter" w:hAnsi="Inter" w:cs="Inter"/>
          <w:b w:val="0"/>
          <w:i w:val="0"/>
          <w:color w:val="2D2D2D"/>
          <w:sz w:val="22"/>
        </w:rPr>
        <w:t>Key national laws that affect nearly every MOA's strategic plan include:</w:t>
      </w:r>
    </w:p>
    <w:p>
      <w:pPr>
        <w:pStyle w:val="ListBullet"/>
      </w:pPr>
      <w:r>
        <w:rPr>
          <w:rFonts w:ascii="Inter" w:hAnsi="Inter" w:cs="Inter"/>
          <w:b w:val="0"/>
          <w:i w:val="0"/>
          <w:color w:val="2D2D2D"/>
          <w:sz w:val="22"/>
        </w:rPr>
        <w:t>Republic Act No. 9184 (Government Procurement Reform Act) --- suppletory to BAA No. 38 on procurement.[^14]</w:t>
      </w:r>
    </w:p>
    <w:p>
      <w:pPr>
        <w:pStyle w:val="ListBullet"/>
      </w:pPr>
      <w:r>
        <w:rPr>
          <w:rFonts w:ascii="Inter" w:hAnsi="Inter" w:cs="Inter"/>
          <w:b w:val="0"/>
          <w:i w:val="0"/>
          <w:color w:val="2D2D2D"/>
          <w:sz w:val="22"/>
        </w:rPr>
        <w:t>Republic Act No. 6713 (Code of Conduct and Ethical Standards for Public Officials and Employees).[^15]</w:t>
      </w:r>
    </w:p>
    <w:p>
      <w:pPr>
        <w:pStyle w:val="ListBullet"/>
      </w:pPr>
      <w:r>
        <w:rPr>
          <w:rFonts w:ascii="Inter" w:hAnsi="Inter" w:cs="Inter"/>
          <w:b w:val="0"/>
          <w:i w:val="0"/>
          <w:color w:val="2D2D2D"/>
          <w:sz w:val="22"/>
        </w:rPr>
        <w:t>Republic Act No. 3019 (Anti-Graft and Corrupt Practices Act).[^16]</w:t>
      </w:r>
    </w:p>
    <w:p>
      <w:pPr>
        <w:pStyle w:val="ListBullet"/>
      </w:pPr>
      <w:r>
        <w:rPr>
          <w:rFonts w:ascii="Inter" w:hAnsi="Inter" w:cs="Inter"/>
          <w:b w:val="0"/>
          <w:i w:val="0"/>
          <w:color w:val="2D2D2D"/>
          <w:sz w:val="22"/>
        </w:rPr>
        <w:t>Republic Act No. 9710 (Magna Carta of Women) --- requires at least 5% of total budget appropriation for gender-responsive programs.[^17]</w:t>
      </w:r>
    </w:p>
    <w:p>
      <w:pPr>
        <w:pStyle w:val="ListBullet"/>
      </w:pPr>
      <w:r>
        <w:rPr>
          <w:rFonts w:ascii="Inter" w:hAnsi="Inter" w:cs="Inter"/>
          <w:b w:val="0"/>
          <w:i w:val="0"/>
          <w:color w:val="2D2D2D"/>
          <w:sz w:val="22"/>
        </w:rPr>
        <w:t>Republic Act No. 10173 (Data Privacy Act of 2012).[^18]</w:t>
      </w:r>
    </w:p>
    <w:p>
      <w:pPr>
        <w:pStyle w:val="ListBullet"/>
      </w:pPr>
      <w:r>
        <w:rPr>
          <w:rFonts w:ascii="Inter" w:hAnsi="Inter" w:cs="Inter"/>
          <w:b w:val="0"/>
          <w:i w:val="0"/>
          <w:color w:val="2D2D2D"/>
          <w:sz w:val="22"/>
        </w:rPr>
        <w:t>Republic Act No. 11032 (Ease of Doing Business and Efficient Government Service Delivery Act).[^19]</w:t>
      </w:r>
    </w:p>
    <w:p>
      <w:pPr>
        <w:spacing w:after="120" w:line="276" w:lineRule="auto"/>
      </w:pPr>
      <w:r>
        <w:rPr>
          <w:rFonts w:ascii="Inter" w:hAnsi="Inter" w:cs="Inter"/>
          <w:b w:val="0"/>
          <w:i w:val="0"/>
          <w:color w:val="2D2D2D"/>
          <w:sz w:val="22"/>
        </w:rPr>
      </w:r>
      <w:r>
        <w:rPr>
          <w:rFonts w:ascii="Inter" w:hAnsi="Inter" w:cs="Inter"/>
          <w:b/>
          <w:i w:val="0"/>
          <w:color w:val="2D2D2D"/>
          <w:sz w:val="22"/>
        </w:rPr>
        <w:t>Tier 6: Executive Issuances</w:t>
      </w:r>
      <w:r>
        <w:rPr>
          <w:rFonts w:ascii="Inter" w:hAnsi="Inter" w:cs="Inter"/>
          <w:b w:val="0"/>
          <w:i w:val="0"/>
          <w:color w:val="2D2D2D"/>
          <w:sz w:val="22"/>
        </w:rPr>
      </w:r>
    </w:p>
    <w:p>
      <w:pPr>
        <w:spacing w:after="120" w:line="276" w:lineRule="auto"/>
      </w:pPr>
      <w:r>
        <w:rPr>
          <w:rFonts w:ascii="Inter" w:hAnsi="Inter" w:cs="Inter"/>
          <w:b w:val="0"/>
          <w:i w:val="0"/>
          <w:color w:val="2D2D2D"/>
          <w:sz w:val="22"/>
        </w:rPr>
        <w:t>Executive issuances implement, interpret, or operationalize laws. They come in several forms:</w:t>
      </w:r>
    </w:p>
    <w:p>
      <w:pPr>
        <w:pStyle w:val="ListBullet"/>
      </w:pPr>
      <w:r>
        <w:rPr>
          <w:rFonts w:ascii="Inter" w:hAnsi="Inter" w:cs="Inter"/>
          <w:b w:val="0"/>
          <w:i w:val="0"/>
          <w:color w:val="2D2D2D"/>
          <w:sz w:val="22"/>
        </w:rPr>
        <w:t>*Executive Orders (EOs)* --- directives from the Chief Minister on regional matters, or from the President on national matters affecting BARMM.</w:t>
      </w:r>
    </w:p>
    <w:p>
      <w:pPr>
        <w:pStyle w:val="ListBullet"/>
      </w:pPr>
      <w:r>
        <w:rPr>
          <w:rFonts w:ascii="Inter" w:hAnsi="Inter" w:cs="Inter"/>
          <w:b w:val="0"/>
          <w:i w:val="0"/>
          <w:color w:val="2D2D2D"/>
          <w:sz w:val="22"/>
        </w:rPr>
        <w:t>*Implementing Rules and Regulations (IRRs)* --- detailed implementation guidelines for specific laws.</w:t>
      </w:r>
    </w:p>
    <w:p>
      <w:pPr>
        <w:pStyle w:val="ListBullet"/>
      </w:pPr>
      <w:r>
        <w:rPr>
          <w:rFonts w:ascii="Inter" w:hAnsi="Inter" w:cs="Inter"/>
          <w:b w:val="0"/>
          <w:i w:val="0"/>
          <w:color w:val="2D2D2D"/>
          <w:sz w:val="22"/>
        </w:rPr>
        <w:t>*Memorandum Circulars (MCs)* --- policy directives from the Office of the Chief Minister, ministries, or agencies.</w:t>
      </w:r>
    </w:p>
    <w:p>
      <w:pPr>
        <w:pStyle w:val="ListBullet"/>
      </w:pPr>
      <w:r>
        <w:rPr>
          <w:rFonts w:ascii="Inter" w:hAnsi="Inter" w:cs="Inter"/>
          <w:b w:val="0"/>
          <w:i w:val="0"/>
          <w:color w:val="2D2D2D"/>
          <w:sz w:val="22"/>
        </w:rPr>
        <w:t>*Administrative Orders (AOs)* --- internal directives within specific ministries or agencies.</w:t>
      </w:r>
    </w:p>
    <w:p>
      <w:pPr>
        <w:spacing w:after="120" w:line="276" w:lineRule="auto"/>
      </w:pPr>
      <w:r>
        <w:rPr>
          <w:rFonts w:ascii="Inter" w:hAnsi="Inter" w:cs="Inter"/>
          <w:b w:val="0"/>
          <w:i w:val="0"/>
          <w:color w:val="2D2D2D"/>
          <w:sz w:val="22"/>
        </w:rPr>
        <w:t>Executive issuances take effect after fifteen days following publication in the Bangsamoro Gazette or in a newspaper of regional circulation, unless otherwise provided.[^20]</w:t>
      </w:r>
    </w:p>
    <w:p>
      <w:pPr>
        <w:spacing w:after="120" w:line="276" w:lineRule="auto"/>
      </w:pPr>
      <w:r>
        <w:rPr>
          <w:rFonts w:ascii="Inter" w:hAnsi="Inter" w:cs="Inter"/>
          <w:b w:val="0"/>
          <w:i w:val="0"/>
          <w:color w:val="2D2D2D"/>
          <w:sz w:val="22"/>
        </w:rPr>
      </w:r>
      <w:r>
        <w:rPr>
          <w:rFonts w:ascii="Inter" w:hAnsi="Inter" w:cs="Inter"/>
          <w:b/>
          <w:i w:val="0"/>
          <w:color w:val="2D2D2D"/>
          <w:sz w:val="22"/>
        </w:rPr>
        <w:t>Tier 7: Jurisprudence</w:t>
      </w:r>
      <w:r>
        <w:rPr>
          <w:rFonts w:ascii="Inter" w:hAnsi="Inter" w:cs="Inter"/>
          <w:b w:val="0"/>
          <w:i w:val="0"/>
          <w:color w:val="2D2D2D"/>
          <w:sz w:val="22"/>
        </w:rPr>
      </w:r>
    </w:p>
    <w:p>
      <w:pPr>
        <w:spacing w:after="120" w:line="276" w:lineRule="auto"/>
      </w:pPr>
      <w:r>
        <w:rPr>
          <w:rFonts w:ascii="Inter" w:hAnsi="Inter" w:cs="Inter"/>
          <w:b w:val="0"/>
          <w:i w:val="0"/>
          <w:color w:val="2D2D2D"/>
          <w:sz w:val="22"/>
        </w:rPr>
        <w:t>Supreme Court decisions interpreting autonomy provisions and resolving conflicts between national and regional authority constitute the final tier. While jurisprudence does not create new authority, it defines the boundaries of existing authority. Key areas include:</w:t>
      </w:r>
    </w:p>
    <w:p>
      <w:pPr>
        <w:pStyle w:val="ListBullet"/>
      </w:pPr>
      <w:r>
        <w:rPr>
          <w:rFonts w:ascii="Inter" w:hAnsi="Inter" w:cs="Inter"/>
          <w:b w:val="0"/>
          <w:i w:val="0"/>
          <w:color w:val="2D2D2D"/>
          <w:sz w:val="22"/>
        </w:rPr>
        <w:t>Decisions on the scope of regional autonomy versus national authority.</w:t>
      </w:r>
    </w:p>
    <w:p>
      <w:pPr>
        <w:pStyle w:val="ListBullet"/>
      </w:pPr>
      <w:r>
        <w:rPr>
          <w:rFonts w:ascii="Inter" w:hAnsi="Inter" w:cs="Inter"/>
          <w:b w:val="0"/>
          <w:i w:val="0"/>
          <w:color w:val="2D2D2D"/>
          <w:sz w:val="22"/>
        </w:rPr>
        <w:t>Rulings on fiscal matters, including revenue sharing and taxation.</w:t>
      </w:r>
    </w:p>
    <w:p>
      <w:pPr>
        <w:pStyle w:val="ListBullet"/>
      </w:pPr>
      <w:r>
        <w:rPr>
          <w:rFonts w:ascii="Inter" w:hAnsi="Inter" w:cs="Inter"/>
          <w:b w:val="0"/>
          <w:i w:val="0"/>
          <w:color w:val="2D2D2D"/>
          <w:sz w:val="22"/>
        </w:rPr>
        <w:t>Cases on the validity of regional legislation.</w:t>
      </w:r>
    </w:p>
    <w:p>
      <w:pPr>
        <w:pStyle w:val="ListBullet"/>
      </w:pPr>
      <w:r>
        <w:rPr>
          <w:rFonts w:ascii="Inter" w:hAnsi="Inter" w:cs="Inter"/>
          <w:b w:val="0"/>
          <w:i w:val="0"/>
          <w:color w:val="2D2D2D"/>
          <w:sz w:val="22"/>
        </w:rPr>
        <w:t>Decisions on indigenous peoples' rights within the autonomous region.</w:t>
      </w:r>
    </w:p>
    <w:p>
      <w:pPr>
        <w:pStyle w:val="Heading3"/>
      </w:pPr>
      <w:r>
        <w:rPr>
          <w:rFonts w:ascii="Inter" w:hAnsi="Inter" w:cs="Inter"/>
          <w:b/>
          <w:i w:val="0"/>
          <w:color w:val="2C5F7C"/>
          <w:sz w:val="26"/>
        </w:rPr>
        <w:t>Hierarchy in Case of Conflict</w:t>
      </w:r>
    </w:p>
    <w:p>
      <w:pPr>
        <w:spacing w:after="120" w:line="276" w:lineRule="auto"/>
      </w:pPr>
      <w:r>
        <w:rPr>
          <w:rFonts w:ascii="Inter" w:hAnsi="Inter" w:cs="Inter"/>
          <w:b w:val="0"/>
          <w:i w:val="0"/>
          <w:color w:val="2D2D2D"/>
          <w:sz w:val="22"/>
        </w:rPr>
        <w:t>When provisions from different tiers conflict, the higher-tier source prevails:</w:t>
      </w:r>
    </w:p>
    <w:p>
      <w:pPr>
        <w:pStyle w:val="ListNumber"/>
      </w:pPr>
      <w:r>
        <w:rPr>
          <w:rFonts w:ascii="Inter" w:hAnsi="Inter" w:cs="Inter"/>
          <w:b w:val="0"/>
          <w:i w:val="0"/>
          <w:color w:val="2D2D2D"/>
          <w:sz w:val="22"/>
        </w:rPr>
        <w:t>If a BAA conflicts with the BOL, the BOL prevails.</w:t>
      </w:r>
    </w:p>
    <w:p>
      <w:pPr>
        <w:pStyle w:val="ListNumber"/>
      </w:pPr>
      <w:r>
        <w:rPr>
          <w:rFonts w:ascii="Inter" w:hAnsi="Inter" w:cs="Inter"/>
          <w:b w:val="0"/>
          <w:i w:val="0"/>
          <w:color w:val="2D2D2D"/>
          <w:sz w:val="22"/>
        </w:rPr>
        <w:t>If a national law conflicts with a BAA on a matter within the BOL's exclusive powers, the BAA prevails.</w:t>
      </w:r>
    </w:p>
    <w:p>
      <w:pPr>
        <w:pStyle w:val="ListNumber"/>
      </w:pPr>
      <w:r>
        <w:rPr>
          <w:rFonts w:ascii="Inter" w:hAnsi="Inter" w:cs="Inter"/>
          <w:b w:val="0"/>
          <w:i w:val="0"/>
          <w:color w:val="2D2D2D"/>
          <w:sz w:val="22"/>
        </w:rPr>
        <w:t>If a national law addresses a matter outside the BOL's exclusive powers, the national law prevails.</w:t>
      </w:r>
    </w:p>
    <w:p>
      <w:pPr>
        <w:pStyle w:val="ListNumber"/>
      </w:pPr>
      <w:r>
        <w:rPr>
          <w:rFonts w:ascii="Inter" w:hAnsi="Inter" w:cs="Inter"/>
          <w:b w:val="0"/>
          <w:i w:val="0"/>
          <w:color w:val="2D2D2D"/>
          <w:sz w:val="22"/>
        </w:rPr>
        <w:t>If an executive issuance contradicts the law it implements, the law prevails.</w:t>
      </w:r>
    </w:p>
    <w:p>
      <w:pPr>
        <w:pStyle w:val="ListNumber"/>
      </w:pPr>
      <w:r>
        <w:rPr>
          <w:rFonts w:ascii="Inter" w:hAnsi="Inter" w:cs="Inter"/>
          <w:b w:val="0"/>
          <w:i w:val="0"/>
          <w:color w:val="2D2D2D"/>
          <w:sz w:val="22"/>
        </w:rPr>
        <w:t>Jurisprudence provides binding interpretation of all the above sources.</w:t>
      </w:r>
    </w:p>
    <w:p>
      <w:pPr>
        <w:spacing w:after="120" w:line="276" w:lineRule="auto"/>
      </w:pPr>
      <w:r>
        <w:rPr>
          <w:rFonts w:ascii="Inter" w:hAnsi="Inter" w:cs="Inter"/>
          <w:b w:val="0"/>
          <w:i w:val="0"/>
          <w:color w:val="2D2D2D"/>
          <w:sz w:val="22"/>
        </w:rPr>
        <w:t>This hierarchy matters for strategic planning because you must verify that the legal basis you cite has not been superseded, modified, or interpreted in a way that changes your MOA's authority.</w:t>
      </w:r>
    </w:p>
    <w:p>
      <w:pPr>
        <w:pStyle w:val="Heading3"/>
      </w:pPr>
      <w:r>
        <w:rPr>
          <w:rFonts w:ascii="Inter" w:hAnsi="Inter" w:cs="Inter"/>
          <w:b/>
          <w:i w:val="0"/>
          <w:color w:val="2C5F7C"/>
          <w:sz w:val="26"/>
        </w:rPr>
        <w:t>Mandate, Function, and Activity</w:t>
      </w:r>
    </w:p>
    <w:p>
      <w:pPr>
        <w:spacing w:after="120" w:line="276" w:lineRule="auto"/>
      </w:pPr>
      <w:r>
        <w:rPr>
          <w:rFonts w:ascii="Inter" w:hAnsi="Inter" w:cs="Inter"/>
          <w:b w:val="0"/>
          <w:i w:val="0"/>
          <w:color w:val="2D2D2D"/>
          <w:sz w:val="22"/>
        </w:rPr>
        <w:t>These three terms form a hierarchy of authority that you must understand before building your Legal Mandate Matrix:</w:t>
      </w:r>
    </w:p>
    <w:p>
      <w:pPr>
        <w:pStyle w:val="ListBullet"/>
      </w:pPr>
      <w:r>
        <w:rPr>
          <w:rFonts w:ascii="Inter" w:hAnsi="Inter" w:cs="Inter"/>
          <w:b w:val="0"/>
          <w:i w:val="0"/>
          <w:color w:val="2D2D2D"/>
          <w:sz w:val="22"/>
        </w:rPr>
      </w:r>
      <w:r>
        <w:rPr>
          <w:rFonts w:ascii="Inter" w:hAnsi="Inter" w:cs="Inter"/>
          <w:b/>
          <w:i w:val="0"/>
          <w:color w:val="2D2D2D"/>
          <w:sz w:val="22"/>
        </w:rPr>
        <w:t>Mandate</w:t>
      </w:r>
      <w:r>
        <w:rPr>
          <w:rFonts w:ascii="Inter" w:hAnsi="Inter" w:cs="Inter"/>
          <w:b w:val="0"/>
          <w:i w:val="0"/>
          <w:color w:val="2D2D2D"/>
          <w:sz w:val="22"/>
        </w:rPr>
        <w:t xml:space="preserve"> is the broad area of responsibility assigned to your MOA by law. It answers the question: *What is your MOA authorized to do?* Example: "The Bangsamoro Government shall take into consideration the rights of other Bangsamoro communities residing outside the Bangsamoro Autonomous Region."</w:t>
      </w:r>
    </w:p>
    <w:p>
      <w:pPr>
        <w:pStyle w:val="ListBullet"/>
      </w:pPr>
      <w:r>
        <w:rPr>
          <w:rFonts w:ascii="Inter" w:hAnsi="Inter" w:cs="Inter"/>
          <w:b w:val="0"/>
          <w:i w:val="0"/>
          <w:color w:val="2D2D2D"/>
          <w:sz w:val="22"/>
        </w:rPr>
      </w:r>
      <w:r>
        <w:rPr>
          <w:rFonts w:ascii="Inter" w:hAnsi="Inter" w:cs="Inter"/>
          <w:b/>
          <w:i w:val="0"/>
          <w:color w:val="2D2D2D"/>
          <w:sz w:val="22"/>
        </w:rPr>
        <w:t>Function</w:t>
      </w:r>
      <w:r>
        <w:rPr>
          <w:rFonts w:ascii="Inter" w:hAnsi="Inter" w:cs="Inter"/>
          <w:b w:val="0"/>
          <w:i w:val="0"/>
          <w:color w:val="2D2D2D"/>
          <w:sz w:val="22"/>
        </w:rPr>
        <w:t xml:space="preserve"> is a specific duty or role that operationalizes the mandate. It answers the question: *What specific responsibilities does your MOA carry out to fulfill that mandate?* Example: "Conduct community profiling and needs assessment for Bangsamoro communities outside the BARMM core territory."</w:t>
      </w:r>
    </w:p>
    <w:p>
      <w:pPr>
        <w:pStyle w:val="ListBullet"/>
      </w:pPr>
      <w:r>
        <w:rPr>
          <w:rFonts w:ascii="Inter" w:hAnsi="Inter" w:cs="Inter"/>
          <w:b w:val="0"/>
          <w:i w:val="0"/>
          <w:color w:val="2D2D2D"/>
          <w:sz w:val="22"/>
        </w:rPr>
      </w:r>
      <w:r>
        <w:rPr>
          <w:rFonts w:ascii="Inter" w:hAnsi="Inter" w:cs="Inter"/>
          <w:b/>
          <w:i w:val="0"/>
          <w:color w:val="2D2D2D"/>
          <w:sz w:val="22"/>
        </w:rPr>
        <w:t>Activity</w:t>
      </w:r>
      <w:r>
        <w:rPr>
          <w:rFonts w:ascii="Inter" w:hAnsi="Inter" w:cs="Inter"/>
          <w:b w:val="0"/>
          <w:i w:val="0"/>
          <w:color w:val="2D2D2D"/>
          <w:sz w:val="22"/>
        </w:rPr>
        <w:t xml:space="preserve"> is a concrete action within a function. It answers the question: *What does your staff actually do on a day-to-day basis?* Example: "Deploy field teams to Bangsamoro communities in Davao, Sultan Kudarat, and Pagadian to document population counts, service gaps, and priority needs."</w:t>
      </w:r>
    </w:p>
    <w:p>
      <w:pPr>
        <w:spacing w:after="120" w:line="276" w:lineRule="auto"/>
      </w:pPr>
      <w:r>
        <w:rPr>
          <w:rFonts w:ascii="Inter" w:hAnsi="Inter" w:cs="Inter"/>
          <w:b w:val="0"/>
          <w:i w:val="0"/>
          <w:color w:val="2D2D2D"/>
          <w:sz w:val="22"/>
        </w:rPr>
        <w:t>In your strategic plan, mandates come from law. Functions are derived from mandates. Activities are designed to fulfill functions. If an activity cannot be traced back through a function to a mandate, it lacks legal grounding.</w:t>
      </w:r>
    </w:p>
    <w:p>
      <w:pPr>
        <w:pStyle w:val="Heading3"/>
      </w:pPr>
      <w:r>
        <w:rPr>
          <w:rFonts w:ascii="Inter" w:hAnsi="Inter" w:cs="Inter"/>
          <w:b/>
          <w:i w:val="0"/>
          <w:color w:val="2C5F7C"/>
          <w:sz w:val="26"/>
        </w:rPr>
        <w:t>Explicit vs. Implied Powers</w:t>
      </w:r>
    </w:p>
    <w:p>
      <w:pPr>
        <w:spacing w:after="120" w:line="276" w:lineRule="auto"/>
      </w:pPr>
      <w:r>
        <w:rPr>
          <w:rFonts w:ascii="Inter" w:hAnsi="Inter" w:cs="Inter"/>
          <w:b w:val="0"/>
          <w:i w:val="0"/>
          <w:color w:val="2D2D2D"/>
          <w:sz w:val="22"/>
        </w:rPr>
        <w:t>Article V, Section 2 of the BOL lists 55 explicit powers of the Bangsamoro Government.[^21] These are the enumerated areas of authority --- from agriculture to water supply --- that your MOA's mandate draws from.</w:t>
      </w:r>
    </w:p>
    <w:p>
      <w:pPr>
        <w:spacing w:after="120" w:line="276" w:lineRule="auto"/>
      </w:pPr>
      <w:r>
        <w:rPr>
          <w:rFonts w:ascii="Inter" w:hAnsi="Inter" w:cs="Inter"/>
          <w:b w:val="0"/>
          <w:i w:val="0"/>
          <w:color w:val="2D2D2D"/>
          <w:sz w:val="22"/>
        </w:rPr>
        <w:t>Article V, Section 3 establishes implied powers: the Bangsamoro Government may exercise "powers necessarily implied" from express grants, as well as "powers necessary, appropriate, or incidental for its efficient and effective governance."[^22]</w:t>
      </w:r>
    </w:p>
    <w:p>
      <w:pPr>
        <w:spacing w:after="120" w:line="276" w:lineRule="auto"/>
      </w:pPr>
      <w:r>
        <w:rPr>
          <w:rFonts w:ascii="Inter" w:hAnsi="Inter" w:cs="Inter"/>
          <w:b w:val="0"/>
          <w:i w:val="0"/>
          <w:color w:val="2D2D2D"/>
          <w:sz w:val="22"/>
        </w:rPr>
        <w:t>The distinction matters for your Legal Mandate Matrix:</w:t>
      </w:r>
    </w:p>
    <w:p>
      <w:pPr>
        <w:pStyle w:val="ListBullet"/>
      </w:pPr>
      <w:r>
        <w:rPr>
          <w:rFonts w:ascii="Inter" w:hAnsi="Inter" w:cs="Inter"/>
          <w:b w:val="0"/>
          <w:i w:val="0"/>
          <w:color w:val="2D2D2D"/>
          <w:sz w:val="22"/>
        </w:rPr>
      </w:r>
      <w:r>
        <w:rPr>
          <w:rFonts w:ascii="Inter" w:hAnsi="Inter" w:cs="Inter"/>
          <w:b/>
          <w:i w:val="0"/>
          <w:color w:val="2D2D2D"/>
          <w:sz w:val="22"/>
        </w:rPr>
        <w:t>Explicit powers</w:t>
      </w:r>
      <w:r>
        <w:rPr>
          <w:rFonts w:ascii="Inter" w:hAnsi="Inter" w:cs="Inter"/>
          <w:b w:val="0"/>
          <w:i w:val="0"/>
          <w:color w:val="2D2D2D"/>
          <w:sz w:val="22"/>
        </w:rPr>
        <w:t xml:space="preserve"> are directly cited. You can point to a specific section and subsection. These are your strongest legal bases.</w:t>
      </w:r>
    </w:p>
    <w:p>
      <w:pPr>
        <w:pStyle w:val="ListBullet"/>
      </w:pPr>
      <w:r>
        <w:rPr>
          <w:rFonts w:ascii="Inter" w:hAnsi="Inter" w:cs="Inter"/>
          <w:b w:val="0"/>
          <w:i w:val="0"/>
          <w:color w:val="2D2D2D"/>
          <w:sz w:val="22"/>
        </w:rPr>
      </w:r>
      <w:r>
        <w:rPr>
          <w:rFonts w:ascii="Inter" w:hAnsi="Inter" w:cs="Inter"/>
          <w:b/>
          <w:i w:val="0"/>
          <w:color w:val="2D2D2D"/>
          <w:sz w:val="22"/>
        </w:rPr>
        <w:t>Implied powers</w:t>
      </w:r>
      <w:r>
        <w:rPr>
          <w:rFonts w:ascii="Inter" w:hAnsi="Inter" w:cs="Inter"/>
          <w:b w:val="0"/>
          <w:i w:val="0"/>
          <w:color w:val="2D2D2D"/>
          <w:sz w:val="22"/>
        </w:rPr>
        <w:t xml:space="preserve"> must be reasoned from an explicit grant. You must be able to explain why the implied function is necessarily connected to the express mandate. Implied powers are legitimate, but they require a chain of reasoning. Document that reasoning in your matrix.</w:t>
      </w:r>
    </w:p>
    <w:p>
      <w:pPr>
        <w:pStyle w:val="Heading3"/>
      </w:pPr>
      <w:r>
        <w:rPr>
          <w:rFonts w:ascii="Inter" w:hAnsi="Inter" w:cs="Inter"/>
          <w:b/>
          <w:i w:val="0"/>
          <w:color w:val="2C5F7C"/>
          <w:sz w:val="26"/>
        </w:rPr>
        <w:t>The Creating Law</w:t>
      </w:r>
    </w:p>
    <w:p>
      <w:pPr>
        <w:spacing w:after="120" w:line="276" w:lineRule="auto"/>
      </w:pPr>
      <w:r>
        <w:rPr>
          <w:rFonts w:ascii="Inter" w:hAnsi="Inter" w:cs="Inter"/>
          <w:b w:val="0"/>
          <w:i w:val="0"/>
          <w:color w:val="2D2D2D"/>
          <w:sz w:val="22"/>
        </w:rPr>
        <w:t>Every MOA has a *creating law* --- the specific legislation that established the office and defined its initial mandate, structure, and functions. This might be:</w:t>
      </w:r>
    </w:p>
    <w:p>
      <w:pPr>
        <w:pStyle w:val="ListBullet"/>
      </w:pPr>
      <w:r>
        <w:rPr>
          <w:rFonts w:ascii="Inter" w:hAnsi="Inter" w:cs="Inter"/>
          <w:b w:val="0"/>
          <w:i w:val="0"/>
          <w:color w:val="2D2D2D"/>
          <w:sz w:val="22"/>
        </w:rPr>
        <w:t>A provision of the BOL itself (e.g., Article VII establishes the Chief Minister and Cabinet; Article XIII, Section 4 creates the BEDC).</w:t>
      </w:r>
    </w:p>
    <w:p>
      <w:pPr>
        <w:pStyle w:val="ListBullet"/>
      </w:pPr>
      <w:r>
        <w:rPr>
          <w:rFonts w:ascii="Inter" w:hAnsi="Inter" w:cs="Inter"/>
          <w:b w:val="0"/>
          <w:i w:val="0"/>
          <w:color w:val="2D2D2D"/>
          <w:sz w:val="22"/>
        </w:rPr>
        <w:t>A provision of BAA No. 13 (e.g., the Administrative Code establishes most ministries and many offices).</w:t>
      </w:r>
    </w:p>
    <w:p>
      <w:pPr>
        <w:pStyle w:val="ListBullet"/>
      </w:pPr>
      <w:r>
        <w:rPr>
          <w:rFonts w:ascii="Inter" w:hAnsi="Inter" w:cs="Inter"/>
          <w:b w:val="0"/>
          <w:i w:val="0"/>
          <w:color w:val="2D2D2D"/>
          <w:sz w:val="22"/>
        </w:rPr>
        <w:t>A standalone BAA (e.g., a sector-specific act that creates a new agency or commission).</w:t>
      </w:r>
    </w:p>
    <w:p>
      <w:pPr>
        <w:pStyle w:val="ListBullet"/>
      </w:pPr>
      <w:r>
        <w:rPr>
          <w:rFonts w:ascii="Inter" w:hAnsi="Inter" w:cs="Inter"/>
          <w:b w:val="0"/>
          <w:i w:val="0"/>
          <w:color w:val="2D2D2D"/>
          <w:sz w:val="22"/>
        </w:rPr>
        <w:t>An Executive Order (e.g., EO No. 001, which organized the initial Bangsamoro Government structure, or EO No. 002, which created the BPDA).</w:t>
      </w:r>
    </w:p>
    <w:p>
      <w:pPr>
        <w:spacing w:after="120" w:line="276" w:lineRule="auto"/>
      </w:pPr>
      <w:r>
        <w:rPr>
          <w:rFonts w:ascii="Inter" w:hAnsi="Inter" w:cs="Inter"/>
          <w:b w:val="0"/>
          <w:i w:val="0"/>
          <w:color w:val="2D2D2D"/>
          <w:sz w:val="22"/>
        </w:rPr>
        <w:t>Identifying your creating law is the first step in the Legal Mandate Matrix. Everything else flows from it.</w:t>
      </w:r>
    </w:p>
    <w:p>
      <w:pPr>
        <w:pStyle w:val="Heading2"/>
      </w:pPr>
      <w:r>
        <w:rPr>
          <w:rFonts w:ascii="Inter" w:hAnsi="Inter" w:cs="Inter"/>
          <w:b/>
          <w:i w:val="0"/>
          <w:color w:val="1B365D"/>
          <w:sz w:val="32"/>
        </w:rPr>
        <w:t>2.3 Step-by-Step Instructions</w:t>
      </w:r>
    </w:p>
    <w:p>
      <w:pPr>
        <w:pStyle w:val="Heading3"/>
      </w:pPr>
      <w:r>
        <w:rPr>
          <w:rFonts w:ascii="Inter" w:hAnsi="Inter" w:cs="Inter"/>
          <w:b/>
          <w:i w:val="0"/>
          <w:color w:val="2C5F7C"/>
          <w:sz w:val="26"/>
        </w:rPr>
        <w:t>Step 1: Identify Your MOA's Creating Law</w:t>
      </w:r>
    </w:p>
    <w:p>
      <w:pPr>
        <w:spacing w:after="120" w:line="276" w:lineRule="auto"/>
      </w:pPr>
      <w:r>
        <w:rPr>
          <w:rFonts w:ascii="Inter" w:hAnsi="Inter" w:cs="Inter"/>
          <w:b w:val="0"/>
          <w:i w:val="0"/>
          <w:color w:val="2D2D2D"/>
          <w:sz w:val="22"/>
        </w:rPr>
        <w:t>Begin by answering one question: *Which specific law, provision, or issuance established your MOA?*</w:t>
      </w:r>
    </w:p>
    <w:p>
      <w:pPr>
        <w:spacing w:after="120" w:line="276" w:lineRule="auto"/>
      </w:pPr>
      <w:r>
        <w:rPr>
          <w:rFonts w:ascii="Inter" w:hAnsi="Inter" w:cs="Inter"/>
          <w:b w:val="0"/>
          <w:i w:val="0"/>
          <w:color w:val="2D2D2D"/>
          <w:sz w:val="22"/>
        </w:rPr>
        <w:t>Gather the following documents:</w:t>
      </w:r>
    </w:p>
    <w:p>
      <w:pPr>
        <w:pStyle w:val="ListBullet"/>
      </w:pPr>
      <w:r>
        <w:rPr>
          <w:rFonts w:ascii="Inter" w:hAnsi="Inter" w:cs="Inter"/>
          <w:b w:val="0"/>
          <w:i w:val="0"/>
          <w:color w:val="2D2D2D"/>
          <w:sz w:val="22"/>
        </w:rPr>
        <w:t>The BOL (RA 11054) --- check Article VII (Bangsamoro Government structure), Article V (powers), and any article that relates to your sector.</w:t>
      </w:r>
    </w:p>
    <w:p>
      <w:pPr>
        <w:pStyle w:val="ListBullet"/>
      </w:pPr>
      <w:r>
        <w:rPr>
          <w:rFonts w:ascii="Inter" w:hAnsi="Inter" w:cs="Inter"/>
          <w:b w:val="0"/>
          <w:i w:val="0"/>
          <w:color w:val="2D2D2D"/>
          <w:sz w:val="22"/>
        </w:rPr>
        <w:t>BAA No. 13 (Bangsamoro Administrative Code) --- check Book II, Title IV (The Bangsamoro Cabinet) and Book IV (The Office of the Chief Minister) for references to your MOA.</w:t>
      </w:r>
    </w:p>
    <w:p>
      <w:pPr>
        <w:pStyle w:val="ListBullet"/>
      </w:pPr>
      <w:r>
        <w:rPr>
          <w:rFonts w:ascii="Inter" w:hAnsi="Inter" w:cs="Inter"/>
          <w:b w:val="0"/>
          <w:i w:val="0"/>
          <w:color w:val="2D2D2D"/>
          <w:sz w:val="22"/>
        </w:rPr>
        <w:t>Any standalone BAA that specifically creates, reorganizes, or expands your MOA.</w:t>
      </w:r>
    </w:p>
    <w:p>
      <w:pPr>
        <w:pStyle w:val="ListBullet"/>
      </w:pPr>
      <w:r>
        <w:rPr>
          <w:rFonts w:ascii="Inter" w:hAnsi="Inter" w:cs="Inter"/>
          <w:b w:val="0"/>
          <w:i w:val="0"/>
          <w:color w:val="2D2D2D"/>
          <w:sz w:val="22"/>
        </w:rPr>
        <w:t>Any Executive Order that established or reorganized your MOA.</w:t>
      </w:r>
    </w:p>
    <w:p>
      <w:pPr>
        <w:spacing w:after="120" w:line="276" w:lineRule="auto"/>
      </w:pPr>
      <w:r>
        <w:rPr>
          <w:rFonts w:ascii="Inter" w:hAnsi="Inter" w:cs="Inter"/>
          <w:b w:val="0"/>
          <w:i w:val="0"/>
          <w:color w:val="2D2D2D"/>
          <w:sz w:val="22"/>
        </w:rPr>
        <w:t>Record the following for your creating law:</w:t>
      </w:r>
    </w:p>
    <w:p>
      <w:pPr>
        <w:pStyle w:val="ListBullet"/>
      </w:pPr>
      <w:r>
        <w:rPr>
          <w:rFonts w:ascii="Inter" w:hAnsi="Inter" w:cs="Inter"/>
          <w:b w:val="0"/>
          <w:i w:val="0"/>
          <w:color w:val="2D2D2D"/>
          <w:sz w:val="22"/>
        </w:rPr>
        <w:t>Full title and number (e.g., "Bangsamoro Autonomy Act No. 13, Book IV, Title III")</w:t>
      </w:r>
    </w:p>
    <w:p>
      <w:pPr>
        <w:pStyle w:val="ListBullet"/>
      </w:pPr>
      <w:r>
        <w:rPr>
          <w:rFonts w:ascii="Inter" w:hAnsi="Inter" w:cs="Inter"/>
          <w:b w:val="0"/>
          <w:i w:val="0"/>
          <w:color w:val="2D2D2D"/>
          <w:sz w:val="22"/>
        </w:rPr>
        <w:t>Date of enactment or issuance</w:t>
      </w:r>
    </w:p>
    <w:p>
      <w:pPr>
        <w:pStyle w:val="ListBullet"/>
      </w:pPr>
      <w:r>
        <w:rPr>
          <w:rFonts w:ascii="Inter" w:hAnsi="Inter" w:cs="Inter"/>
          <w:b w:val="0"/>
          <w:i w:val="0"/>
          <w:color w:val="2D2D2D"/>
          <w:sz w:val="22"/>
        </w:rPr>
        <w:t>Specific sections that define your MOA's mandate, structure, and functions</w:t>
      </w:r>
    </w:p>
    <w:p>
      <w:pPr>
        <w:pStyle w:val="ListBullet"/>
      </w:pPr>
      <w:r>
        <w:rPr>
          <w:rFonts w:ascii="Inter" w:hAnsi="Inter" w:cs="Inter"/>
          <w:b w:val="0"/>
          <w:i w:val="0"/>
          <w:color w:val="2D2D2D"/>
          <w:sz w:val="22"/>
        </w:rPr>
        <w:t>Any amendments or subsequent legislation that modified the original creating law</w:t>
      </w:r>
    </w:p>
    <w:p>
      <w:pPr>
        <w:spacing w:after="120" w:line="276" w:lineRule="auto"/>
      </w:pPr>
      <w:r>
        <w:rPr>
          <w:rFonts w:ascii="Inter" w:hAnsi="Inter" w:cs="Inter"/>
          <w:b w:val="0"/>
          <w:i w:val="0"/>
          <w:color w:val="2D2D2D"/>
          <w:sz w:val="22"/>
        </w:rPr>
        <w:t>If your MOA was created by an Executive Order during the transition period and has since been codified in a BAA, cite both. The BAA is now your primary creating law, but the EO provides historical context.</w:t>
      </w:r>
    </w:p>
    <w:p>
      <w:pPr>
        <w:pStyle w:val="Heading3"/>
      </w:pPr>
      <w:r>
        <w:rPr>
          <w:rFonts w:ascii="Inter" w:hAnsi="Inter" w:cs="Inter"/>
          <w:b/>
          <w:i w:val="0"/>
          <w:color w:val="2C5F7C"/>
          <w:sz w:val="26"/>
        </w:rPr>
        <w:t>Step 2: List All Legal Provisions That Grant Your MOA Authority</w:t>
      </w:r>
    </w:p>
    <w:p>
      <w:pPr>
        <w:spacing w:after="120" w:line="276" w:lineRule="auto"/>
      </w:pPr>
      <w:r>
        <w:rPr>
          <w:rFonts w:ascii="Inter" w:hAnsi="Inter" w:cs="Inter"/>
          <w:b w:val="0"/>
          <w:i w:val="0"/>
          <w:color w:val="2D2D2D"/>
          <w:sz w:val="22"/>
        </w:rPr>
        <w:t>Working through each tier of the legal hierarchy, identify every provision that grants your MOA authority or imposes obligations on it.</w:t>
      </w:r>
    </w:p>
    <w:p>
      <w:pPr>
        <w:spacing w:after="120" w:line="276" w:lineRule="auto"/>
      </w:pPr>
      <w:r>
        <w:rPr>
          <w:rFonts w:ascii="Inter" w:hAnsi="Inter" w:cs="Inter"/>
          <w:b w:val="0"/>
          <w:i w:val="0"/>
          <w:color w:val="2D2D2D"/>
          <w:sz w:val="22"/>
        </w:rPr>
      </w:r>
      <w:r>
        <w:rPr>
          <w:rFonts w:ascii="Inter" w:hAnsi="Inter" w:cs="Inter"/>
          <w:b/>
          <w:i w:val="0"/>
          <w:color w:val="2D2D2D"/>
          <w:sz w:val="22"/>
        </w:rPr>
        <w:t>Tier 1 --- Constitution:</w:t>
      </w:r>
      <w:r>
        <w:rPr>
          <w:rFonts w:ascii="Inter" w:hAnsi="Inter" w:cs="Inter"/>
          <w:b w:val="0"/>
          <w:i w:val="0"/>
          <w:color w:val="2D2D2D"/>
          <w:sz w:val="22"/>
        </w:rPr>
        <w:t xml:space="preserve"> Identify any constitutional provisions that relate to your sector. Most MOAs will cite Article X (autonomous regions) and Article XI (public accountability). Sector-specific MOAs may cite additional provisions --- for example, a health ministry would cite Article XIII (social justice and human rights), and an education ministry would cite Article XIV (education, science and technology, arts, culture, and sports).</w:t>
      </w:r>
    </w:p>
    <w:p>
      <w:pPr>
        <w:spacing w:after="120" w:line="276" w:lineRule="auto"/>
      </w:pPr>
      <w:r>
        <w:rPr>
          <w:rFonts w:ascii="Inter" w:hAnsi="Inter" w:cs="Inter"/>
          <w:b w:val="0"/>
          <w:i w:val="0"/>
          <w:color w:val="2D2D2D"/>
          <w:sz w:val="22"/>
        </w:rPr>
      </w:r>
      <w:r>
        <w:rPr>
          <w:rFonts w:ascii="Inter" w:hAnsi="Inter" w:cs="Inter"/>
          <w:b/>
          <w:i w:val="0"/>
          <w:color w:val="2D2D2D"/>
          <w:sz w:val="22"/>
        </w:rPr>
        <w:t>Tier 2 --- BOL:</w:t>
      </w:r>
      <w:r>
        <w:rPr>
          <w:rFonts w:ascii="Inter" w:hAnsi="Inter" w:cs="Inter"/>
          <w:b w:val="0"/>
          <w:i w:val="0"/>
          <w:color w:val="2D2D2D"/>
          <w:sz w:val="22"/>
        </w:rPr>
        <w:t xml:space="preserve"> Identify every provision in RA 11054 that relates to your MOA's sector. Start with Article V, Section 2 (enumerated powers) and identify which of the 55 areas apply to your MOA. Then review the BOL articles relevant to your sector --- Article IX (basic rights), Article X (justice system), Article XI (Shari'ah courts), Article XII (fiscal autonomy), Article XIII (regional economy, natural resources, and patrimony), and Article XIV (basic education). Note that the BOL does not organize articles strictly by ministry, so review multiple articles for relevant provisions.</w:t>
      </w:r>
    </w:p>
    <w:p>
      <w:pPr>
        <w:spacing w:after="120" w:line="276" w:lineRule="auto"/>
      </w:pPr>
      <w:r>
        <w:rPr>
          <w:rFonts w:ascii="Inter" w:hAnsi="Inter" w:cs="Inter"/>
          <w:b w:val="0"/>
          <w:i w:val="0"/>
          <w:color w:val="2D2D2D"/>
          <w:sz w:val="22"/>
        </w:rPr>
      </w:r>
      <w:r>
        <w:rPr>
          <w:rFonts w:ascii="Inter" w:hAnsi="Inter" w:cs="Inter"/>
          <w:b/>
          <w:i w:val="0"/>
          <w:color w:val="2D2D2D"/>
          <w:sz w:val="22"/>
        </w:rPr>
        <w:t>Tier 3 --- Administrative Code:</w:t>
      </w:r>
      <w:r>
        <w:rPr>
          <w:rFonts w:ascii="Inter" w:hAnsi="Inter" w:cs="Inter"/>
          <w:b w:val="0"/>
          <w:i w:val="0"/>
          <w:color w:val="2D2D2D"/>
          <w:sz w:val="22"/>
        </w:rPr>
        <w:t xml:space="preserve"> Review BAA No. 13 for all references to your MOA. Pay particular attention to the sections that define your ministry's composition, powers, and functions.</w:t>
      </w:r>
    </w:p>
    <w:p>
      <w:pPr>
        <w:spacing w:after="120" w:line="276" w:lineRule="auto"/>
      </w:pPr>
      <w:r>
        <w:rPr>
          <w:rFonts w:ascii="Inter" w:hAnsi="Inter" w:cs="Inter"/>
          <w:b w:val="0"/>
          <w:i w:val="0"/>
          <w:color w:val="2D2D2D"/>
          <w:sz w:val="22"/>
        </w:rPr>
      </w:r>
      <w:r>
        <w:rPr>
          <w:rFonts w:ascii="Inter" w:hAnsi="Inter" w:cs="Inter"/>
          <w:b/>
          <w:i w:val="0"/>
          <w:color w:val="2D2D2D"/>
          <w:sz w:val="22"/>
        </w:rPr>
        <w:t>Tier 4 --- BAAs:</w:t>
      </w:r>
      <w:r>
        <w:rPr>
          <w:rFonts w:ascii="Inter" w:hAnsi="Inter" w:cs="Inter"/>
          <w:b w:val="0"/>
          <w:i w:val="0"/>
          <w:color w:val="2D2D2D"/>
          <w:sz w:val="22"/>
        </w:rPr>
        <w:t xml:space="preserve"> Identify all BAAs that affect your MOA. This includes your creating law, cross-cutting BAAs (procurement, civil service, budget system), and any sector-specific BAAs that expand or modify your mandate.</w:t>
      </w:r>
    </w:p>
    <w:p>
      <w:pPr>
        <w:spacing w:after="120" w:line="276" w:lineRule="auto"/>
      </w:pPr>
      <w:r>
        <w:rPr>
          <w:rFonts w:ascii="Inter" w:hAnsi="Inter" w:cs="Inter"/>
          <w:b w:val="0"/>
          <w:i w:val="0"/>
          <w:color w:val="2D2D2D"/>
          <w:sz w:val="22"/>
        </w:rPr>
      </w:r>
      <w:r>
        <w:rPr>
          <w:rFonts w:ascii="Inter" w:hAnsi="Inter" w:cs="Inter"/>
          <w:b/>
          <w:i w:val="0"/>
          <w:color w:val="2D2D2D"/>
          <w:sz w:val="22"/>
        </w:rPr>
        <w:t>Tier 5 --- National Laws:</w:t>
      </w:r>
      <w:r>
        <w:rPr>
          <w:rFonts w:ascii="Inter" w:hAnsi="Inter" w:cs="Inter"/>
          <w:b w:val="0"/>
          <w:i w:val="0"/>
          <w:color w:val="2D2D2D"/>
          <w:sz w:val="22"/>
        </w:rPr>
        <w:t xml:space="preserve"> Identify national laws that apply to your MOA. Some are universal (procurement, anti-graft, data privacy). Others are sector-specific (a health ministry must comply with Republic Act No. 11223, the Universal Health Care Act, to the extent it applies in BARMM).</w:t>
      </w:r>
    </w:p>
    <w:p>
      <w:pPr>
        <w:spacing w:after="120" w:line="276" w:lineRule="auto"/>
      </w:pPr>
      <w:r>
        <w:rPr>
          <w:rFonts w:ascii="Inter" w:hAnsi="Inter" w:cs="Inter"/>
          <w:b w:val="0"/>
          <w:i w:val="0"/>
          <w:color w:val="2D2D2D"/>
          <w:sz w:val="22"/>
        </w:rPr>
      </w:r>
      <w:r>
        <w:rPr>
          <w:rFonts w:ascii="Inter" w:hAnsi="Inter" w:cs="Inter"/>
          <w:b/>
          <w:i w:val="0"/>
          <w:color w:val="2D2D2D"/>
          <w:sz w:val="22"/>
        </w:rPr>
        <w:t>Tier 6 --- Executive Issuances:</w:t>
      </w:r>
      <w:r>
        <w:rPr>
          <w:rFonts w:ascii="Inter" w:hAnsi="Inter" w:cs="Inter"/>
          <w:b w:val="0"/>
          <w:i w:val="0"/>
          <w:color w:val="2D2D2D"/>
          <w:sz w:val="22"/>
        </w:rPr>
        <w:t xml:space="preserve"> Identify relevant EOs, IRRs, MCs, and AOs. Check issuances from the Office of the Chief Minister and from your own ministry.</w:t>
      </w:r>
    </w:p>
    <w:p>
      <w:pPr>
        <w:spacing w:after="120" w:line="276" w:lineRule="auto"/>
      </w:pPr>
      <w:r>
        <w:rPr>
          <w:rFonts w:ascii="Inter" w:hAnsi="Inter" w:cs="Inter"/>
          <w:b w:val="0"/>
          <w:i w:val="0"/>
          <w:color w:val="2D2D2D"/>
          <w:sz w:val="22"/>
        </w:rPr>
      </w:r>
      <w:r>
        <w:rPr>
          <w:rFonts w:ascii="Inter" w:hAnsi="Inter" w:cs="Inter"/>
          <w:b/>
          <w:i w:val="0"/>
          <w:color w:val="2D2D2D"/>
          <w:sz w:val="22"/>
        </w:rPr>
        <w:t>Tier 7 --- Jurisprudence:</w:t>
      </w:r>
      <w:r>
        <w:rPr>
          <w:rFonts w:ascii="Inter" w:hAnsi="Inter" w:cs="Inter"/>
          <w:b w:val="0"/>
          <w:i w:val="0"/>
          <w:color w:val="2D2D2D"/>
          <w:sz w:val="22"/>
        </w:rPr>
        <w:t xml:space="preserve"> Identify any Supreme Court decisions that interpret your MOA's authority or the scope of BARMM's powers in your sector.</w:t>
      </w:r>
    </w:p>
    <w:p>
      <w:pPr>
        <w:spacing w:after="120" w:line="276" w:lineRule="auto"/>
      </w:pPr>
      <w:r>
        <w:rPr>
          <w:rFonts w:ascii="Inter" w:hAnsi="Inter" w:cs="Inter"/>
          <w:b w:val="0"/>
          <w:i w:val="0"/>
          <w:color w:val="2D2D2D"/>
          <w:sz w:val="22"/>
        </w:rPr>
        <w:t>For each provision, record:</w:t>
      </w:r>
    </w:p>
    <w:p>
      <w:pPr>
        <w:pStyle w:val="ListBullet"/>
      </w:pPr>
      <w:r>
        <w:rPr>
          <w:rFonts w:ascii="Inter" w:hAnsi="Inter" w:cs="Inter"/>
          <w:b w:val="0"/>
          <w:i w:val="0"/>
          <w:color w:val="2D2D2D"/>
          <w:sz w:val="22"/>
        </w:rPr>
        <w:t>The legal source (full citation)</w:t>
      </w:r>
    </w:p>
    <w:p>
      <w:pPr>
        <w:pStyle w:val="ListBullet"/>
      </w:pPr>
      <w:r>
        <w:rPr>
          <w:rFonts w:ascii="Inter" w:hAnsi="Inter" w:cs="Inter"/>
          <w:b w:val="0"/>
          <w:i w:val="0"/>
          <w:color w:val="2D2D2D"/>
          <w:sz w:val="22"/>
        </w:rPr>
        <w:t>The tier it belongs to</w:t>
      </w:r>
    </w:p>
    <w:p>
      <w:pPr>
        <w:pStyle w:val="ListBullet"/>
      </w:pPr>
      <w:r>
        <w:rPr>
          <w:rFonts w:ascii="Inter" w:hAnsi="Inter" w:cs="Inter"/>
          <w:b w:val="0"/>
          <w:i w:val="0"/>
          <w:color w:val="2D2D2D"/>
          <w:sz w:val="22"/>
        </w:rPr>
        <w:t>The specific text of the provision (or a precise summary)</w:t>
      </w:r>
    </w:p>
    <w:p>
      <w:pPr>
        <w:pStyle w:val="ListBullet"/>
      </w:pPr>
      <w:r>
        <w:rPr>
          <w:rFonts w:ascii="Inter" w:hAnsi="Inter" w:cs="Inter"/>
          <w:b w:val="0"/>
          <w:i w:val="0"/>
          <w:color w:val="2D2D2D"/>
          <w:sz w:val="22"/>
        </w:rPr>
        <w:t>The mandate or authority it grants</w:t>
      </w:r>
    </w:p>
    <w:p>
      <w:pPr>
        <w:pStyle w:val="Heading3"/>
      </w:pPr>
      <w:r>
        <w:rPr>
          <w:rFonts w:ascii="Inter" w:hAnsi="Inter" w:cs="Inter"/>
          <w:b/>
          <w:i w:val="0"/>
          <w:color w:val="2C5F7C"/>
          <w:sz w:val="26"/>
        </w:rPr>
        <w:t>Step 3: Map Provisions to Planning Domains</w:t>
      </w:r>
    </w:p>
    <w:p>
      <w:pPr>
        <w:spacing w:after="120" w:line="276" w:lineRule="auto"/>
      </w:pPr>
      <w:r>
        <w:rPr>
          <w:rFonts w:ascii="Inter" w:hAnsi="Inter" w:cs="Inter"/>
          <w:b w:val="0"/>
          <w:i w:val="0"/>
          <w:color w:val="2D2D2D"/>
          <w:sz w:val="22"/>
        </w:rPr>
        <w:t>A planning domain is a broad area of work that your MOA will address in its strategic plan. Examples include: "scholarship programs," "protected area management," "infrastructure development," "skills training," or "revenue collection."</w:t>
      </w:r>
    </w:p>
    <w:p>
      <w:pPr>
        <w:spacing w:after="120" w:line="276" w:lineRule="auto"/>
      </w:pPr>
      <w:r>
        <w:rPr>
          <w:rFonts w:ascii="Inter" w:hAnsi="Inter" w:cs="Inter"/>
          <w:b w:val="0"/>
          <w:i w:val="0"/>
          <w:color w:val="2D2D2D"/>
          <w:sz w:val="22"/>
        </w:rPr>
        <w:t>For each provision identified in Step 2, ask: *What planning domain does this provision relate to?*</w:t>
      </w:r>
    </w:p>
    <w:p>
      <w:pPr>
        <w:spacing w:after="120" w:line="276" w:lineRule="auto"/>
      </w:pPr>
      <w:r>
        <w:rPr>
          <w:rFonts w:ascii="Inter" w:hAnsi="Inter" w:cs="Inter"/>
          <w:b w:val="0"/>
          <w:i w:val="0"/>
          <w:color w:val="2D2D2D"/>
          <w:sz w:val="22"/>
        </w:rPr>
        <w:t>A single provision may map to multiple planning domains. For example, a provision that authorizes your MOA to "explore, develop, and utilize natural resources" could map to domains such as "mining regulation," "energy development," "environmental protection," and "resource revenue management."</w:t>
      </w:r>
    </w:p>
    <w:p>
      <w:pPr>
        <w:spacing w:after="120" w:line="276" w:lineRule="auto"/>
      </w:pPr>
      <w:r>
        <w:rPr>
          <w:rFonts w:ascii="Inter" w:hAnsi="Inter" w:cs="Inter"/>
          <w:b w:val="0"/>
          <w:i w:val="0"/>
          <w:color w:val="2D2D2D"/>
          <w:sz w:val="22"/>
        </w:rPr>
        <w:t>Conversely, a single planning domain may draw from multiple provisions across different tiers. "Scholarship programs" might be authorized by the BOL (Article V, Section 2[uu] --- science and technology, research councils and scholarship programs), a sector-specific BAA, and a Memorandum Circular that sets program guidelines.</w:t>
      </w:r>
    </w:p>
    <w:p>
      <w:pPr>
        <w:spacing w:after="120" w:line="276" w:lineRule="auto"/>
      </w:pPr>
      <w:r>
        <w:rPr>
          <w:rFonts w:ascii="Inter" w:hAnsi="Inter" w:cs="Inter"/>
          <w:b w:val="0"/>
          <w:i w:val="0"/>
          <w:color w:val="2D2D2D"/>
          <w:sz w:val="22"/>
        </w:rPr>
        <w:t>Document these mappings. They become the core of your Legal Mandate Matrix.</w:t>
      </w:r>
    </w:p>
    <w:p>
      <w:pPr>
        <w:pStyle w:val="Heading3"/>
      </w:pPr>
      <w:r>
        <w:rPr>
          <w:rFonts w:ascii="Inter" w:hAnsi="Inter" w:cs="Inter"/>
          <w:b/>
          <w:i w:val="0"/>
          <w:color w:val="2C5F7C"/>
          <w:sz w:val="26"/>
        </w:rPr>
        <w:t>Step 4: Identify Gaps</w:t>
      </w:r>
    </w:p>
    <w:p>
      <w:pPr>
        <w:spacing w:after="120" w:line="276" w:lineRule="auto"/>
      </w:pPr>
      <w:r>
        <w:rPr>
          <w:rFonts w:ascii="Inter" w:hAnsi="Inter" w:cs="Inter"/>
          <w:b w:val="0"/>
          <w:i w:val="0"/>
          <w:color w:val="2D2D2D"/>
          <w:sz w:val="22"/>
        </w:rPr>
        <w:t>Two types of gaps require attention:</w:t>
      </w:r>
    </w:p>
    <w:p>
      <w:pPr>
        <w:spacing w:after="120" w:line="276" w:lineRule="auto"/>
      </w:pPr>
      <w:r>
        <w:rPr>
          <w:rFonts w:ascii="Inter" w:hAnsi="Inter" w:cs="Inter"/>
          <w:b w:val="0"/>
          <w:i w:val="0"/>
          <w:color w:val="2D2D2D"/>
          <w:sz w:val="22"/>
        </w:rPr>
      </w:r>
      <w:r>
        <w:rPr>
          <w:rFonts w:ascii="Inter" w:hAnsi="Inter" w:cs="Inter"/>
          <w:b/>
          <w:i w:val="0"/>
          <w:color w:val="2D2D2D"/>
          <w:sz w:val="22"/>
        </w:rPr>
        <w:t>Gap Type A: Functions without legal basis.</w:t>
      </w:r>
      <w:r>
        <w:rPr>
          <w:rFonts w:ascii="Inter" w:hAnsi="Inter" w:cs="Inter"/>
          <w:b w:val="0"/>
          <w:i w:val="0"/>
          <w:color w:val="2D2D2D"/>
          <w:sz w:val="22"/>
        </w:rPr>
        <w:t xml:space="preserve"> Review every program, project, and activity that your MOA currently implements or plans to implement. Can each one be traced back to a legal provision through the mandate-function-activity chain? If an activity has no traceable legal basis, flag it. This does not necessarily mean the activity must stop --- it may mean that legal authority exists but has not been documented, or that the activity falls under implied powers. But it must be resolved. Activities without legal basis are vulnerable to audit findings and budget disallowance.</w:t>
      </w:r>
    </w:p>
    <w:p>
      <w:pPr>
        <w:spacing w:after="120" w:line="276" w:lineRule="auto"/>
      </w:pPr>
      <w:r>
        <w:rPr>
          <w:rFonts w:ascii="Inter" w:hAnsi="Inter" w:cs="Inter"/>
          <w:b w:val="0"/>
          <w:i w:val="0"/>
          <w:color w:val="2D2D2D"/>
          <w:sz w:val="22"/>
        </w:rPr>
      </w:r>
      <w:r>
        <w:rPr>
          <w:rFonts w:ascii="Inter" w:hAnsi="Inter" w:cs="Inter"/>
          <w:b/>
          <w:i w:val="0"/>
          <w:color w:val="2D2D2D"/>
          <w:sz w:val="22"/>
        </w:rPr>
        <w:t>Gap Type B: Mandates without corresponding plans.</w:t>
      </w:r>
      <w:r>
        <w:rPr>
          <w:rFonts w:ascii="Inter" w:hAnsi="Inter" w:cs="Inter"/>
          <w:b w:val="0"/>
          <w:i w:val="0"/>
          <w:color w:val="2D2D2D"/>
          <w:sz w:val="22"/>
        </w:rPr>
        <w:t xml:space="preserve"> Review every provision that grants your MOA a mandate. Is each mandate reflected in your strategic plan? If the law requires your MOA to perform a function and your plan does not address it, you have a compliance gap. This is a serious finding because it means your MOA is not fulfilling its legal obligations.</w:t>
      </w:r>
    </w:p>
    <w:p>
      <w:pPr>
        <w:spacing w:after="120" w:line="276" w:lineRule="auto"/>
      </w:pPr>
      <w:r>
        <w:rPr>
          <w:rFonts w:ascii="Inter" w:hAnsi="Inter" w:cs="Inter"/>
          <w:b w:val="0"/>
          <w:i w:val="0"/>
          <w:color w:val="2D2D2D"/>
          <w:sz w:val="22"/>
        </w:rPr>
        <w:t>For each gap, record:</w:t>
      </w:r>
    </w:p>
    <w:p>
      <w:pPr>
        <w:pStyle w:val="ListBullet"/>
      </w:pPr>
      <w:r>
        <w:rPr>
          <w:rFonts w:ascii="Inter" w:hAnsi="Inter" w:cs="Inter"/>
          <w:b w:val="0"/>
          <w:i w:val="0"/>
          <w:color w:val="2D2D2D"/>
          <w:sz w:val="22"/>
        </w:rPr>
        <w:t>The nature of the gap (Type A or Type B)</w:t>
      </w:r>
    </w:p>
    <w:p>
      <w:pPr>
        <w:pStyle w:val="ListBullet"/>
      </w:pPr>
      <w:r>
        <w:rPr>
          <w:rFonts w:ascii="Inter" w:hAnsi="Inter" w:cs="Inter"/>
          <w:b w:val="0"/>
          <w:i w:val="0"/>
          <w:color w:val="2D2D2D"/>
          <w:sz w:val="22"/>
        </w:rPr>
        <w:t>The specific function or provision involved</w:t>
      </w:r>
    </w:p>
    <w:p>
      <w:pPr>
        <w:pStyle w:val="ListBullet"/>
      </w:pPr>
      <w:r>
        <w:rPr>
          <w:rFonts w:ascii="Inter" w:hAnsi="Inter" w:cs="Inter"/>
          <w:b w:val="0"/>
          <w:i w:val="0"/>
          <w:color w:val="2D2D2D"/>
          <w:sz w:val="22"/>
        </w:rPr>
        <w:t>The recommended action (e.g., "seek legal opinion," "add to strategic plan," "propose legislative amendment," "request mandate transfer")</w:t>
      </w:r>
    </w:p>
    <w:p>
      <w:pPr>
        <w:pStyle w:val="Heading3"/>
      </w:pPr>
      <w:r>
        <w:rPr>
          <w:rFonts w:ascii="Inter" w:hAnsi="Inter" w:cs="Inter"/>
          <w:b/>
          <w:i w:val="0"/>
          <w:color w:val="2C5F7C"/>
          <w:sz w:val="26"/>
        </w:rPr>
        <w:t>Step 5: Complete the Legal Mandate Matrix</w:t>
      </w:r>
    </w:p>
    <w:p>
      <w:pPr>
        <w:spacing w:after="120" w:line="276" w:lineRule="auto"/>
      </w:pPr>
      <w:r>
        <w:rPr>
          <w:rFonts w:ascii="Inter" w:hAnsi="Inter" w:cs="Inter"/>
          <w:b w:val="0"/>
          <w:i w:val="0"/>
          <w:color w:val="2D2D2D"/>
          <w:sz w:val="22"/>
        </w:rPr>
        <w:t>Using the information gathered in Steps 1 through 4, fill in the Legal Mandate Matrix template (Section 2.7). Every planning domain in your strategic plan should appear in the matrix with at least one legal basis. Every legal provision should be mapped to at least one planning domain.</w:t>
      </w:r>
    </w:p>
    <w:p>
      <w:pPr>
        <w:spacing w:after="120" w:line="276" w:lineRule="auto"/>
      </w:pPr>
      <w:r>
        <w:rPr>
          <w:rFonts w:ascii="Inter" w:hAnsi="Inter" w:cs="Inter"/>
          <w:b w:val="0"/>
          <w:i w:val="0"/>
          <w:color w:val="2D2D2D"/>
          <w:sz w:val="22"/>
        </w:rPr>
        <w:t>Once completed, submit the matrix for review by your MOA's legal officer and your Minister or Executive Director (see Section 2.5).</w:t>
      </w:r>
    </w:p>
    <w:p>
      <w:pPr>
        <w:pStyle w:val="Heading2"/>
      </w:pPr>
      <w:r>
        <w:rPr>
          <w:rFonts w:ascii="Inter" w:hAnsi="Inter" w:cs="Inter"/>
          <w:b/>
          <w:i w:val="0"/>
          <w:color w:val="1B365D"/>
          <w:sz w:val="32"/>
        </w:rPr>
        <w:t>2.4 Worked Example: Office for Other Bangsamoro Communities (OOBC)</w:t>
      </w:r>
    </w:p>
    <w:p>
      <w:pPr>
        <w:spacing w:after="120" w:line="276" w:lineRule="auto"/>
      </w:pPr>
      <w:r>
        <w:rPr>
          <w:rFonts w:ascii="Inter" w:hAnsi="Inter" w:cs="Inter"/>
          <w:b w:val="0"/>
          <w:i w:val="0"/>
          <w:color w:val="2D2D2D"/>
          <w:sz w:val="22"/>
        </w:rPr>
        <w:t>The following example shows how a Planning Officer at OOBC might complete Steps 1 through 4. This example is illustrative --- actual provisions and planning domains at OOBC may differ. The purpose is to demonstrate the methodology.</w:t>
      </w:r>
    </w:p>
    <w:p>
      <w:pPr>
        <w:pStyle w:val="Heading3"/>
      </w:pPr>
      <w:r>
        <w:rPr>
          <w:rFonts w:ascii="Inter" w:hAnsi="Inter" w:cs="Inter"/>
          <w:b/>
          <w:i w:val="0"/>
          <w:color w:val="2C5F7C"/>
          <w:sz w:val="26"/>
        </w:rPr>
        <w:t>Step 1: Identifying OOBC's Creating Law</w:t>
      </w:r>
    </w:p>
    <w:p>
      <w:pPr>
        <w:spacing w:after="120" w:line="276" w:lineRule="auto"/>
      </w:pPr>
      <w:r>
        <w:rPr>
          <w:rFonts w:ascii="Inter" w:hAnsi="Inter" w:cs="Inter"/>
          <w:b w:val="0"/>
          <w:i w:val="0"/>
          <w:color w:val="2D2D2D"/>
          <w:sz w:val="22"/>
        </w:rPr>
        <w:t>The Planning Officer begins by locating the legal basis for OOBC's existence.</w:t>
      </w:r>
    </w:p>
    <w:p>
      <w:pPr>
        <w:pStyle w:val="ListBullet"/>
      </w:pPr>
      <w:r>
        <w:rPr>
          <w:rFonts w:ascii="Inter" w:hAnsi="Inter" w:cs="Inter"/>
          <w:b w:val="0"/>
          <w:i w:val="0"/>
          <w:color w:val="2D2D2D"/>
          <w:sz w:val="22"/>
        </w:rPr>
      </w:r>
      <w:r>
        <w:rPr>
          <w:rFonts w:ascii="Inter" w:hAnsi="Inter" w:cs="Inter"/>
          <w:b/>
          <w:i w:val="0"/>
          <w:color w:val="2D2D2D"/>
          <w:sz w:val="22"/>
        </w:rPr>
        <w:t>BOL (RA 11054), Article VI, Section 12</w:t>
      </w:r>
      <w:r>
        <w:rPr>
          <w:rFonts w:ascii="Inter" w:hAnsi="Inter" w:cs="Inter"/>
          <w:b w:val="0"/>
          <w:i w:val="0"/>
          <w:color w:val="2D2D2D"/>
          <w:sz w:val="22"/>
        </w:rPr>
        <w:t xml:space="preserve"> provides that the Bangsamoro Government "shall take into consideration the rights of other Bangsamoro communities residing outside the Bangsamoro Autonomous Region."[^23]</w:t>
      </w:r>
    </w:p>
    <w:p>
      <w:pPr>
        <w:pStyle w:val="ListBullet"/>
      </w:pPr>
      <w:r>
        <w:rPr>
          <w:rFonts w:ascii="Inter" w:hAnsi="Inter" w:cs="Inter"/>
          <w:b w:val="0"/>
          <w:i w:val="0"/>
          <w:color w:val="2D2D2D"/>
          <w:sz w:val="22"/>
        </w:rPr>
      </w:r>
      <w:r>
        <w:rPr>
          <w:rFonts w:ascii="Inter" w:hAnsi="Inter" w:cs="Inter"/>
          <w:b/>
          <w:i w:val="0"/>
          <w:color w:val="2D2D2D"/>
          <w:sz w:val="22"/>
        </w:rPr>
        <w:t>BOL (RA 11054), Article V, Section 2</w:t>
      </w:r>
      <w:r>
        <w:rPr>
          <w:rFonts w:ascii="Inter" w:hAnsi="Inter" w:cs="Inter"/>
          <w:b w:val="0"/>
          <w:i w:val="0"/>
          <w:color w:val="2D2D2D"/>
          <w:sz w:val="22"/>
        </w:rPr>
        <w:t xml:space="preserve"> enumerates the Bangsamoro Government's exclusive powers, including: "(a) Administrative organization" and other provisions that support governance structures for extending services beyond the core territory.[^24]</w:t>
      </w:r>
    </w:p>
    <w:p>
      <w:pPr>
        <w:pStyle w:val="ListBullet"/>
      </w:pPr>
      <w:r>
        <w:rPr>
          <w:rFonts w:ascii="Inter" w:hAnsi="Inter" w:cs="Inter"/>
          <w:b w:val="0"/>
          <w:i w:val="0"/>
          <w:color w:val="2D2D2D"/>
          <w:sz w:val="22"/>
        </w:rPr>
      </w:r>
      <w:r>
        <w:rPr>
          <w:rFonts w:ascii="Inter" w:hAnsi="Inter" w:cs="Inter"/>
          <w:b/>
          <w:i w:val="0"/>
          <w:color w:val="2D2D2D"/>
          <w:sz w:val="22"/>
        </w:rPr>
        <w:t>BAA No. 13 (Bangsamoro Administrative Code)</w:t>
      </w:r>
      <w:r>
        <w:rPr>
          <w:rFonts w:ascii="Inter" w:hAnsi="Inter" w:cs="Inter"/>
          <w:b w:val="0"/>
          <w:i w:val="0"/>
          <w:color w:val="2D2D2D"/>
          <w:sz w:val="22"/>
        </w:rPr>
        <w:t xml:space="preserve"> establishes the organizational structure of offices attached to the Office of the Chief Minister (OCM), under which OOBC operates.[^25]</w:t>
      </w:r>
    </w:p>
    <w:p>
      <w:pPr>
        <w:pStyle w:val="ListBullet"/>
      </w:pPr>
      <w:r>
        <w:rPr>
          <w:rFonts w:ascii="Inter" w:hAnsi="Inter" w:cs="Inter"/>
          <w:b w:val="0"/>
          <w:i w:val="0"/>
          <w:color w:val="2D2D2D"/>
          <w:sz w:val="22"/>
        </w:rPr>
      </w:r>
      <w:r>
        <w:rPr>
          <w:rFonts w:ascii="Inter" w:hAnsi="Inter" w:cs="Inter"/>
          <w:b/>
          <w:i w:val="0"/>
          <w:color w:val="2D2D2D"/>
          <w:sz w:val="22"/>
        </w:rPr>
        <w:t>Executive Order No. 001</w:t>
      </w:r>
      <w:r>
        <w:rPr>
          <w:rFonts w:ascii="Inter" w:hAnsi="Inter" w:cs="Inter"/>
          <w:b w:val="0"/>
          <w:i w:val="0"/>
          <w:color w:val="2D2D2D"/>
          <w:sz w:val="22"/>
        </w:rPr>
        <w:t xml:space="preserve"> (Organization of the Bangsamoro Government) established the initial government structure, which included offices attached to the OCM.</w:t>
      </w:r>
    </w:p>
    <w:p>
      <w:pPr>
        <w:spacing w:after="120" w:line="276" w:lineRule="auto"/>
      </w:pPr>
      <w:r>
        <w:rPr>
          <w:rFonts w:ascii="Inter" w:hAnsi="Inter" w:cs="Inter"/>
          <w:b w:val="0"/>
          <w:i w:val="0"/>
          <w:color w:val="2D2D2D"/>
          <w:sz w:val="22"/>
        </w:rPr>
        <w:t>The Planning Officer records: OOBC's creating law is a combination of BOL Article VI, Section 12 (substantive mandate for other Bangsamoro communities), BAA No. 13 (organizational establishment under the OCM), and EO No. 001 (initial organization).</w:t>
      </w:r>
    </w:p>
    <w:p>
      <w:pPr>
        <w:pStyle w:val="Heading3"/>
      </w:pPr>
      <w:r>
        <w:rPr>
          <w:rFonts w:ascii="Inter" w:hAnsi="Inter" w:cs="Inter"/>
          <w:b/>
          <w:i w:val="0"/>
          <w:color w:val="2C5F7C"/>
          <w:sz w:val="26"/>
        </w:rPr>
        <w:t>Step 2: Listing Provisions That Grant Authority</w:t>
      </w:r>
    </w:p>
    <w:p>
      <w:pPr>
        <w:spacing w:after="120" w:line="276" w:lineRule="auto"/>
      </w:pPr>
      <w:r>
        <w:rPr>
          <w:rFonts w:ascii="Inter" w:hAnsi="Inter" w:cs="Inter"/>
          <w:b w:val="0"/>
          <w:i w:val="0"/>
          <w:color w:val="2D2D2D"/>
          <w:sz w:val="22"/>
        </w:rPr>
        <w:t>The Planning Officer works through each tier:</w:t>
      </w:r>
    </w:p>
    <w:p>
      <w:pPr>
        <w:spacing w:after="120" w:line="276" w:lineRule="auto"/>
      </w:pPr>
      <w:r>
        <w:rPr>
          <w:rFonts w:ascii="Inter" w:hAnsi="Inter" w:cs="Inter"/>
          <w:b w:val="0"/>
          <w:i w:val="0"/>
          <w:color w:val="2D2D2D"/>
          <w:sz w:val="22"/>
        </w:rPr>
      </w:r>
      <w:r>
        <w:rPr>
          <w:rFonts w:ascii="Inter" w:hAnsi="Inter" w:cs="Inter"/>
          <w:b/>
          <w:i w:val="0"/>
          <w:color w:val="2D2D2D"/>
          <w:sz w:val="22"/>
        </w:rPr>
        <w:t>Tier 1 --- Constitution:</w:t>
      </w:r>
      <w:r>
        <w:rPr>
          <w:rFonts w:ascii="Inter" w:hAnsi="Inter" w:cs="Inter"/>
          <w:b w:val="0"/>
          <w:i w:val="0"/>
          <w:color w:val="2D2D2D"/>
          <w:sz w:val="22"/>
        </w:rPr>
      </w:r>
    </w:p>
    <w:p>
      <w:pPr>
        <w:pStyle w:val="ListBullet"/>
      </w:pPr>
      <w:r>
        <w:rPr>
          <w:rFonts w:ascii="Inter" w:hAnsi="Inter" w:cs="Inter"/>
          <w:b w:val="0"/>
          <w:i w:val="0"/>
          <w:color w:val="2D2D2D"/>
          <w:sz w:val="22"/>
        </w:rPr>
        <w:t>Article X, Sections 15-21 (autonomous regions --- the constitutional basis for the Bangsamoro Autonomous Region and its governance structures)</w:t>
      </w:r>
    </w:p>
    <w:p>
      <w:pPr>
        <w:pStyle w:val="ListBullet"/>
      </w:pPr>
      <w:r>
        <w:rPr>
          <w:rFonts w:ascii="Inter" w:hAnsi="Inter" w:cs="Inter"/>
          <w:b w:val="0"/>
          <w:i w:val="0"/>
          <w:color w:val="2D2D2D"/>
          <w:sz w:val="22"/>
        </w:rPr>
        <w:t>Article III, Section 1 (equal protection clause --- Bangsamoro communities outside the core territory are entitled to equitable access to government services)</w:t>
      </w:r>
    </w:p>
    <w:p>
      <w:pPr>
        <w:pStyle w:val="ListBullet"/>
      </w:pPr>
      <w:r>
        <w:rPr>
          <w:rFonts w:ascii="Inter" w:hAnsi="Inter" w:cs="Inter"/>
          <w:b w:val="0"/>
          <w:i w:val="0"/>
          <w:color w:val="2D2D2D"/>
          <w:sz w:val="22"/>
        </w:rPr>
        <w:t>Article II, Section 11 ("The State values the dignity of every human person and guarantees full respect for human rights")</w:t>
      </w:r>
    </w:p>
    <w:p>
      <w:pPr>
        <w:spacing w:after="120" w:line="276" w:lineRule="auto"/>
      </w:pPr>
      <w:r>
        <w:rPr>
          <w:rFonts w:ascii="Inter" w:hAnsi="Inter" w:cs="Inter"/>
          <w:b w:val="0"/>
          <w:i w:val="0"/>
          <w:color w:val="2D2D2D"/>
          <w:sz w:val="22"/>
        </w:rPr>
      </w:r>
      <w:r>
        <w:rPr>
          <w:rFonts w:ascii="Inter" w:hAnsi="Inter" w:cs="Inter"/>
          <w:b/>
          <w:i w:val="0"/>
          <w:color w:val="2D2D2D"/>
          <w:sz w:val="22"/>
        </w:rPr>
        <w:t>Tier 2 --- BOL:</w:t>
      </w:r>
      <w:r>
        <w:rPr>
          <w:rFonts w:ascii="Inter" w:hAnsi="Inter" w:cs="Inter"/>
          <w:b w:val="0"/>
          <w:i w:val="0"/>
          <w:color w:val="2D2D2D"/>
          <w:sz w:val="22"/>
        </w:rPr>
      </w:r>
    </w:p>
    <w:p>
      <w:pPr>
        <w:pStyle w:val="ListBullet"/>
      </w:pPr>
      <w:r>
        <w:rPr>
          <w:rFonts w:ascii="Inter" w:hAnsi="Inter" w:cs="Inter"/>
          <w:b w:val="0"/>
          <w:i w:val="0"/>
          <w:color w:val="2D2D2D"/>
          <w:sz w:val="22"/>
        </w:rPr>
        <w:t>Article VI, Sec. 12 --- The Bangsamoro Government shall take into consideration the rights of other Bangsamoro communities residing outside the Bangsamoro Autonomous Region</w:t>
      </w:r>
    </w:p>
    <w:p>
      <w:pPr>
        <w:pStyle w:val="ListBullet"/>
      </w:pPr>
      <w:r>
        <w:rPr>
          <w:rFonts w:ascii="Inter" w:hAnsi="Inter" w:cs="Inter"/>
          <w:b w:val="0"/>
          <w:i w:val="0"/>
          <w:color w:val="2D2D2D"/>
          <w:sz w:val="22"/>
        </w:rPr>
        <w:t>Article V, Sec. 2(a) --- Administrative organization</w:t>
      </w:r>
    </w:p>
    <w:p>
      <w:pPr>
        <w:pStyle w:val="ListBullet"/>
      </w:pPr>
      <w:r>
        <w:rPr>
          <w:rFonts w:ascii="Inter" w:hAnsi="Inter" w:cs="Inter"/>
          <w:b w:val="0"/>
          <w:i w:val="0"/>
          <w:color w:val="2D2D2D"/>
          <w:sz w:val="22"/>
        </w:rPr>
        <w:t>Article V, Sec. 3 --- General welfare clause: powers necessarily implied from express grants, as well as powers necessary, appropriate, or incidental for efficient and effective governance</w:t>
      </w:r>
    </w:p>
    <w:p>
      <w:pPr>
        <w:pStyle w:val="ListBullet"/>
      </w:pPr>
      <w:r>
        <w:rPr>
          <w:rFonts w:ascii="Inter" w:hAnsi="Inter" w:cs="Inter"/>
          <w:b w:val="0"/>
          <w:i w:val="0"/>
          <w:color w:val="2D2D2D"/>
          <w:sz w:val="22"/>
        </w:rPr>
        <w:t>Article IX, Sec. 1 --- Basic rights of all Bangsamoro people</w:t>
      </w:r>
    </w:p>
    <w:p>
      <w:pPr>
        <w:spacing w:after="120" w:line="276" w:lineRule="auto"/>
      </w:pPr>
      <w:r>
        <w:rPr>
          <w:rFonts w:ascii="Inter" w:hAnsi="Inter" w:cs="Inter"/>
          <w:b w:val="0"/>
          <w:i w:val="0"/>
          <w:color w:val="2D2D2D"/>
          <w:sz w:val="22"/>
        </w:rPr>
      </w:r>
      <w:r>
        <w:rPr>
          <w:rFonts w:ascii="Inter" w:hAnsi="Inter" w:cs="Inter"/>
          <w:b/>
          <w:i w:val="0"/>
          <w:color w:val="2D2D2D"/>
          <w:sz w:val="22"/>
        </w:rPr>
        <w:t>Tier 3 --- Administrative Code:</w:t>
      </w:r>
      <w:r>
        <w:rPr>
          <w:rFonts w:ascii="Inter" w:hAnsi="Inter" w:cs="Inter"/>
          <w:b w:val="0"/>
          <w:i w:val="0"/>
          <w:color w:val="2D2D2D"/>
          <w:sz w:val="22"/>
        </w:rPr>
      </w:r>
    </w:p>
    <w:p>
      <w:pPr>
        <w:pStyle w:val="ListBullet"/>
      </w:pPr>
      <w:r>
        <w:rPr>
          <w:rFonts w:ascii="Inter" w:hAnsi="Inter" w:cs="Inter"/>
          <w:b w:val="0"/>
          <w:i w:val="0"/>
          <w:color w:val="2D2D2D"/>
          <w:sz w:val="22"/>
        </w:rPr>
        <w:t>BAA No. 13, Book IV (Office of the Chief Minister --- OOBC is an attached office under the OCM)</w:t>
      </w:r>
    </w:p>
    <w:p>
      <w:pPr>
        <w:pStyle w:val="ListBullet"/>
      </w:pPr>
      <w:r>
        <w:rPr>
          <w:rFonts w:ascii="Inter" w:hAnsi="Inter" w:cs="Inter"/>
          <w:b w:val="0"/>
          <w:i w:val="0"/>
          <w:color w:val="2D2D2D"/>
          <w:sz w:val="22"/>
        </w:rPr>
        <w:t>BAA No. 13, Sections 12-15 (BEDC policy and functions --- OOBC must participate in plan formulation for programs affecting Bangsamoro communities outside the core territory)</w:t>
      </w:r>
    </w:p>
    <w:p>
      <w:pPr>
        <w:spacing w:after="120" w:line="276" w:lineRule="auto"/>
      </w:pPr>
      <w:r>
        <w:rPr>
          <w:rFonts w:ascii="Inter" w:hAnsi="Inter" w:cs="Inter"/>
          <w:b w:val="0"/>
          <w:i w:val="0"/>
          <w:color w:val="2D2D2D"/>
          <w:sz w:val="22"/>
        </w:rPr>
      </w:r>
      <w:r>
        <w:rPr>
          <w:rFonts w:ascii="Inter" w:hAnsi="Inter" w:cs="Inter"/>
          <w:b/>
          <w:i w:val="0"/>
          <w:color w:val="2D2D2D"/>
          <w:sz w:val="22"/>
        </w:rPr>
        <w:t>Tier 4 --- BAAs:</w:t>
      </w:r>
      <w:r>
        <w:rPr>
          <w:rFonts w:ascii="Inter" w:hAnsi="Inter" w:cs="Inter"/>
          <w:b w:val="0"/>
          <w:i w:val="0"/>
          <w:color w:val="2D2D2D"/>
          <w:sz w:val="22"/>
        </w:rPr>
      </w:r>
    </w:p>
    <w:p>
      <w:pPr>
        <w:pStyle w:val="ListBullet"/>
      </w:pPr>
      <w:r>
        <w:rPr>
          <w:rFonts w:ascii="Inter" w:hAnsi="Inter" w:cs="Inter"/>
          <w:b w:val="0"/>
          <w:i w:val="0"/>
          <w:color w:val="2D2D2D"/>
          <w:sz w:val="22"/>
        </w:rPr>
        <w:t>Cross-cutting: BAA No. 38 (Procurement), BAA No. 31 (Civil Service), BAA No. 84 (Budget System)</w:t>
      </w:r>
    </w:p>
    <w:p>
      <w:pPr>
        <w:pStyle w:val="ListBullet"/>
      </w:pPr>
      <w:r>
        <w:rPr>
          <w:rFonts w:ascii="Inter" w:hAnsi="Inter" w:cs="Inter"/>
          <w:b w:val="0"/>
          <w:i w:val="0"/>
          <w:color w:val="2D2D2D"/>
          <w:sz w:val="22"/>
        </w:rPr>
        <w:t>Sector-specific BAAs that affect programs for other Bangsamoro communities (education, social welfare, livelihood --- to the extent they extend beyond the core territory)</w:t>
      </w:r>
    </w:p>
    <w:p>
      <w:pPr>
        <w:spacing w:after="120" w:line="276" w:lineRule="auto"/>
      </w:pPr>
      <w:r>
        <w:rPr>
          <w:rFonts w:ascii="Inter" w:hAnsi="Inter" w:cs="Inter"/>
          <w:b w:val="0"/>
          <w:i w:val="0"/>
          <w:color w:val="2D2D2D"/>
          <w:sz w:val="22"/>
        </w:rPr>
      </w:r>
      <w:r>
        <w:rPr>
          <w:rFonts w:ascii="Inter" w:hAnsi="Inter" w:cs="Inter"/>
          <w:b/>
          <w:i w:val="0"/>
          <w:color w:val="2D2D2D"/>
          <w:sz w:val="22"/>
        </w:rPr>
        <w:t>Tier 5 --- National Laws:</w:t>
      </w:r>
      <w:r>
        <w:rPr>
          <w:rFonts w:ascii="Inter" w:hAnsi="Inter" w:cs="Inter"/>
          <w:b w:val="0"/>
          <w:i w:val="0"/>
          <w:color w:val="2D2D2D"/>
          <w:sz w:val="22"/>
        </w:rPr>
      </w:r>
    </w:p>
    <w:p>
      <w:pPr>
        <w:pStyle w:val="ListBullet"/>
      </w:pPr>
      <w:r>
        <w:rPr>
          <w:rFonts w:ascii="Inter" w:hAnsi="Inter" w:cs="Inter"/>
          <w:b w:val="0"/>
          <w:i w:val="0"/>
          <w:color w:val="2D2D2D"/>
          <w:sz w:val="22"/>
        </w:rPr>
        <w:t>Republic Act No. 8371 (Indigenous Peoples' Rights Act / IPRA) --- provisions relevant to Bangsamoro communities in areas with NCIP jurisdiction</w:t>
      </w:r>
    </w:p>
    <w:p>
      <w:pPr>
        <w:pStyle w:val="ListBullet"/>
      </w:pPr>
      <w:r>
        <w:rPr>
          <w:rFonts w:ascii="Inter" w:hAnsi="Inter" w:cs="Inter"/>
          <w:b w:val="0"/>
          <w:i w:val="0"/>
          <w:color w:val="2D2D2D"/>
          <w:sz w:val="22"/>
        </w:rPr>
        <w:t>Republic Act No. 7160 (Local Government Code) --- coordination mandates with LGUs nationwide where Bangsamoro communities reside</w:t>
      </w:r>
    </w:p>
    <w:p>
      <w:pPr>
        <w:pStyle w:val="ListBullet"/>
      </w:pPr>
      <w:r>
        <w:rPr>
          <w:rFonts w:ascii="Inter" w:hAnsi="Inter" w:cs="Inter"/>
          <w:b w:val="0"/>
          <w:i w:val="0"/>
          <w:color w:val="2D2D2D"/>
          <w:sz w:val="22"/>
        </w:rPr>
        <w:t>Republic Act No. 9710 (Magna Carta of Women) --- gender-responsive programming for women in dispersed Bangsamoro communities</w:t>
      </w:r>
    </w:p>
    <w:p>
      <w:pPr>
        <w:pStyle w:val="ListBullet"/>
      </w:pPr>
      <w:r>
        <w:rPr>
          <w:rFonts w:ascii="Inter" w:hAnsi="Inter" w:cs="Inter"/>
          <w:b w:val="0"/>
          <w:i w:val="0"/>
          <w:color w:val="2D2D2D"/>
          <w:sz w:val="22"/>
        </w:rPr>
        <w:t>Republic Act No. 10121 (Disaster Risk Reduction and Management Act) --- coordination for community resilience</w:t>
      </w:r>
    </w:p>
    <w:p>
      <w:pPr>
        <w:pStyle w:val="ListBullet"/>
      </w:pPr>
      <w:r>
        <w:rPr>
          <w:rFonts w:ascii="Inter" w:hAnsi="Inter" w:cs="Inter"/>
          <w:b w:val="0"/>
          <w:i w:val="0"/>
          <w:color w:val="2D2D2D"/>
          <w:sz w:val="22"/>
        </w:rPr>
        <w:t>DILG coordination mandates for inter-governmental relations with LGUs outside BARMM</w:t>
      </w:r>
    </w:p>
    <w:p>
      <w:pPr>
        <w:spacing w:after="120" w:line="276" w:lineRule="auto"/>
      </w:pPr>
      <w:r>
        <w:rPr>
          <w:rFonts w:ascii="Inter" w:hAnsi="Inter" w:cs="Inter"/>
          <w:b w:val="0"/>
          <w:i w:val="0"/>
          <w:color w:val="2D2D2D"/>
          <w:sz w:val="22"/>
        </w:rPr>
      </w:r>
      <w:r>
        <w:rPr>
          <w:rFonts w:ascii="Inter" w:hAnsi="Inter" w:cs="Inter"/>
          <w:b/>
          <w:i w:val="0"/>
          <w:color w:val="2D2D2D"/>
          <w:sz w:val="22"/>
        </w:rPr>
        <w:t>Tier 6 --- Executive Issuances:</w:t>
      </w:r>
      <w:r>
        <w:rPr>
          <w:rFonts w:ascii="Inter" w:hAnsi="Inter" w:cs="Inter"/>
          <w:b w:val="0"/>
          <w:i w:val="0"/>
          <w:color w:val="2D2D2D"/>
          <w:sz w:val="22"/>
        </w:rPr>
      </w:r>
    </w:p>
    <w:p>
      <w:pPr>
        <w:pStyle w:val="ListBullet"/>
      </w:pPr>
      <w:r>
        <w:rPr>
          <w:rFonts w:ascii="Inter" w:hAnsi="Inter" w:cs="Inter"/>
          <w:b w:val="0"/>
          <w:i w:val="0"/>
          <w:color w:val="2D2D2D"/>
          <w:sz w:val="22"/>
        </w:rPr>
        <w:t>EO No. 001 (initial organization)</w:t>
      </w:r>
    </w:p>
    <w:p>
      <w:pPr>
        <w:pStyle w:val="ListBullet"/>
      </w:pPr>
      <w:r>
        <w:rPr>
          <w:rFonts w:ascii="Inter" w:hAnsi="Inter" w:cs="Inter"/>
          <w:b w:val="0"/>
          <w:i w:val="0"/>
          <w:color w:val="2D2D2D"/>
          <w:sz w:val="22"/>
        </w:rPr>
        <w:t>Any OCM Memorandum Circulars defining OOBC's operational scope and reporting requirements</w:t>
      </w:r>
    </w:p>
    <w:p>
      <w:pPr>
        <w:pStyle w:val="ListBullet"/>
      </w:pPr>
      <w:r>
        <w:rPr>
          <w:rFonts w:ascii="Inter" w:hAnsi="Inter" w:cs="Inter"/>
          <w:b w:val="0"/>
          <w:i w:val="0"/>
          <w:color w:val="2D2D2D"/>
          <w:sz w:val="22"/>
        </w:rPr>
        <w:t>BPDA MCs on planning requirements</w:t>
      </w:r>
    </w:p>
    <w:p>
      <w:pPr>
        <w:spacing w:after="120" w:line="276" w:lineRule="auto"/>
      </w:pPr>
      <w:r>
        <w:rPr>
          <w:rFonts w:ascii="Inter" w:hAnsi="Inter" w:cs="Inter"/>
          <w:b w:val="0"/>
          <w:i w:val="0"/>
          <w:color w:val="2D2D2D"/>
          <w:sz w:val="22"/>
        </w:rPr>
      </w:r>
      <w:r>
        <w:rPr>
          <w:rFonts w:ascii="Inter" w:hAnsi="Inter" w:cs="Inter"/>
          <w:b/>
          <w:i w:val="0"/>
          <w:color w:val="2D2D2D"/>
          <w:sz w:val="22"/>
        </w:rPr>
        <w:t>Tier 7 --- Jurisprudence:</w:t>
      </w:r>
      <w:r>
        <w:rPr>
          <w:rFonts w:ascii="Inter" w:hAnsi="Inter" w:cs="Inter"/>
          <w:b w:val="0"/>
          <w:i w:val="0"/>
          <w:color w:val="2D2D2D"/>
          <w:sz w:val="22"/>
        </w:rPr>
      </w:r>
    </w:p>
    <w:p>
      <w:pPr>
        <w:pStyle w:val="ListBullet"/>
      </w:pPr>
      <w:r>
        <w:rPr>
          <w:rFonts w:ascii="Inter" w:hAnsi="Inter" w:cs="Inter"/>
          <w:b w:val="0"/>
          <w:i w:val="0"/>
          <w:color w:val="2D2D2D"/>
          <w:sz w:val="22"/>
        </w:rPr>
        <w:t>Cases on the scope of BARMM's authority to extend services beyond its core territory</w:t>
      </w:r>
    </w:p>
    <w:p>
      <w:pPr>
        <w:pStyle w:val="ListBullet"/>
      </w:pPr>
      <w:r>
        <w:rPr>
          <w:rFonts w:ascii="Inter" w:hAnsi="Inter" w:cs="Inter"/>
          <w:b w:val="0"/>
          <w:i w:val="0"/>
          <w:color w:val="2D2D2D"/>
          <w:sz w:val="22"/>
        </w:rPr>
        <w:t>Cases on the rights of communities with ethnic or cultural ties to an autonomous region</w:t>
      </w:r>
    </w:p>
    <w:p>
      <w:pPr>
        <w:pStyle w:val="Heading3"/>
      </w:pPr>
      <w:r>
        <w:rPr>
          <w:rFonts w:ascii="Inter" w:hAnsi="Inter" w:cs="Inter"/>
          <w:b/>
          <w:i w:val="0"/>
          <w:color w:val="2C5F7C"/>
          <w:sz w:val="26"/>
        </w:rPr>
        <w:t>Step 3: Mapping to Planning Domains</w:t>
      </w:r>
    </w:p>
    <w:p>
      <w:pPr>
        <w:spacing w:after="120" w:line="276" w:lineRule="auto"/>
      </w:pPr>
      <w:r>
        <w:rPr>
          <w:rFonts w:ascii="Inter" w:hAnsi="Inter" w:cs="Inter"/>
          <w:b w:val="0"/>
          <w:i w:val="0"/>
          <w:color w:val="2D2D2D"/>
          <w:sz w:val="22"/>
        </w:rPr>
        <w:t>The Planning Officer maps key provisions to planning domains: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Provision</w:t>
            </w:r>
          </w:p>
        </w:tc>
        <w:tc>
          <w:tcPr>
            <w:tcW w:type="dxa" w:w="4680"/>
            <w:shd w:fill="1B365D"/>
          </w:tcPr>
          <w:p>
            <w:r/>
            <w:r>
              <w:rPr>
                <w:rFonts w:ascii="Inter" w:hAnsi="Inter" w:cs="Inter"/>
                <w:b/>
                <w:i w:val="0"/>
                <w:color w:val="FFFFFF"/>
                <w:sz w:val="19"/>
              </w:rPr>
              <w:t>Planning Domain</w:t>
            </w:r>
          </w:p>
        </w:tc>
      </w:tr>
      <w:tr>
        <w:tc>
          <w:tcPr>
            <w:tcW w:type="dxa" w:w="4680"/>
          </w:tcPr>
          <w:p>
            <w:r/>
            <w:r>
              <w:rPr>
                <w:rFonts w:ascii="Inter" w:hAnsi="Inter" w:cs="Inter"/>
                <w:b w:val="0"/>
                <w:i w:val="0"/>
                <w:color w:val="2D2D2D"/>
                <w:sz w:val="19"/>
              </w:rPr>
              <w:t>BOL Art. VI, Sec. 12 --- rights of other Bangsamoro communities outside BARMM</w:t>
            </w:r>
          </w:p>
        </w:tc>
        <w:tc>
          <w:tcPr>
            <w:tcW w:type="dxa" w:w="4680"/>
          </w:tcPr>
          <w:p>
            <w:r/>
            <w:r>
              <w:rPr>
                <w:rFonts w:ascii="Inter" w:hAnsi="Inter" w:cs="Inter"/>
                <w:b w:val="0"/>
                <w:i w:val="0"/>
                <w:color w:val="2D2D2D"/>
                <w:sz w:val="19"/>
              </w:rPr>
              <w:t>Community profiling and needs assessment</w:t>
            </w:r>
          </w:p>
        </w:tc>
      </w:tr>
      <w:tr>
        <w:tc>
          <w:tcPr>
            <w:tcW w:type="dxa" w:w="4680"/>
            <w:shd w:fill="F0F3F6"/>
          </w:tcPr>
          <w:p>
            <w:r/>
            <w:r>
              <w:rPr>
                <w:rFonts w:ascii="Inter" w:hAnsi="Inter" w:cs="Inter"/>
                <w:b w:val="0"/>
                <w:i w:val="0"/>
                <w:color w:val="2D2D2D"/>
                <w:sz w:val="19"/>
              </w:rPr>
              <w:t>BOL Art. VI, Sec. 12 --- take into consideration the rights of OBCs</w:t>
            </w:r>
          </w:p>
        </w:tc>
        <w:tc>
          <w:tcPr>
            <w:tcW w:type="dxa" w:w="4680"/>
            <w:shd w:fill="F0F3F6"/>
          </w:tcPr>
          <w:p>
            <w:r/>
            <w:r>
              <w:rPr>
                <w:rFonts w:ascii="Inter" w:hAnsi="Inter" w:cs="Inter"/>
                <w:b w:val="0"/>
                <w:i w:val="0"/>
                <w:color w:val="2D2D2D"/>
                <w:sz w:val="19"/>
              </w:rPr>
              <w:t>Coordination and linkages with LGUs and NGAs</w:t>
            </w:r>
          </w:p>
        </w:tc>
      </w:tr>
      <w:tr>
        <w:tc>
          <w:tcPr>
            <w:tcW w:type="dxa" w:w="4680"/>
          </w:tcPr>
          <w:p>
            <w:r/>
            <w:r>
              <w:rPr>
                <w:rFonts w:ascii="Inter" w:hAnsi="Inter" w:cs="Inter"/>
                <w:b w:val="0"/>
                <w:i w:val="0"/>
                <w:color w:val="2D2D2D"/>
                <w:sz w:val="19"/>
              </w:rPr>
              <w:t>BOL Art. V, Sec. 2(a) --- administrative organization</w:t>
            </w:r>
          </w:p>
        </w:tc>
        <w:tc>
          <w:tcPr>
            <w:tcW w:type="dxa" w:w="4680"/>
          </w:tcPr>
          <w:p>
            <w:r/>
            <w:r>
              <w:rPr>
                <w:rFonts w:ascii="Inter" w:hAnsi="Inter" w:cs="Inter"/>
                <w:b w:val="0"/>
                <w:i w:val="0"/>
                <w:color w:val="2D2D2D"/>
                <w:sz w:val="19"/>
              </w:rPr>
              <w:t>Institutional strengthening and capacity building</w:t>
            </w:r>
          </w:p>
        </w:tc>
      </w:tr>
      <w:tr>
        <w:tc>
          <w:tcPr>
            <w:tcW w:type="dxa" w:w="4680"/>
            <w:shd w:fill="F0F3F6"/>
          </w:tcPr>
          <w:p>
            <w:r/>
            <w:r>
              <w:rPr>
                <w:rFonts w:ascii="Inter" w:hAnsi="Inter" w:cs="Inter"/>
                <w:b w:val="0"/>
                <w:i w:val="0"/>
                <w:color w:val="2D2D2D"/>
                <w:sz w:val="19"/>
              </w:rPr>
              <w:t>BOL Art. V, Sec. 3 --- general welfare clause (implied powers)</w:t>
            </w:r>
          </w:p>
        </w:tc>
        <w:tc>
          <w:tcPr>
            <w:tcW w:type="dxa" w:w="4680"/>
            <w:shd w:fill="F0F3F6"/>
          </w:tcPr>
          <w:p>
            <w:r/>
            <w:r>
              <w:rPr>
                <w:rFonts w:ascii="Inter" w:hAnsi="Inter" w:cs="Inter"/>
                <w:b w:val="0"/>
                <w:i w:val="0"/>
                <w:color w:val="2D2D2D"/>
                <w:sz w:val="19"/>
              </w:rPr>
              <w:t>Policy advocacy and development programs for OBCs</w:t>
            </w:r>
          </w:p>
        </w:tc>
      </w:tr>
      <w:tr>
        <w:tc>
          <w:tcPr>
            <w:tcW w:type="dxa" w:w="4680"/>
          </w:tcPr>
          <w:p>
            <w:r/>
            <w:r>
              <w:rPr>
                <w:rFonts w:ascii="Inter" w:hAnsi="Inter" w:cs="Inter"/>
                <w:b w:val="0"/>
                <w:i w:val="0"/>
                <w:color w:val="2D2D2D"/>
                <w:sz w:val="19"/>
              </w:rPr>
              <w:t>BOL Art. IX, Sec. 1 --- basic rights of all Bangsamoro people</w:t>
            </w:r>
          </w:p>
        </w:tc>
        <w:tc>
          <w:tcPr>
            <w:tcW w:type="dxa" w:w="4680"/>
          </w:tcPr>
          <w:p>
            <w:r/>
            <w:r>
              <w:rPr>
                <w:rFonts w:ascii="Inter" w:hAnsi="Inter" w:cs="Inter"/>
                <w:b w:val="0"/>
                <w:i w:val="0"/>
                <w:color w:val="2D2D2D"/>
                <w:sz w:val="19"/>
              </w:rPr>
              <w:t>Service facilitation for vulnerable sectors (women, youth, PWDs, elders, orphans)</w:t>
            </w:r>
          </w:p>
        </w:tc>
      </w:tr>
      <w:tr>
        <w:tc>
          <w:tcPr>
            <w:tcW w:type="dxa" w:w="4680"/>
            <w:shd w:fill="F0F3F6"/>
          </w:tcPr>
          <w:p>
            <w:r/>
            <w:r>
              <w:rPr>
                <w:rFonts w:ascii="Inter" w:hAnsi="Inter" w:cs="Inter"/>
                <w:b w:val="0"/>
                <w:i w:val="0"/>
                <w:color w:val="2D2D2D"/>
                <w:sz w:val="19"/>
              </w:rPr>
              <w:t>RA 8371 (IPRA) --- indigenous peoples' rights</w:t>
            </w:r>
          </w:p>
        </w:tc>
        <w:tc>
          <w:tcPr>
            <w:tcW w:type="dxa" w:w="4680"/>
            <w:shd w:fill="F0F3F6"/>
          </w:tcPr>
          <w:p>
            <w:r/>
            <w:r>
              <w:rPr>
                <w:rFonts w:ascii="Inter" w:hAnsi="Inter" w:cs="Inter"/>
                <w:b w:val="0"/>
                <w:i w:val="0"/>
                <w:color w:val="2D2D2D"/>
                <w:sz w:val="19"/>
              </w:rPr>
              <w:t>Coordination with NCIP for Bangsamoro IP communities outside BARMM</w:t>
            </w:r>
          </w:p>
        </w:tc>
      </w:tr>
      <w:tr>
        <w:tc>
          <w:tcPr>
            <w:tcW w:type="dxa" w:w="4680"/>
          </w:tcPr>
          <w:p>
            <w:r/>
            <w:r>
              <w:rPr>
                <w:rFonts w:ascii="Inter" w:hAnsi="Inter" w:cs="Inter"/>
                <w:b w:val="0"/>
                <w:i w:val="0"/>
                <w:color w:val="2D2D2D"/>
                <w:sz w:val="19"/>
              </w:rPr>
              <w:t>RA 7160 (LGC) --- LGU coordination</w:t>
            </w:r>
          </w:p>
        </w:tc>
        <w:tc>
          <w:tcPr>
            <w:tcW w:type="dxa" w:w="4680"/>
          </w:tcPr>
          <w:p>
            <w:r/>
            <w:r>
              <w:rPr>
                <w:rFonts w:ascii="Inter" w:hAnsi="Inter" w:cs="Inter"/>
                <w:b w:val="0"/>
                <w:i w:val="0"/>
                <w:color w:val="2D2D2D"/>
                <w:sz w:val="19"/>
              </w:rPr>
              <w:t>Inter-governmental relations and LGU partnerships</w:t>
            </w:r>
          </w:p>
        </w:tc>
      </w:tr>
      <w:tr>
        <w:tc>
          <w:tcPr>
            <w:tcW w:type="dxa" w:w="4680"/>
            <w:shd w:fill="F0F3F6"/>
          </w:tcPr>
          <w:p>
            <w:r/>
            <w:r>
              <w:rPr>
                <w:rFonts w:ascii="Inter" w:hAnsi="Inter" w:cs="Inter"/>
                <w:b w:val="0"/>
                <w:i w:val="0"/>
                <w:color w:val="2D2D2D"/>
                <w:sz w:val="19"/>
              </w:rPr>
              <w:t>BAA No. 84 (BBSA)</w:t>
            </w:r>
          </w:p>
        </w:tc>
        <w:tc>
          <w:tcPr>
            <w:tcW w:type="dxa" w:w="4680"/>
            <w:shd w:fill="F0F3F6"/>
          </w:tcPr>
          <w:p>
            <w:r/>
            <w:r>
              <w:rPr>
                <w:rFonts w:ascii="Inter" w:hAnsi="Inter" w:cs="Inter"/>
                <w:b w:val="0"/>
                <w:i w:val="0"/>
                <w:color w:val="2D2D2D"/>
                <w:sz w:val="19"/>
              </w:rPr>
              <w:t>Budget preparation and management</w:t>
            </w:r>
          </w:p>
        </w:tc>
      </w:tr>
    </w:tbl>
    <w:p/>
    <w:p>
      <w:pPr>
        <w:pStyle w:val="Heading3"/>
      </w:pPr>
      <w:r>
        <w:rPr>
          <w:rFonts w:ascii="Inter" w:hAnsi="Inter" w:cs="Inter"/>
          <w:b/>
          <w:i w:val="0"/>
          <w:color w:val="2C5F7C"/>
          <w:sz w:val="26"/>
        </w:rPr>
        <w:t>Step 4: Identifying Gaps</w:t>
      </w:r>
    </w:p>
    <w:p>
      <w:pPr>
        <w:spacing w:after="120" w:line="276" w:lineRule="auto"/>
      </w:pPr>
      <w:r>
        <w:rPr>
          <w:rFonts w:ascii="Inter" w:hAnsi="Inter" w:cs="Inter"/>
          <w:b w:val="0"/>
          <w:i w:val="0"/>
          <w:color w:val="2D2D2D"/>
          <w:sz w:val="22"/>
        </w:rPr>
        <w:t>The Planning Officer identifies the following gaps:</w:t>
      </w:r>
    </w:p>
    <w:p>
      <w:pPr>
        <w:spacing w:after="120" w:line="276" w:lineRule="auto"/>
      </w:pPr>
      <w:r>
        <w:rPr>
          <w:rFonts w:ascii="Inter" w:hAnsi="Inter" w:cs="Inter"/>
          <w:b w:val="0"/>
          <w:i w:val="0"/>
          <w:color w:val="2D2D2D"/>
          <w:sz w:val="22"/>
        </w:rPr>
      </w:r>
      <w:r>
        <w:rPr>
          <w:rFonts w:ascii="Inter" w:hAnsi="Inter" w:cs="Inter"/>
          <w:b/>
          <w:i w:val="0"/>
          <w:color w:val="2D2D2D"/>
          <w:sz w:val="22"/>
        </w:rPr>
        <w:t>Gap Type A (function without clear legal basis):</w:t>
      </w:r>
      <w:r>
        <w:rPr>
          <w:rFonts w:ascii="Inter" w:hAnsi="Inter" w:cs="Inter"/>
          <w:b w:val="0"/>
          <w:i w:val="0"/>
          <w:color w:val="2D2D2D"/>
          <w:sz w:val="22"/>
        </w:rPr>
      </w:r>
    </w:p>
    <w:p>
      <w:pPr>
        <w:pStyle w:val="ListBullet"/>
      </w:pPr>
      <w:r>
        <w:rPr>
          <w:rFonts w:ascii="Inter" w:hAnsi="Inter" w:cs="Inter"/>
          <w:b w:val="0"/>
          <w:i w:val="0"/>
          <w:color w:val="2D2D2D"/>
          <w:sz w:val="22"/>
        </w:rPr>
        <w:t>OOBC currently conducts advocacy and information campaigns in Bangsamoro communities outside the core territory. While these are consistent with the general welfare clause (BOL Art. V, Sec. 3) and with the directive to "take into consideration the rights of other Bangsamoro communities" (Art. VI, Sec. 12), no specific provision expressly mandates information campaigns. *Recommendation:* Document this as an implied power derived from the mandate under Article VI, Section 12, and the general welfare clause. Consider requesting the Executive Director to propose an Administrative Order from the OCM formalizing the advocacy function.</w:t>
      </w:r>
    </w:p>
    <w:p>
      <w:pPr>
        <w:spacing w:after="120" w:line="276" w:lineRule="auto"/>
      </w:pPr>
      <w:r>
        <w:rPr>
          <w:rFonts w:ascii="Inter" w:hAnsi="Inter" w:cs="Inter"/>
          <w:b w:val="0"/>
          <w:i w:val="0"/>
          <w:color w:val="2D2D2D"/>
          <w:sz w:val="22"/>
        </w:rPr>
      </w:r>
      <w:r>
        <w:rPr>
          <w:rFonts w:ascii="Inter" w:hAnsi="Inter" w:cs="Inter"/>
          <w:b/>
          <w:i w:val="0"/>
          <w:color w:val="2D2D2D"/>
          <w:sz w:val="22"/>
        </w:rPr>
        <w:t>Gap Type B (mandate without corresponding plan):</w:t>
      </w:r>
      <w:r>
        <w:rPr>
          <w:rFonts w:ascii="Inter" w:hAnsi="Inter" w:cs="Inter"/>
          <w:b w:val="0"/>
          <w:i w:val="0"/>
          <w:color w:val="2D2D2D"/>
          <w:sz w:val="22"/>
        </w:rPr>
      </w:r>
    </w:p>
    <w:p>
      <w:pPr>
        <w:pStyle w:val="ListBullet"/>
      </w:pPr>
      <w:r>
        <w:rPr>
          <w:rFonts w:ascii="Inter" w:hAnsi="Inter" w:cs="Inter"/>
          <w:b w:val="0"/>
          <w:i w:val="0"/>
          <w:color w:val="2D2D2D"/>
          <w:sz w:val="22"/>
        </w:rPr>
        <w:t>BOL Article VI, Section 12 directs the Bangsamoro Government to consider the rights of all Bangsamoro communities outside the core territory, yet the current strategic plan does not include a comprehensive data and monitoring system for tracking the population, locations, and service needs of these dispersed communities across the Philippines. *Recommendation:* Add a community data and M&amp;E system to the next planning cycle, beginning with a baseline census of Bangsamoro communities outside BARMM in coordination with MPID and LGUs.</w:t>
      </w:r>
    </w:p>
    <w:p>
      <w:pPr>
        <w:pStyle w:val="Heading3"/>
      </w:pPr>
      <w:r>
        <w:rPr>
          <w:rFonts w:ascii="Inter" w:hAnsi="Inter" w:cs="Inter"/>
          <w:b/>
          <w:i w:val="0"/>
          <w:color w:val="2C5F7C"/>
          <w:sz w:val="26"/>
        </w:rPr>
        <w:t>Partial Legal Mandate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Legal Source</w:t>
            </w:r>
          </w:p>
        </w:tc>
        <w:tc>
          <w:tcPr>
            <w:tcW w:type="dxa" w:w="1560"/>
            <w:shd w:fill="1B365D"/>
          </w:tcPr>
          <w:p>
            <w:r/>
            <w:r>
              <w:rPr>
                <w:rFonts w:ascii="Inter" w:hAnsi="Inter" w:cs="Inter"/>
                <w:b/>
                <w:i w:val="0"/>
                <w:color w:val="FFFFFF"/>
                <w:sz w:val="19"/>
              </w:rPr>
              <w:t>Tier</w:t>
            </w:r>
          </w:p>
        </w:tc>
        <w:tc>
          <w:tcPr>
            <w:tcW w:type="dxa" w:w="1560"/>
            <w:shd w:fill="1B365D"/>
          </w:tcPr>
          <w:p>
            <w:r/>
            <w:r>
              <w:rPr>
                <w:rFonts w:ascii="Inter" w:hAnsi="Inter" w:cs="Inter"/>
                <w:b/>
                <w:i w:val="0"/>
                <w:color w:val="FFFFFF"/>
                <w:sz w:val="19"/>
              </w:rPr>
              <w:t>Provision</w:t>
            </w:r>
          </w:p>
        </w:tc>
        <w:tc>
          <w:tcPr>
            <w:tcW w:type="dxa" w:w="1560"/>
            <w:shd w:fill="1B365D"/>
          </w:tcPr>
          <w:p>
            <w:r/>
            <w:r>
              <w:rPr>
                <w:rFonts w:ascii="Inter" w:hAnsi="Inter" w:cs="Inter"/>
                <w:b/>
                <w:i w:val="0"/>
                <w:color w:val="FFFFFF"/>
                <w:sz w:val="19"/>
              </w:rPr>
              <w:t>Mandate/Authority</w:t>
            </w:r>
          </w:p>
        </w:tc>
        <w:tc>
          <w:tcPr>
            <w:tcW w:type="dxa" w:w="1560"/>
            <w:shd w:fill="1B365D"/>
          </w:tcPr>
          <w:p>
            <w:r/>
            <w:r>
              <w:rPr>
                <w:rFonts w:ascii="Inter" w:hAnsi="Inter" w:cs="Inter"/>
                <w:b/>
                <w:i w:val="0"/>
                <w:color w:val="FFFFFF"/>
                <w:sz w:val="19"/>
              </w:rPr>
              <w:t>Planning Domain</w:t>
            </w:r>
          </w:p>
        </w:tc>
        <w:tc>
          <w:tcPr>
            <w:tcW w:type="dxa" w:w="1560"/>
            <w:shd w:fill="1B365D"/>
          </w:tcPr>
          <w:p>
            <w:r/>
            <w:r>
              <w:rPr>
                <w:rFonts w:ascii="Inter" w:hAnsi="Inter" w:cs="Inter"/>
                <w:b/>
                <w:i w:val="0"/>
                <w:color w:val="FFFFFF"/>
                <w:sz w:val="19"/>
              </w:rPr>
              <w:t>Status</w:t>
            </w:r>
          </w:p>
        </w:tc>
      </w:tr>
      <w:tr>
        <w:tc>
          <w:tcPr>
            <w:tcW w:type="dxa" w:w="1560"/>
          </w:tcPr>
          <w:p>
            <w:r/>
            <w:r>
              <w:rPr>
                <w:rFonts w:ascii="Inter" w:hAnsi="Inter" w:cs="Inter"/>
                <w:b w:val="0"/>
                <w:i w:val="0"/>
                <w:color w:val="2D2D2D"/>
                <w:sz w:val="19"/>
              </w:rPr>
              <w:t>RA 11054 (BOL)</w:t>
            </w:r>
          </w:p>
        </w:tc>
        <w:tc>
          <w:tcPr>
            <w:tcW w:type="dxa" w:w="1560"/>
          </w:tcPr>
          <w:p>
            <w:r/>
            <w:r>
              <w:rPr>
                <w:rFonts w:ascii="Inter" w:hAnsi="Inter" w:cs="Inter"/>
                <w:b w:val="0"/>
                <w:i w:val="0"/>
                <w:color w:val="2D2D2D"/>
                <w:sz w:val="19"/>
              </w:rPr>
              <w:t>2</w:t>
            </w:r>
          </w:p>
        </w:tc>
        <w:tc>
          <w:tcPr>
            <w:tcW w:type="dxa" w:w="1560"/>
          </w:tcPr>
          <w:p>
            <w:r/>
            <w:r>
              <w:rPr>
                <w:rFonts w:ascii="Inter" w:hAnsi="Inter" w:cs="Inter"/>
                <w:b w:val="0"/>
                <w:i w:val="0"/>
                <w:color w:val="2D2D2D"/>
                <w:sz w:val="19"/>
              </w:rPr>
              <w:t>Art. VI, Sec. 12</w:t>
            </w:r>
          </w:p>
        </w:tc>
        <w:tc>
          <w:tcPr>
            <w:tcW w:type="dxa" w:w="1560"/>
          </w:tcPr>
          <w:p>
            <w:r/>
            <w:r>
              <w:rPr>
                <w:rFonts w:ascii="Inter" w:hAnsi="Inter" w:cs="Inter"/>
                <w:b w:val="0"/>
                <w:i w:val="0"/>
                <w:color w:val="2D2D2D"/>
                <w:sz w:val="19"/>
              </w:rPr>
              <w:t>Take into consideration the rights of other Bangsamoro communities residing outside the Bangsamoro Autonomous Region</w:t>
            </w:r>
          </w:p>
        </w:tc>
        <w:tc>
          <w:tcPr>
            <w:tcW w:type="dxa" w:w="1560"/>
          </w:tcPr>
          <w:p>
            <w:r/>
            <w:r>
              <w:rPr>
                <w:rFonts w:ascii="Inter" w:hAnsi="Inter" w:cs="Inter"/>
                <w:b w:val="0"/>
                <w:i w:val="0"/>
                <w:color w:val="2D2D2D"/>
                <w:sz w:val="19"/>
              </w:rPr>
              <w:t>Community profiling and needs assessment; Coordination and linkages</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RA 11054 (BOL)</w:t>
            </w:r>
          </w:p>
        </w:tc>
        <w:tc>
          <w:tcPr>
            <w:tcW w:type="dxa" w:w="1560"/>
            <w:shd w:fill="F0F3F6"/>
          </w:tcPr>
          <w:p>
            <w:r/>
            <w:r>
              <w:rPr>
                <w:rFonts w:ascii="Inter" w:hAnsi="Inter" w:cs="Inter"/>
                <w:b w:val="0"/>
                <w:i w:val="0"/>
                <w:color w:val="2D2D2D"/>
                <w:sz w:val="19"/>
              </w:rPr>
              <w:t>2</w:t>
            </w:r>
          </w:p>
        </w:tc>
        <w:tc>
          <w:tcPr>
            <w:tcW w:type="dxa" w:w="1560"/>
            <w:shd w:fill="F0F3F6"/>
          </w:tcPr>
          <w:p>
            <w:r/>
            <w:r>
              <w:rPr>
                <w:rFonts w:ascii="Inter" w:hAnsi="Inter" w:cs="Inter"/>
                <w:b w:val="0"/>
                <w:i w:val="0"/>
                <w:color w:val="2D2D2D"/>
                <w:sz w:val="19"/>
              </w:rPr>
              <w:t>Art. V, Sec. 2(a)</w:t>
            </w:r>
          </w:p>
        </w:tc>
        <w:tc>
          <w:tcPr>
            <w:tcW w:type="dxa" w:w="1560"/>
            <w:shd w:fill="F0F3F6"/>
          </w:tcPr>
          <w:p>
            <w:r/>
            <w:r>
              <w:rPr>
                <w:rFonts w:ascii="Inter" w:hAnsi="Inter" w:cs="Inter"/>
                <w:b w:val="0"/>
                <w:i w:val="0"/>
                <w:color w:val="2D2D2D"/>
                <w:sz w:val="19"/>
              </w:rPr>
              <w:t>Administrative organization</w:t>
            </w:r>
          </w:p>
        </w:tc>
        <w:tc>
          <w:tcPr>
            <w:tcW w:type="dxa" w:w="1560"/>
            <w:shd w:fill="F0F3F6"/>
          </w:tcPr>
          <w:p>
            <w:r/>
            <w:r>
              <w:rPr>
                <w:rFonts w:ascii="Inter" w:hAnsi="Inter" w:cs="Inter"/>
                <w:b w:val="0"/>
                <w:i w:val="0"/>
                <w:color w:val="2D2D2D"/>
                <w:sz w:val="19"/>
              </w:rPr>
              <w:t>Institutional strengthening and capacity building</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RA 11054 (BOL)</w:t>
            </w:r>
          </w:p>
        </w:tc>
        <w:tc>
          <w:tcPr>
            <w:tcW w:type="dxa" w:w="1560"/>
          </w:tcPr>
          <w:p>
            <w:r/>
            <w:r>
              <w:rPr>
                <w:rFonts w:ascii="Inter" w:hAnsi="Inter" w:cs="Inter"/>
                <w:b w:val="0"/>
                <w:i w:val="0"/>
                <w:color w:val="2D2D2D"/>
                <w:sz w:val="19"/>
              </w:rPr>
              <w:t>2</w:t>
            </w:r>
          </w:p>
        </w:tc>
        <w:tc>
          <w:tcPr>
            <w:tcW w:type="dxa" w:w="1560"/>
          </w:tcPr>
          <w:p>
            <w:r/>
            <w:r>
              <w:rPr>
                <w:rFonts w:ascii="Inter" w:hAnsi="Inter" w:cs="Inter"/>
                <w:b w:val="0"/>
                <w:i w:val="0"/>
                <w:color w:val="2D2D2D"/>
                <w:sz w:val="19"/>
              </w:rPr>
              <w:t>Art. V, Sec. 3</w:t>
            </w:r>
          </w:p>
        </w:tc>
        <w:tc>
          <w:tcPr>
            <w:tcW w:type="dxa" w:w="1560"/>
          </w:tcPr>
          <w:p>
            <w:r/>
            <w:r>
              <w:rPr>
                <w:rFonts w:ascii="Inter" w:hAnsi="Inter" w:cs="Inter"/>
                <w:b w:val="0"/>
                <w:i w:val="0"/>
                <w:color w:val="2D2D2D"/>
                <w:sz w:val="19"/>
              </w:rPr>
              <w:t>General welfare clause --- implied powers for advocacy, information campaigns, and service facilitation</w:t>
            </w:r>
          </w:p>
        </w:tc>
        <w:tc>
          <w:tcPr>
            <w:tcW w:type="dxa" w:w="1560"/>
          </w:tcPr>
          <w:p>
            <w:r/>
            <w:r>
              <w:rPr>
                <w:rFonts w:ascii="Inter" w:hAnsi="Inter" w:cs="Inter"/>
                <w:b w:val="0"/>
                <w:i w:val="0"/>
                <w:color w:val="2D2D2D"/>
                <w:sz w:val="19"/>
              </w:rPr>
              <w:t>Policy advocacy and development programs; Service facilitation for vulnerable sectors</w:t>
            </w:r>
          </w:p>
        </w:tc>
        <w:tc>
          <w:tcPr>
            <w:tcW w:type="dxa" w:w="1560"/>
          </w:tcPr>
          <w:p>
            <w:r/>
            <w:r>
              <w:rPr>
                <w:rFonts w:ascii="Inter" w:hAnsi="Inter" w:cs="Inter"/>
                <w:b w:val="0"/>
                <w:i w:val="0"/>
                <w:color w:val="2D2D2D"/>
                <w:sz w:val="19"/>
              </w:rPr>
              <w:t>Active --- documented as implied power</w:t>
            </w:r>
          </w:p>
        </w:tc>
      </w:tr>
      <w:tr>
        <w:tc>
          <w:tcPr>
            <w:tcW w:type="dxa" w:w="1560"/>
            <w:shd w:fill="F0F3F6"/>
          </w:tcPr>
          <w:p>
            <w:r/>
            <w:r>
              <w:rPr>
                <w:rFonts w:ascii="Inter" w:hAnsi="Inter" w:cs="Inter"/>
                <w:b w:val="0"/>
                <w:i w:val="0"/>
                <w:color w:val="2D2D2D"/>
                <w:sz w:val="19"/>
              </w:rPr>
              <w:t>RA 11054 (BOL)</w:t>
            </w:r>
          </w:p>
        </w:tc>
        <w:tc>
          <w:tcPr>
            <w:tcW w:type="dxa" w:w="1560"/>
            <w:shd w:fill="F0F3F6"/>
          </w:tcPr>
          <w:p>
            <w:r/>
            <w:r>
              <w:rPr>
                <w:rFonts w:ascii="Inter" w:hAnsi="Inter" w:cs="Inter"/>
                <w:b w:val="0"/>
                <w:i w:val="0"/>
                <w:color w:val="2D2D2D"/>
                <w:sz w:val="19"/>
              </w:rPr>
              <w:t>2</w:t>
            </w:r>
          </w:p>
        </w:tc>
        <w:tc>
          <w:tcPr>
            <w:tcW w:type="dxa" w:w="1560"/>
            <w:shd w:fill="F0F3F6"/>
          </w:tcPr>
          <w:p>
            <w:r/>
            <w:r>
              <w:rPr>
                <w:rFonts w:ascii="Inter" w:hAnsi="Inter" w:cs="Inter"/>
                <w:b w:val="0"/>
                <w:i w:val="0"/>
                <w:color w:val="2D2D2D"/>
                <w:sz w:val="19"/>
              </w:rPr>
              <w:t>Art. IX, Sec. 1</w:t>
            </w:r>
          </w:p>
        </w:tc>
        <w:tc>
          <w:tcPr>
            <w:tcW w:type="dxa" w:w="1560"/>
            <w:shd w:fill="F0F3F6"/>
          </w:tcPr>
          <w:p>
            <w:r/>
            <w:r>
              <w:rPr>
                <w:rFonts w:ascii="Inter" w:hAnsi="Inter" w:cs="Inter"/>
                <w:b w:val="0"/>
                <w:i w:val="0"/>
                <w:color w:val="2D2D2D"/>
                <w:sz w:val="19"/>
              </w:rPr>
              <w:t>Basic rights of all Bangsamoro people</w:t>
            </w:r>
          </w:p>
        </w:tc>
        <w:tc>
          <w:tcPr>
            <w:tcW w:type="dxa" w:w="1560"/>
            <w:shd w:fill="F0F3F6"/>
          </w:tcPr>
          <w:p>
            <w:r/>
            <w:r>
              <w:rPr>
                <w:rFonts w:ascii="Inter" w:hAnsi="Inter" w:cs="Inter"/>
                <w:b w:val="0"/>
                <w:i w:val="0"/>
                <w:color w:val="2D2D2D"/>
                <w:sz w:val="19"/>
              </w:rPr>
              <w:t>Service facilitation for vulnerable sectors (women, youth, PWDs, elders, orphans)</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BAA No. 13</w:t>
            </w:r>
          </w:p>
        </w:tc>
        <w:tc>
          <w:tcPr>
            <w:tcW w:type="dxa" w:w="1560"/>
          </w:tcPr>
          <w:p>
            <w:r/>
            <w:r>
              <w:rPr>
                <w:rFonts w:ascii="Inter" w:hAnsi="Inter" w:cs="Inter"/>
                <w:b w:val="0"/>
                <w:i w:val="0"/>
                <w:color w:val="2D2D2D"/>
                <w:sz w:val="19"/>
              </w:rPr>
              <w:t>3</w:t>
            </w:r>
          </w:p>
        </w:tc>
        <w:tc>
          <w:tcPr>
            <w:tcW w:type="dxa" w:w="1560"/>
          </w:tcPr>
          <w:p>
            <w:r/>
            <w:r>
              <w:rPr>
                <w:rFonts w:ascii="Inter" w:hAnsi="Inter" w:cs="Inter"/>
                <w:b w:val="0"/>
                <w:i w:val="0"/>
                <w:color w:val="2D2D2D"/>
                <w:sz w:val="19"/>
              </w:rPr>
              <w:t>Book IV (OCM)</w:t>
            </w:r>
          </w:p>
        </w:tc>
        <w:tc>
          <w:tcPr>
            <w:tcW w:type="dxa" w:w="1560"/>
          </w:tcPr>
          <w:p>
            <w:r/>
            <w:r>
              <w:rPr>
                <w:rFonts w:ascii="Inter" w:hAnsi="Inter" w:cs="Inter"/>
                <w:b w:val="0"/>
                <w:i w:val="0"/>
                <w:color w:val="2D2D2D"/>
                <w:sz w:val="19"/>
              </w:rPr>
              <w:t>Establishment of OOBC as an attached office under the Office of the Chief Minister</w:t>
            </w:r>
          </w:p>
        </w:tc>
        <w:tc>
          <w:tcPr>
            <w:tcW w:type="dxa" w:w="1560"/>
          </w:tcPr>
          <w:p>
            <w:r/>
            <w:r>
              <w:rPr>
                <w:rFonts w:ascii="Inter" w:hAnsi="Inter" w:cs="Inter"/>
                <w:b w:val="0"/>
                <w:i w:val="0"/>
                <w:color w:val="2D2D2D"/>
                <w:sz w:val="19"/>
              </w:rPr>
              <w:t>Organizational mandate</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RA 8371</w:t>
            </w:r>
          </w:p>
        </w:tc>
        <w:tc>
          <w:tcPr>
            <w:tcW w:type="dxa" w:w="1560"/>
            <w:shd w:fill="F0F3F6"/>
          </w:tcPr>
          <w:p>
            <w:r/>
            <w:r>
              <w:rPr>
                <w:rFonts w:ascii="Inter" w:hAnsi="Inter" w:cs="Inter"/>
                <w:b w:val="0"/>
                <w:i w:val="0"/>
                <w:color w:val="2D2D2D"/>
                <w:sz w:val="19"/>
              </w:rPr>
              <w:t>5</w:t>
            </w:r>
          </w:p>
        </w:tc>
        <w:tc>
          <w:tcPr>
            <w:tcW w:type="dxa" w:w="1560"/>
            <w:shd w:fill="F0F3F6"/>
          </w:tcPr>
          <w:p>
            <w:r/>
            <w:r>
              <w:rPr>
                <w:rFonts w:ascii="Inter" w:hAnsi="Inter" w:cs="Inter"/>
                <w:b w:val="0"/>
                <w:i w:val="0"/>
                <w:color w:val="2D2D2D"/>
                <w:sz w:val="19"/>
              </w:rPr>
              <w:t>Indigenous Peoples' Rights Act</w:t>
            </w:r>
          </w:p>
        </w:tc>
        <w:tc>
          <w:tcPr>
            <w:tcW w:type="dxa" w:w="1560"/>
            <w:shd w:fill="F0F3F6"/>
          </w:tcPr>
          <w:p>
            <w:r/>
            <w:r>
              <w:rPr>
                <w:rFonts w:ascii="Inter" w:hAnsi="Inter" w:cs="Inter"/>
                <w:b w:val="0"/>
                <w:i w:val="0"/>
                <w:color w:val="2D2D2D"/>
                <w:sz w:val="19"/>
              </w:rPr>
              <w:t>Protection of IP rights --- applicable to Bangsamoro IP communities in areas under NCIP jurisdiction</w:t>
            </w:r>
          </w:p>
        </w:tc>
        <w:tc>
          <w:tcPr>
            <w:tcW w:type="dxa" w:w="1560"/>
            <w:shd w:fill="F0F3F6"/>
          </w:tcPr>
          <w:p>
            <w:r/>
            <w:r>
              <w:rPr>
                <w:rFonts w:ascii="Inter" w:hAnsi="Inter" w:cs="Inter"/>
                <w:b w:val="0"/>
                <w:i w:val="0"/>
                <w:color w:val="2D2D2D"/>
                <w:sz w:val="19"/>
              </w:rPr>
              <w:t>Coordination with NCIP for Bangsamoro IP communities</w:t>
            </w:r>
          </w:p>
        </w:tc>
        <w:tc>
          <w:tcPr>
            <w:tcW w:type="dxa" w:w="1560"/>
            <w:shd w:fill="F0F3F6"/>
          </w:tcPr>
          <w:p>
            <w:r/>
            <w:r>
              <w:rPr>
                <w:rFonts w:ascii="Inter" w:hAnsi="Inter" w:cs="Inter"/>
                <w:b w:val="0"/>
                <w:i w:val="0"/>
                <w:color w:val="2D2D2D"/>
                <w:sz w:val="19"/>
              </w:rPr>
              <w:t>Active --- national law, suppletory</w:t>
            </w:r>
          </w:p>
        </w:tc>
      </w:tr>
      <w:tr>
        <w:tc>
          <w:tcPr>
            <w:tcW w:type="dxa" w:w="1560"/>
          </w:tcPr>
          <w:p>
            <w:r/>
            <w:r>
              <w:rPr>
                <w:rFonts w:ascii="Inter" w:hAnsi="Inter" w:cs="Inter"/>
                <w:b w:val="0"/>
                <w:i w:val="0"/>
                <w:color w:val="2D2D2D"/>
                <w:sz w:val="19"/>
              </w:rPr>
              <w:t>BAA No. 84</w:t>
            </w:r>
          </w:p>
        </w:tc>
        <w:tc>
          <w:tcPr>
            <w:tcW w:type="dxa" w:w="1560"/>
          </w:tcPr>
          <w:p>
            <w:r/>
            <w:r>
              <w:rPr>
                <w:rFonts w:ascii="Inter" w:hAnsi="Inter" w:cs="Inter"/>
                <w:b w:val="0"/>
                <w:i w:val="0"/>
                <w:color w:val="2D2D2D"/>
                <w:sz w:val="19"/>
              </w:rPr>
              <w:t>4</w:t>
            </w:r>
          </w:p>
        </w:tc>
        <w:tc>
          <w:tcPr>
            <w:tcW w:type="dxa" w:w="1560"/>
          </w:tcPr>
          <w:p>
            <w:r/>
            <w:r>
              <w:rPr>
                <w:rFonts w:ascii="Inter" w:hAnsi="Inter" w:cs="Inter"/>
                <w:b w:val="0"/>
                <w:i w:val="0"/>
                <w:color w:val="2D2D2D"/>
                <w:sz w:val="19"/>
              </w:rPr>
              <w:t>Bangsamoro Budget System Act</w:t>
            </w:r>
          </w:p>
        </w:tc>
        <w:tc>
          <w:tcPr>
            <w:tcW w:type="dxa" w:w="1560"/>
          </w:tcPr>
          <w:p>
            <w:r/>
            <w:r>
              <w:rPr>
                <w:rFonts w:ascii="Inter" w:hAnsi="Inter" w:cs="Inter"/>
                <w:b w:val="0"/>
                <w:i w:val="0"/>
                <w:color w:val="2D2D2D"/>
                <w:sz w:val="19"/>
              </w:rPr>
              <w:t>Budget preparation, execution, accountability</w:t>
            </w:r>
          </w:p>
        </w:tc>
        <w:tc>
          <w:tcPr>
            <w:tcW w:type="dxa" w:w="1560"/>
          </w:tcPr>
          <w:p>
            <w:r/>
            <w:r>
              <w:rPr>
                <w:rFonts w:ascii="Inter" w:hAnsi="Inter" w:cs="Inter"/>
                <w:b w:val="0"/>
                <w:i w:val="0"/>
                <w:color w:val="2D2D2D"/>
                <w:sz w:val="19"/>
              </w:rPr>
              <w:t>Budget preparation and management</w:t>
            </w:r>
          </w:p>
        </w:tc>
        <w:tc>
          <w:tcPr>
            <w:tcW w:type="dxa" w:w="1560"/>
          </w:tcPr>
          <w:p>
            <w:r/>
            <w:r>
              <w:rPr>
                <w:rFonts w:ascii="Inter" w:hAnsi="Inter" w:cs="Inter"/>
                <w:b w:val="0"/>
                <w:i w:val="0"/>
                <w:color w:val="2D2D2D"/>
                <w:sz w:val="19"/>
              </w:rPr>
              <w:t>Active</w:t>
            </w:r>
          </w:p>
        </w:tc>
      </w:tr>
    </w:tbl>
    <w:p/>
    <w:p>
      <w:pPr>
        <w:spacing w:after="120" w:line="276" w:lineRule="auto"/>
      </w:pPr>
      <w:r>
        <w:rPr>
          <w:rFonts w:ascii="Inter" w:hAnsi="Inter" w:cs="Inter"/>
          <w:b w:val="0"/>
          <w:i w:val="0"/>
          <w:color w:val="2D2D2D"/>
          <w:sz w:val="22"/>
        </w:rPr>
        <w:t>This partial matrix illustrates the format. A complete matrix for OOBC would include all provisions identified in Step 2, mapped to every planning domain the office intends to address.</w:t>
      </w:r>
    </w:p>
    <w:p>
      <w:pPr>
        <w:pStyle w:val="Heading2"/>
      </w:pPr>
      <w:r>
        <w:rPr>
          <w:rFonts w:ascii="Inter" w:hAnsi="Inter" w:cs="Inter"/>
          <w:b/>
          <w:i w:val="0"/>
          <w:color w:val="1B365D"/>
          <w:sz w:val="32"/>
        </w:rPr>
        <w:t>2.5 For Decision-Makers</w:t>
      </w:r>
    </w:p>
    <w:p>
      <w:pPr>
        <w:spacing w:after="120" w:line="276" w:lineRule="auto"/>
        <w:ind w:left="850"/>
      </w:pPr>
      <w:r>
        <w:rPr>
          <w:rFonts w:ascii="Inter" w:hAnsi="Inter" w:cs="Inter"/>
          <w:b w:val="0"/>
          <w:i/>
          <w:color w:val="2D2D2D"/>
          <w:sz w:val="22"/>
        </w:rPr>
      </w:r>
      <w:r>
        <w:rPr>
          <w:rFonts w:ascii="Inter" w:hAnsi="Inter" w:cs="Inter"/>
          <w:b/>
          <w:i w:val="0"/>
          <w:color w:val="2D2D2D"/>
          <w:sz w:val="22"/>
        </w:rPr>
        <w:t>Minister / Executive Director Review</w:t>
      </w:r>
      <w:r>
        <w:rPr>
          <w:rFonts w:ascii="Inter" w:hAnsi="Inter" w:cs="Inter"/>
          <w:b w:val="0"/>
          <w:i/>
          <w:color w:val="2D2D2D"/>
          <w:sz w:val="22"/>
        </w:rPr>
        <w:t xml:space="preserve"> Before the Legal Mandate Matrix is finalized, the Minister or Executive Director must review it and confirm three things: </w:t>
      </w:r>
      <w:r>
        <w:rPr>
          <w:rFonts w:ascii="Inter" w:hAnsi="Inter" w:cs="Inter"/>
          <w:b/>
          <w:i w:val="0"/>
          <w:color w:val="2D2D2D"/>
          <w:sz w:val="22"/>
        </w:rPr>
        <w:t>(a) No unauthorized functions are being planned.</w:t>
      </w:r>
      <w:r>
        <w:rPr>
          <w:rFonts w:ascii="Inter" w:hAnsi="Inter" w:cs="Inter"/>
          <w:b w:val="0"/>
          <w:i/>
          <w:color w:val="2D2D2D"/>
          <w:sz w:val="22"/>
        </w:rPr>
        <w:t xml:space="preserve"> Every planning domain in the matrix must have at least one legal basis. If a program or activity cannot be traced to a legal provision, it must either be removed from the plan, justified under the general welfare clause with documented reasoning, or flagged for legislative action. </w:t>
      </w:r>
      <w:r>
        <w:rPr>
          <w:rFonts w:ascii="Inter" w:hAnsi="Inter" w:cs="Inter"/>
          <w:b/>
          <w:i w:val="0"/>
          <w:color w:val="2D2D2D"/>
          <w:sz w:val="22"/>
        </w:rPr>
        <w:t>(b) No mandated functions are missing from the plan.</w:t>
      </w:r>
      <w:r>
        <w:rPr>
          <w:rFonts w:ascii="Inter" w:hAnsi="Inter" w:cs="Inter"/>
          <w:b w:val="0"/>
          <w:i/>
          <w:color w:val="2D2D2D"/>
          <w:sz w:val="22"/>
        </w:rPr>
        <w:t xml:space="preserve"> If a law requires your MOA to perform a function and that function does not appear in your strategic plan, your MOA is not fulfilling its legal obligations. This is a compliance risk that must be addressed in the current planning cycle. </w:t>
      </w:r>
      <w:r>
        <w:rPr>
          <w:rFonts w:ascii="Inter" w:hAnsi="Inter" w:cs="Inter"/>
          <w:b/>
          <w:i w:val="0"/>
          <w:color w:val="2D2D2D"/>
          <w:sz w:val="22"/>
        </w:rPr>
        <w:t>(c) The legal basis is current.</w:t>
      </w:r>
      <w:r>
        <w:rPr>
          <w:rFonts w:ascii="Inter" w:hAnsi="Inter" w:cs="Inter"/>
          <w:b w:val="0"/>
          <w:i/>
          <w:color w:val="2D2D2D"/>
          <w:sz w:val="22"/>
        </w:rPr>
        <w:t xml:space="preserve"> New BAAs are passed in every parliamentary session. Executive issuances are issued regularly. National laws are amended. The Minister must confirm that the legal provisions cited in the matrix are current and have not been repealed, amended, or superseded since the last planning cycle. The Legal Mandate Matrix is not a bureaucratic exercise. It is the document that protects your MOA from implementing programs it has no authority to implement and from neglecting programs it is legally required to deliver. Sign off on it before the planning process moves to Point 2 (BDP Alignment).</w:t>
      </w:r>
    </w:p>
    <w:p>
      <w:pPr>
        <w:pStyle w:val="Heading2"/>
      </w:pPr>
      <w:r>
        <w:rPr>
          <w:rFonts w:ascii="Inter" w:hAnsi="Inter" w:cs="Inter"/>
          <w:b/>
          <w:i w:val="0"/>
          <w:color w:val="1B365D"/>
          <w:sz w:val="32"/>
        </w:rPr>
        <w:t>2.6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Pitfall 1: Planning activities without legal authority.</w:t>
      </w:r>
      <w:r>
        <w:rPr>
          <w:rFonts w:ascii="Inter" w:hAnsi="Inter" w:cs="Inter"/>
          <w:b w:val="0"/>
          <w:i w:val="0"/>
          <w:color w:val="2D2D2D"/>
          <w:sz w:val="22"/>
        </w:rPr>
      </w:r>
    </w:p>
    <w:p>
      <w:pPr>
        <w:spacing w:after="120" w:line="276" w:lineRule="auto"/>
      </w:pPr>
      <w:r>
        <w:rPr>
          <w:rFonts w:ascii="Inter" w:hAnsi="Inter" w:cs="Inter"/>
          <w:b w:val="0"/>
          <w:i w:val="0"/>
          <w:color w:val="2D2D2D"/>
          <w:sz w:val="22"/>
        </w:rPr>
        <w:t>This is the most common error. A MOA identifies a community need, designs a program to address it, and includes it in the strategic plan --- without checking whether any law authorizes the MOA to deliver that program. The program may be well-intentioned, but without legal basis, the budget for it can be disallowed by COA, and the MOA risks audit findings. Always trace the mandate-function-activity chain before including a program in your plan.</w:t>
      </w:r>
    </w:p>
    <w:p>
      <w:pPr>
        <w:spacing w:after="120" w:line="276" w:lineRule="auto"/>
      </w:pPr>
      <w:r>
        <w:rPr>
          <w:rFonts w:ascii="Inter" w:hAnsi="Inter" w:cs="Inter"/>
          <w:b w:val="0"/>
          <w:i w:val="0"/>
          <w:color w:val="2D2D2D"/>
          <w:sz w:val="22"/>
        </w:rPr>
      </w:r>
      <w:r>
        <w:rPr>
          <w:rFonts w:ascii="Inter" w:hAnsi="Inter" w:cs="Inter"/>
          <w:b/>
          <w:i w:val="0"/>
          <w:color w:val="2D2D2D"/>
          <w:sz w:val="22"/>
        </w:rPr>
        <w:t>Pitfall 2: Citing repealed or superseded legislation.</w:t>
      </w:r>
      <w:r>
        <w:rPr>
          <w:rFonts w:ascii="Inter" w:hAnsi="Inter" w:cs="Inter"/>
          <w:b w:val="0"/>
          <w:i w:val="0"/>
          <w:color w:val="2D2D2D"/>
          <w:sz w:val="22"/>
        </w:rPr>
      </w:r>
    </w:p>
    <w:p>
      <w:pPr>
        <w:spacing w:after="120" w:line="276" w:lineRule="auto"/>
      </w:pPr>
      <w:r>
        <w:rPr>
          <w:rFonts w:ascii="Inter" w:hAnsi="Inter" w:cs="Inter"/>
          <w:b w:val="0"/>
          <w:i w:val="0"/>
          <w:color w:val="2D2D2D"/>
          <w:sz w:val="22"/>
        </w:rPr>
        <w:t>Laws change. A BAA enacted in 2020 may have been amended or repealed by a subsequent act. An Executive Order from the transition period may have been superseded by a later issuance. If you cite a provision that is no longer in force, your legal basis is invalid. Check the current status of every provision you cite. When in doubt, consult your MOA's legal officer or the Bangsamoro Gazette.</w:t>
      </w:r>
    </w:p>
    <w:p>
      <w:pPr>
        <w:spacing w:after="120" w:line="276" w:lineRule="auto"/>
      </w:pPr>
      <w:r>
        <w:rPr>
          <w:rFonts w:ascii="Inter" w:hAnsi="Inter" w:cs="Inter"/>
          <w:b w:val="0"/>
          <w:i w:val="0"/>
          <w:color w:val="2D2D2D"/>
          <w:sz w:val="22"/>
        </w:rPr>
      </w:r>
      <w:r>
        <w:rPr>
          <w:rFonts w:ascii="Inter" w:hAnsi="Inter" w:cs="Inter"/>
          <w:b/>
          <w:i w:val="0"/>
          <w:color w:val="2D2D2D"/>
          <w:sz w:val="22"/>
        </w:rPr>
        <w:t>Pitfall 3: Ignoring national laws that apply to BARMM.</w:t>
      </w:r>
      <w:r>
        <w:rPr>
          <w:rFonts w:ascii="Inter" w:hAnsi="Inter" w:cs="Inter"/>
          <w:b w:val="0"/>
          <w:i w:val="0"/>
          <w:color w:val="2D2D2D"/>
          <w:sz w:val="22"/>
        </w:rPr>
      </w:r>
    </w:p>
    <w:p>
      <w:pPr>
        <w:spacing w:after="120" w:line="276" w:lineRule="auto"/>
      </w:pPr>
      <w:r>
        <w:rPr>
          <w:rFonts w:ascii="Inter" w:hAnsi="Inter" w:cs="Inter"/>
          <w:b w:val="0"/>
          <w:i w:val="0"/>
          <w:color w:val="2D2D2D"/>
          <w:sz w:val="22"/>
        </w:rPr>
        <w:t>The BOL grants the Bangsamoro Government exclusive powers over many areas, but not all. Procurement, anti-graft, data privacy, gender and development, and ease of doing business are among the areas where national laws apply either directly or as suppletory law. A strategic plan that ignores these national laws will fail compliance review. Your Legal Mandate Matrix must include Tier 5 (national laws) entries.</w:t>
      </w:r>
    </w:p>
    <w:p>
      <w:pPr>
        <w:spacing w:after="120" w:line="276" w:lineRule="auto"/>
      </w:pPr>
      <w:r>
        <w:rPr>
          <w:rFonts w:ascii="Inter" w:hAnsi="Inter" w:cs="Inter"/>
          <w:b w:val="0"/>
          <w:i w:val="0"/>
          <w:color w:val="2D2D2D"/>
          <w:sz w:val="22"/>
        </w:rPr>
      </w:r>
      <w:r>
        <w:rPr>
          <w:rFonts w:ascii="Inter" w:hAnsi="Inter" w:cs="Inter"/>
          <w:b/>
          <w:i w:val="0"/>
          <w:color w:val="2D2D2D"/>
          <w:sz w:val="22"/>
        </w:rPr>
        <w:t>Pitfall 4: Conflating "what we have always done" with "what the law mandates."</w:t>
      </w:r>
      <w:r>
        <w:rPr>
          <w:rFonts w:ascii="Inter" w:hAnsi="Inter" w:cs="Inter"/>
          <w:b w:val="0"/>
          <w:i w:val="0"/>
          <w:color w:val="2D2D2D"/>
          <w:sz w:val="22"/>
        </w:rPr>
      </w:r>
    </w:p>
    <w:p>
      <w:pPr>
        <w:spacing w:after="120" w:line="276" w:lineRule="auto"/>
      </w:pPr>
      <w:r>
        <w:rPr>
          <w:rFonts w:ascii="Inter" w:hAnsi="Inter" w:cs="Inter"/>
          <w:b w:val="0"/>
          <w:i w:val="0"/>
          <w:color w:val="2D2D2D"/>
          <w:sz w:val="22"/>
        </w:rPr>
        <w:t>Institutional practice is not legal authority. The fact that your MOA has been performing a function for years does not mean a law authorizes it. During the transition period, many MOAs took on functions that were never formally assigned by legislation. These inherited practices must be validated against the legal hierarchy. If a function has no legal basis, either find the implicit authority and document it, or stop performing the function and recommend legislative action.</w:t>
      </w:r>
    </w:p>
    <w:p>
      <w:pPr>
        <w:spacing w:after="120" w:line="276" w:lineRule="auto"/>
      </w:pPr>
      <w:r>
        <w:rPr>
          <w:rFonts w:ascii="Inter" w:hAnsi="Inter" w:cs="Inter"/>
          <w:b w:val="0"/>
          <w:i w:val="0"/>
          <w:color w:val="2D2D2D"/>
          <w:sz w:val="22"/>
        </w:rPr>
      </w:r>
      <w:r>
        <w:rPr>
          <w:rFonts w:ascii="Inter" w:hAnsi="Inter" w:cs="Inter"/>
          <w:b/>
          <w:i w:val="0"/>
          <w:color w:val="2D2D2D"/>
          <w:sz w:val="22"/>
        </w:rPr>
        <w:t>Pitfall 5: Treating the legal mandate review as a one-time exercise.</w:t>
      </w:r>
      <w:r>
        <w:rPr>
          <w:rFonts w:ascii="Inter" w:hAnsi="Inter" w:cs="Inter"/>
          <w:b w:val="0"/>
          <w:i w:val="0"/>
          <w:color w:val="2D2D2D"/>
          <w:sz w:val="22"/>
        </w:rPr>
      </w:r>
    </w:p>
    <w:p>
      <w:pPr>
        <w:spacing w:after="120" w:line="276" w:lineRule="auto"/>
      </w:pPr>
      <w:r>
        <w:rPr>
          <w:rFonts w:ascii="Inter" w:hAnsi="Inter" w:cs="Inter"/>
          <w:b w:val="0"/>
          <w:i w:val="0"/>
          <w:color w:val="2D2D2D"/>
          <w:sz w:val="22"/>
        </w:rPr>
        <w:t>The BTA Parliament has enacted over 80 Bangsamoro Autonomy Acts since 2019. New legislation is passed regularly, and each new BAA may expand, modify, or reassign your MOA's functions. Executive issuances are issued throughout the year. Your Legal Mandate Matrix must be reviewed and updated at the start of every planning cycle. Assign a staff member to monitor the Bangsamoro Gazette and flag new legislation that affects your MOA.</w:t>
      </w:r>
    </w:p>
    <w:p>
      <w:pPr>
        <w:pStyle w:val="Heading2"/>
      </w:pPr>
      <w:r>
        <w:rPr>
          <w:rFonts w:ascii="Inter" w:hAnsi="Inter" w:cs="Inter"/>
          <w:b/>
          <w:i w:val="0"/>
          <w:color w:val="1B365D"/>
          <w:sz w:val="32"/>
        </w:rPr>
        <w:t>2.7 Template: Legal Mandate Matrix</w:t>
      </w:r>
    </w:p>
    <w:p>
      <w:pPr>
        <w:spacing w:after="120" w:line="276" w:lineRule="auto"/>
      </w:pPr>
      <w:r>
        <w:rPr>
          <w:rFonts w:ascii="Inter" w:hAnsi="Inter" w:cs="Inter"/>
          <w:b w:val="0"/>
          <w:i w:val="0"/>
          <w:color w:val="2D2D2D"/>
          <w:sz w:val="22"/>
        </w:rPr>
        <w:t>Use the following table format to document your MOA's legal mandate. Each row represents one legal provision and its connection to a planning domain. A single provision may appear in multiple rows if it maps to multiple planning domains.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Legal Source</w:t>
            </w:r>
          </w:p>
        </w:tc>
        <w:tc>
          <w:tcPr>
            <w:tcW w:type="dxa" w:w="1560"/>
            <w:shd w:fill="1B365D"/>
          </w:tcPr>
          <w:p>
            <w:r/>
            <w:r>
              <w:rPr>
                <w:rFonts w:ascii="Inter" w:hAnsi="Inter" w:cs="Inter"/>
                <w:b/>
                <w:i w:val="0"/>
                <w:color w:val="FFFFFF"/>
                <w:sz w:val="19"/>
              </w:rPr>
              <w:t>Tier</w:t>
            </w:r>
          </w:p>
        </w:tc>
        <w:tc>
          <w:tcPr>
            <w:tcW w:type="dxa" w:w="1560"/>
            <w:shd w:fill="1B365D"/>
          </w:tcPr>
          <w:p>
            <w:r/>
            <w:r>
              <w:rPr>
                <w:rFonts w:ascii="Inter" w:hAnsi="Inter" w:cs="Inter"/>
                <w:b/>
                <w:i w:val="0"/>
                <w:color w:val="FFFFFF"/>
                <w:sz w:val="19"/>
              </w:rPr>
              <w:t>Provision</w:t>
            </w:r>
          </w:p>
        </w:tc>
        <w:tc>
          <w:tcPr>
            <w:tcW w:type="dxa" w:w="1560"/>
            <w:shd w:fill="1B365D"/>
          </w:tcPr>
          <w:p>
            <w:r/>
            <w:r>
              <w:rPr>
                <w:rFonts w:ascii="Inter" w:hAnsi="Inter" w:cs="Inter"/>
                <w:b/>
                <w:i w:val="0"/>
                <w:color w:val="FFFFFF"/>
                <w:sz w:val="19"/>
              </w:rPr>
              <w:t>Mandate/Authority</w:t>
            </w:r>
          </w:p>
        </w:tc>
        <w:tc>
          <w:tcPr>
            <w:tcW w:type="dxa" w:w="1560"/>
            <w:shd w:fill="1B365D"/>
          </w:tcPr>
          <w:p>
            <w:r/>
            <w:r>
              <w:rPr>
                <w:rFonts w:ascii="Inter" w:hAnsi="Inter" w:cs="Inter"/>
                <w:b/>
                <w:i w:val="0"/>
                <w:color w:val="FFFFFF"/>
                <w:sz w:val="19"/>
              </w:rPr>
              <w:t>Planning Domain</w:t>
            </w:r>
          </w:p>
        </w:tc>
        <w:tc>
          <w:tcPr>
            <w:tcW w:type="dxa" w:w="1560"/>
            <w:shd w:fill="1B365D"/>
          </w:tcPr>
          <w:p>
            <w:r/>
            <w:r>
              <w:rPr>
                <w:rFonts w:ascii="Inter" w:hAnsi="Inter" w:cs="Inter"/>
                <w:b/>
                <w:i w:val="0"/>
                <w:color w:val="FFFFFF"/>
                <w:sz w:val="19"/>
              </w:rPr>
              <w:t>Status</w:t>
            </w:r>
          </w:p>
        </w:tc>
      </w:tr>
      <w:tr>
        <w:tc>
          <w:tcPr>
            <w:tcW w:type="dxa" w:w="1560"/>
          </w:tcPr>
          <w:p>
            <w:r/>
            <w:r>
              <w:rPr>
                <w:rFonts w:ascii="Inter" w:hAnsi="Inter" w:cs="Inter"/>
                <w:b w:val="0"/>
                <w:i w:val="0"/>
                <w:color w:val="2D2D2D"/>
                <w:sz w:val="19"/>
              </w:rPr>
              <w:t>RA 11054 (BOL)</w:t>
            </w:r>
          </w:p>
        </w:tc>
        <w:tc>
          <w:tcPr>
            <w:tcW w:type="dxa" w:w="1560"/>
          </w:tcPr>
          <w:p>
            <w:r/>
            <w:r>
              <w:rPr>
                <w:rFonts w:ascii="Inter" w:hAnsi="Inter" w:cs="Inter"/>
                <w:b w:val="0"/>
                <w:i w:val="0"/>
                <w:color w:val="2D2D2D"/>
                <w:sz w:val="19"/>
              </w:rPr>
              <w:t>2</w:t>
            </w:r>
          </w:p>
        </w:tc>
        <w:tc>
          <w:tcPr>
            <w:tcW w:type="dxa" w:w="1560"/>
          </w:tcPr>
          <w:p>
            <w:r/>
            <w:r>
              <w:rPr>
                <w:rFonts w:ascii="Inter" w:hAnsi="Inter" w:cs="Inter"/>
                <w:b w:val="0"/>
                <w:i w:val="0"/>
                <w:color w:val="2D2D2D"/>
                <w:sz w:val="19"/>
              </w:rPr>
              <w:t>Art. V, Sec. 2 [subsection]</w:t>
            </w:r>
          </w:p>
        </w:tc>
        <w:tc>
          <w:tcPr>
            <w:tcW w:type="dxa" w:w="1560"/>
          </w:tcPr>
          <w:p>
            <w:r/>
            <w:r>
              <w:rPr>
                <w:rFonts w:ascii="Inter" w:hAnsi="Inter" w:cs="Inter"/>
                <w:b w:val="0"/>
                <w:i w:val="0"/>
                <w:color w:val="2D2D2D"/>
                <w:sz w:val="19"/>
              </w:rPr>
              <w:t>[Specific power enumerated]</w:t>
            </w:r>
          </w:p>
        </w:tc>
        <w:tc>
          <w:tcPr>
            <w:tcW w:type="dxa" w:w="1560"/>
          </w:tcPr>
          <w:p>
            <w:r/>
            <w:r>
              <w:rPr>
                <w:rFonts w:ascii="Inter" w:hAnsi="Inter" w:cs="Inter"/>
                <w:b w:val="0"/>
                <w:i w:val="0"/>
                <w:color w:val="2D2D2D"/>
                <w:sz w:val="19"/>
              </w:rPr>
              <w:t>[Planning domain this authority supports]</w:t>
            </w:r>
          </w:p>
        </w:tc>
        <w:tc>
          <w:tcPr>
            <w:tcW w:type="dxa" w:w="1560"/>
          </w:tcPr>
          <w:p>
            <w:r/>
            <w:r>
              <w:rPr>
                <w:rFonts w:ascii="Inter" w:hAnsi="Inter" w:cs="Inter"/>
                <w:b w:val="0"/>
                <w:i w:val="0"/>
                <w:color w:val="2D2D2D"/>
                <w:sz w:val="19"/>
              </w:rPr>
              <w:t>Active / Gap / Under review</w:t>
            </w:r>
          </w:p>
        </w:tc>
      </w:tr>
      <w:tr>
        <w:tc>
          <w:tcPr>
            <w:tcW w:type="dxa" w:w="1560"/>
            <w:shd w:fill="F0F3F6"/>
          </w:tcPr>
          <w:p>
            <w:r/>
            <w:r>
              <w:rPr>
                <w:rFonts w:ascii="Inter" w:hAnsi="Inter" w:cs="Inter"/>
                <w:b w:val="0"/>
                <w:i w:val="0"/>
                <w:color w:val="2D2D2D"/>
                <w:sz w:val="19"/>
              </w:rPr>
              <w:t>BAA No. [X]</w:t>
            </w:r>
          </w:p>
        </w:tc>
        <w:tc>
          <w:tcPr>
            <w:tcW w:type="dxa" w:w="1560"/>
            <w:shd w:fill="F0F3F6"/>
          </w:tcPr>
          <w:p>
            <w:r/>
            <w:r>
              <w:rPr>
                <w:rFonts w:ascii="Inter" w:hAnsi="Inter" w:cs="Inter"/>
                <w:b w:val="0"/>
                <w:i w:val="0"/>
                <w:color w:val="2D2D2D"/>
                <w:sz w:val="19"/>
              </w:rPr>
              <w:t>4</w:t>
            </w:r>
          </w:p>
        </w:tc>
        <w:tc>
          <w:tcPr>
            <w:tcW w:type="dxa" w:w="1560"/>
            <w:shd w:fill="F0F3F6"/>
          </w:tcPr>
          <w:p>
            <w:r/>
            <w:r>
              <w:rPr>
                <w:rFonts w:ascii="Inter" w:hAnsi="Inter" w:cs="Inter"/>
                <w:b w:val="0"/>
                <w:i w:val="0"/>
                <w:color w:val="2D2D2D"/>
                <w:sz w:val="19"/>
              </w:rPr>
              <w:t>Sec. [Y]</w:t>
            </w:r>
          </w:p>
        </w:tc>
        <w:tc>
          <w:tcPr>
            <w:tcW w:type="dxa" w:w="1560"/>
            <w:shd w:fill="F0F3F6"/>
          </w:tcPr>
          <w:p>
            <w:r/>
            <w:r>
              <w:rPr>
                <w:rFonts w:ascii="Inter" w:hAnsi="Inter" w:cs="Inter"/>
                <w:b w:val="0"/>
                <w:i w:val="0"/>
                <w:color w:val="2D2D2D"/>
                <w:sz w:val="19"/>
              </w:rPr>
              <w:t>[Mandate or function assigned by the BAA]</w:t>
            </w:r>
          </w:p>
        </w:tc>
        <w:tc>
          <w:tcPr>
            <w:tcW w:type="dxa" w:w="1560"/>
            <w:shd w:fill="F0F3F6"/>
          </w:tcPr>
          <w:p>
            <w:r/>
            <w:r>
              <w:rPr>
                <w:rFonts w:ascii="Inter" w:hAnsi="Inter" w:cs="Inter"/>
                <w:b w:val="0"/>
                <w:i w:val="0"/>
                <w:color w:val="2D2D2D"/>
                <w:sz w:val="19"/>
              </w:rPr>
              <w:t>[Planning domain]</w:t>
            </w:r>
          </w:p>
        </w:tc>
        <w:tc>
          <w:tcPr>
            <w:tcW w:type="dxa" w:w="1560"/>
            <w:shd w:fill="F0F3F6"/>
          </w:tcPr>
          <w:p>
            <w:r/>
            <w:r>
              <w:rPr>
                <w:rFonts w:ascii="Inter" w:hAnsi="Inter" w:cs="Inter"/>
                <w:b w:val="0"/>
                <w:i w:val="0"/>
                <w:color w:val="2D2D2D"/>
                <w:sz w:val="19"/>
              </w:rPr>
              <w:t>Active / Gap / Under review</w:t>
            </w:r>
          </w:p>
        </w:tc>
      </w:tr>
      <w:tr>
        <w:tc>
          <w:tcPr>
            <w:tcW w:type="dxa" w:w="1560"/>
          </w:tcPr>
          <w:p>
            <w:r/>
            <w:r>
              <w:rPr>
                <w:rFonts w:ascii="Inter" w:hAnsi="Inter" w:cs="Inter"/>
                <w:b w:val="0"/>
                <w:i w:val="0"/>
                <w:color w:val="2D2D2D"/>
                <w:sz w:val="19"/>
              </w:rPr>
              <w:t>RA [Number]</w:t>
            </w:r>
          </w:p>
        </w:tc>
        <w:tc>
          <w:tcPr>
            <w:tcW w:type="dxa" w:w="1560"/>
          </w:tcPr>
          <w:p>
            <w:r/>
            <w:r>
              <w:rPr>
                <w:rFonts w:ascii="Inter" w:hAnsi="Inter" w:cs="Inter"/>
                <w:b w:val="0"/>
                <w:i w:val="0"/>
                <w:color w:val="2D2D2D"/>
                <w:sz w:val="19"/>
              </w:rPr>
              <w:t>5</w:t>
            </w:r>
          </w:p>
        </w:tc>
        <w:tc>
          <w:tcPr>
            <w:tcW w:type="dxa" w:w="1560"/>
          </w:tcPr>
          <w:p>
            <w:r/>
            <w:r>
              <w:rPr>
                <w:rFonts w:ascii="Inter" w:hAnsi="Inter" w:cs="Inter"/>
                <w:b w:val="0"/>
                <w:i w:val="0"/>
                <w:color w:val="2D2D2D"/>
                <w:sz w:val="19"/>
              </w:rPr>
              <w:t>Sec. [Y]</w:t>
            </w:r>
          </w:p>
        </w:tc>
        <w:tc>
          <w:tcPr>
            <w:tcW w:type="dxa" w:w="1560"/>
          </w:tcPr>
          <w:p>
            <w:r/>
            <w:r>
              <w:rPr>
                <w:rFonts w:ascii="Inter" w:hAnsi="Inter" w:cs="Inter"/>
                <w:b w:val="0"/>
                <w:i w:val="0"/>
                <w:color w:val="2D2D2D"/>
                <w:sz w:val="19"/>
              </w:rPr>
              <w:t>[National law requirement applicable to BARMM]</w:t>
            </w:r>
          </w:p>
        </w:tc>
        <w:tc>
          <w:tcPr>
            <w:tcW w:type="dxa" w:w="1560"/>
          </w:tcPr>
          <w:p>
            <w:r/>
            <w:r>
              <w:rPr>
                <w:rFonts w:ascii="Inter" w:hAnsi="Inter" w:cs="Inter"/>
                <w:b w:val="0"/>
                <w:i w:val="0"/>
                <w:color w:val="2D2D2D"/>
                <w:sz w:val="19"/>
              </w:rPr>
              <w:t>[Planning domain]</w:t>
            </w:r>
          </w:p>
        </w:tc>
        <w:tc>
          <w:tcPr>
            <w:tcW w:type="dxa" w:w="1560"/>
          </w:tcPr>
          <w:p>
            <w:r/>
            <w:r>
              <w:rPr>
                <w:rFonts w:ascii="Inter" w:hAnsi="Inter" w:cs="Inter"/>
                <w:b w:val="0"/>
                <w:i w:val="0"/>
                <w:color w:val="2D2D2D"/>
                <w:sz w:val="19"/>
              </w:rPr>
              <w:t>Active / Gap / Under review</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Column definitions: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Legal Source:</w:t>
      </w:r>
      <w:r>
        <w:rPr>
          <w:rFonts w:ascii="Inter" w:hAnsi="Inter" w:cs="Inter"/>
          <w:b w:val="0"/>
          <w:i w:val="0"/>
          <w:color w:val="2D2D2D"/>
          <w:sz w:val="22"/>
        </w:rPr>
        <w:t xml:space="preserve"> The full name and number of the law, code, or issuance. Use the citation formats specified in Section 2.2.</w:t>
      </w:r>
    </w:p>
    <w:p>
      <w:pPr>
        <w:pStyle w:val="ListBullet"/>
      </w:pPr>
      <w:r>
        <w:rPr>
          <w:rFonts w:ascii="Inter" w:hAnsi="Inter" w:cs="Inter"/>
          <w:b w:val="0"/>
          <w:i w:val="0"/>
          <w:color w:val="2D2D2D"/>
          <w:sz w:val="22"/>
        </w:rPr>
      </w:r>
      <w:r>
        <w:rPr>
          <w:rFonts w:ascii="Inter" w:hAnsi="Inter" w:cs="Inter"/>
          <w:b/>
          <w:i w:val="0"/>
          <w:color w:val="2D2D2D"/>
          <w:sz w:val="22"/>
        </w:rPr>
        <w:t>Tier:</w:t>
      </w:r>
      <w:r>
        <w:rPr>
          <w:rFonts w:ascii="Inter" w:hAnsi="Inter" w:cs="Inter"/>
          <w:b w:val="0"/>
          <w:i w:val="0"/>
          <w:color w:val="2D2D2D"/>
          <w:sz w:val="22"/>
        </w:rPr>
        <w:t xml:space="preserve"> The tier number (1 through 7) in the legal hierarchy.</w:t>
      </w:r>
    </w:p>
    <w:p>
      <w:pPr>
        <w:pStyle w:val="ListBullet"/>
      </w:pPr>
      <w:r>
        <w:rPr>
          <w:rFonts w:ascii="Inter" w:hAnsi="Inter" w:cs="Inter"/>
          <w:b w:val="0"/>
          <w:i w:val="0"/>
          <w:color w:val="2D2D2D"/>
          <w:sz w:val="22"/>
        </w:rPr>
      </w:r>
      <w:r>
        <w:rPr>
          <w:rFonts w:ascii="Inter" w:hAnsi="Inter" w:cs="Inter"/>
          <w:b/>
          <w:i w:val="0"/>
          <w:color w:val="2D2D2D"/>
          <w:sz w:val="22"/>
        </w:rPr>
        <w:t>Provision:</w:t>
      </w:r>
      <w:r>
        <w:rPr>
          <w:rFonts w:ascii="Inter" w:hAnsi="Inter" w:cs="Inter"/>
          <w:b w:val="0"/>
          <w:i w:val="0"/>
          <w:color w:val="2D2D2D"/>
          <w:sz w:val="22"/>
        </w:rPr>
        <w:t xml:space="preserve"> The specific article, section, and subsection being cited.</w:t>
      </w:r>
    </w:p>
    <w:p>
      <w:pPr>
        <w:pStyle w:val="ListBullet"/>
      </w:pPr>
      <w:r>
        <w:rPr>
          <w:rFonts w:ascii="Inter" w:hAnsi="Inter" w:cs="Inter"/>
          <w:b w:val="0"/>
          <w:i w:val="0"/>
          <w:color w:val="2D2D2D"/>
          <w:sz w:val="22"/>
        </w:rPr>
      </w:r>
      <w:r>
        <w:rPr>
          <w:rFonts w:ascii="Inter" w:hAnsi="Inter" w:cs="Inter"/>
          <w:b/>
          <w:i w:val="0"/>
          <w:color w:val="2D2D2D"/>
          <w:sz w:val="22"/>
        </w:rPr>
        <w:t>Mandate/Authority:</w:t>
      </w:r>
      <w:r>
        <w:rPr>
          <w:rFonts w:ascii="Inter" w:hAnsi="Inter" w:cs="Inter"/>
          <w:b w:val="0"/>
          <w:i w:val="0"/>
          <w:color w:val="2D2D2D"/>
          <w:sz w:val="22"/>
        </w:rPr>
        <w:t xml:space="preserve"> A concise statement of what the provision authorizes or requires.</w:t>
      </w:r>
    </w:p>
    <w:p>
      <w:pPr>
        <w:pStyle w:val="ListBullet"/>
      </w:pPr>
      <w:r>
        <w:rPr>
          <w:rFonts w:ascii="Inter" w:hAnsi="Inter" w:cs="Inter"/>
          <w:b w:val="0"/>
          <w:i w:val="0"/>
          <w:color w:val="2D2D2D"/>
          <w:sz w:val="22"/>
        </w:rPr>
      </w:r>
      <w:r>
        <w:rPr>
          <w:rFonts w:ascii="Inter" w:hAnsi="Inter" w:cs="Inter"/>
          <w:b/>
          <w:i w:val="0"/>
          <w:color w:val="2D2D2D"/>
          <w:sz w:val="22"/>
        </w:rPr>
        <w:t>Planning Domain:</w:t>
      </w:r>
      <w:r>
        <w:rPr>
          <w:rFonts w:ascii="Inter" w:hAnsi="Inter" w:cs="Inter"/>
          <w:b w:val="0"/>
          <w:i w:val="0"/>
          <w:color w:val="2D2D2D"/>
          <w:sz w:val="22"/>
        </w:rPr>
        <w:t xml:space="preserve"> The broad area of work in your strategic plan that this provision supports.</w:t>
      </w:r>
    </w:p>
    <w:p>
      <w:pPr>
        <w:pStyle w:val="ListBullet"/>
      </w:pPr>
      <w:r>
        <w:rPr>
          <w:rFonts w:ascii="Inter" w:hAnsi="Inter" w:cs="Inter"/>
          <w:b w:val="0"/>
          <w:i w:val="0"/>
          <w:color w:val="2D2D2D"/>
          <w:sz w:val="22"/>
        </w:rPr>
      </w:r>
      <w:r>
        <w:rPr>
          <w:rFonts w:ascii="Inter" w:hAnsi="Inter" w:cs="Inter"/>
          <w:b/>
          <w:i w:val="0"/>
          <w:color w:val="2D2D2D"/>
          <w:sz w:val="22"/>
        </w:rPr>
        <w:t>Status:</w:t>
      </w:r>
      <w:r>
        <w:rPr>
          <w:rFonts w:ascii="Inter" w:hAnsi="Inter" w:cs="Inter"/>
          <w:b w:val="0"/>
          <w:i w:val="0"/>
          <w:color w:val="2D2D2D"/>
          <w:sz w:val="22"/>
        </w:rPr>
        <w:t xml:space="preserve"> Current status of this mandate in your MOA's operations:</w:t>
      </w:r>
    </w:p>
    <w:p>
      <w:pPr>
        <w:pStyle w:val="ListBullet"/>
      </w:pPr>
      <w:r>
        <w:rPr>
          <w:rFonts w:ascii="Inter" w:hAnsi="Inter" w:cs="Inter"/>
          <w:b w:val="0"/>
          <w:i w:val="0"/>
          <w:color w:val="2D2D2D"/>
          <w:sz w:val="22"/>
        </w:rPr>
        <w:t>*Active* --- the mandate is being fulfilled and the planning domain is covered.</w:t>
      </w:r>
    </w:p>
    <w:p>
      <w:pPr>
        <w:pStyle w:val="ListBullet"/>
      </w:pPr>
      <w:r>
        <w:rPr>
          <w:rFonts w:ascii="Inter" w:hAnsi="Inter" w:cs="Inter"/>
          <w:b w:val="0"/>
          <w:i w:val="0"/>
          <w:color w:val="2D2D2D"/>
          <w:sz w:val="22"/>
        </w:rPr>
        <w:t>*Gap* --- the mandate exists but the MOA has no corresponding program (Type B gap) or the MOA performs a function without clear legal basis (Type A gap).</w:t>
      </w:r>
    </w:p>
    <w:p>
      <w:pPr>
        <w:pStyle w:val="ListBullet"/>
      </w:pPr>
      <w:r>
        <w:rPr>
          <w:rFonts w:ascii="Inter" w:hAnsi="Inter" w:cs="Inter"/>
          <w:b w:val="0"/>
          <w:i w:val="0"/>
          <w:color w:val="2D2D2D"/>
          <w:sz w:val="22"/>
        </w:rPr>
        <w:t>*Under review* --- the provision may have been amended, superseded, or its applicability to your MOA is uncertain. Flag for legal officer review.</w:t>
      </w:r>
    </w:p>
    <w:p>
      <w:pPr>
        <w:spacing w:after="120" w:line="276" w:lineRule="auto"/>
      </w:pPr>
      <w:r>
        <w:rPr>
          <w:rFonts w:ascii="Inter" w:hAnsi="Inter" w:cs="Inter"/>
          <w:b w:val="0"/>
          <w:i w:val="0"/>
          <w:color w:val="2D2D2D"/>
          <w:sz w:val="22"/>
        </w:rPr>
      </w:r>
      <w:r>
        <w:rPr>
          <w:rFonts w:ascii="Inter" w:hAnsi="Inter" w:cs="Inter"/>
          <w:b/>
          <w:i w:val="0"/>
          <w:color w:val="2D2D2D"/>
          <w:sz w:val="22"/>
        </w:rPr>
        <w:t>Instructions:</w:t>
      </w:r>
      <w:r>
        <w:rPr>
          <w:rFonts w:ascii="Inter" w:hAnsi="Inter" w:cs="Inter"/>
          <w:b w:val="0"/>
          <w:i w:val="0"/>
          <w:color w:val="2D2D2D"/>
          <w:sz w:val="22"/>
        </w:rPr>
      </w:r>
    </w:p>
    <w:p>
      <w:pPr>
        <w:pStyle w:val="ListNumber"/>
      </w:pPr>
      <w:r>
        <w:rPr>
          <w:rFonts w:ascii="Inter" w:hAnsi="Inter" w:cs="Inter"/>
          <w:b w:val="0"/>
          <w:i w:val="0"/>
          <w:color w:val="2D2D2D"/>
          <w:sz w:val="22"/>
        </w:rPr>
        <w:t>Complete one row for every provision identified in Steps 1 through 3.</w:t>
      </w:r>
    </w:p>
    <w:p>
      <w:pPr>
        <w:pStyle w:val="ListNumber"/>
      </w:pPr>
      <w:r>
        <w:rPr>
          <w:rFonts w:ascii="Inter" w:hAnsi="Inter" w:cs="Inter"/>
          <w:b w:val="0"/>
          <w:i w:val="0"/>
          <w:color w:val="2D2D2D"/>
          <w:sz w:val="22"/>
        </w:rPr>
        <w:t>Ensure every planning domain in your strategic plan appears at least once in the "Planning Domain" column.</w:t>
      </w:r>
    </w:p>
    <w:p>
      <w:pPr>
        <w:pStyle w:val="ListNumber"/>
      </w:pPr>
      <w:r>
        <w:rPr>
          <w:rFonts w:ascii="Inter" w:hAnsi="Inter" w:cs="Inter"/>
          <w:b w:val="0"/>
          <w:i w:val="0"/>
          <w:color w:val="2D2D2D"/>
          <w:sz w:val="22"/>
        </w:rPr>
        <w:t>Ensure every gap identified in Step 4 is recorded with the appropriate status.</w:t>
      </w:r>
    </w:p>
    <w:p>
      <w:pPr>
        <w:pStyle w:val="ListNumber"/>
      </w:pPr>
      <w:r>
        <w:rPr>
          <w:rFonts w:ascii="Inter" w:hAnsi="Inter" w:cs="Inter"/>
          <w:b w:val="0"/>
          <w:i w:val="0"/>
          <w:color w:val="2D2D2D"/>
          <w:sz w:val="22"/>
        </w:rPr>
        <w:t>Submit the completed matrix to your Minister or Executive Director for review (see Section 2.5).</w:t>
      </w:r>
    </w:p>
    <w:p>
      <w:pPr>
        <w:pStyle w:val="ListNumber"/>
      </w:pPr>
      <w:r>
        <w:rPr>
          <w:rFonts w:ascii="Inter" w:hAnsi="Inter" w:cs="Inter"/>
          <w:b w:val="0"/>
          <w:i w:val="0"/>
          <w:color w:val="2D2D2D"/>
          <w:sz w:val="22"/>
        </w:rPr>
        <w:t>File the matrix as an annex to your MOA Strategic Plan.</w:t>
      </w:r>
    </w:p>
    <w:p>
      <w:pPr>
        <w:pStyle w:val="Heading2"/>
      </w:pPr>
      <w:r>
        <w:rPr>
          <w:rFonts w:ascii="Inter" w:hAnsi="Inter" w:cs="Inter"/>
          <w:b/>
          <w:i w:val="0"/>
          <w:color w:val="1B365D"/>
          <w:sz w:val="32"/>
        </w:rPr>
        <w:t>2.8 Quality Checklist</w:t>
      </w:r>
    </w:p>
    <w:p>
      <w:pPr>
        <w:spacing w:after="120" w:line="276" w:lineRule="auto"/>
      </w:pPr>
      <w:r>
        <w:rPr>
          <w:rFonts w:ascii="Inter" w:hAnsi="Inter" w:cs="Inter"/>
          <w:b w:val="0"/>
          <w:i w:val="0"/>
          <w:color w:val="2D2D2D"/>
          <w:sz w:val="22"/>
        </w:rPr>
        <w:t>Before proceeding to Point 2 (BDP Alignment), confirm the following:</w:t>
      </w:r>
    </w:p>
    <w:p>
      <w:pPr>
        <w:pStyle w:val="ListBullet"/>
      </w:pPr>
      <w:r>
        <w:rPr>
          <w:rFonts w:ascii="Inter" w:hAnsi="Inter" w:cs="Inter"/>
          <w:b w:val="0"/>
          <w:i w:val="0"/>
          <w:color w:val="2D2D2D"/>
          <w:sz w:val="22"/>
        </w:rPr>
        <w:t>[ ] All 7 tiers of the legal hierarchy have been reviewed for provisions relevant to your MOA.</w:t>
      </w:r>
    </w:p>
    <w:p>
      <w:pPr>
        <w:pStyle w:val="ListBullet"/>
      </w:pPr>
      <w:r>
        <w:rPr>
          <w:rFonts w:ascii="Inter" w:hAnsi="Inter" w:cs="Inter"/>
          <w:b w:val="0"/>
          <w:i w:val="0"/>
          <w:color w:val="2D2D2D"/>
          <w:sz w:val="22"/>
        </w:rPr>
        <w:t>[ ] The creating law of your MOA has been identified and fully cited (law number, date, specific sections).</w:t>
      </w:r>
    </w:p>
    <w:p>
      <w:pPr>
        <w:pStyle w:val="ListBullet"/>
      </w:pPr>
      <w:r>
        <w:rPr>
          <w:rFonts w:ascii="Inter" w:hAnsi="Inter" w:cs="Inter"/>
          <w:b w:val="0"/>
          <w:i w:val="0"/>
          <w:color w:val="2D2D2D"/>
          <w:sz w:val="22"/>
        </w:rPr>
        <w:t>[ ] Every planning domain in your strategic plan has at least one legal basis documented in the matrix.</w:t>
      </w:r>
    </w:p>
    <w:p>
      <w:pPr>
        <w:pStyle w:val="ListBullet"/>
      </w:pPr>
      <w:r>
        <w:rPr>
          <w:rFonts w:ascii="Inter" w:hAnsi="Inter" w:cs="Inter"/>
          <w:b w:val="0"/>
          <w:i w:val="0"/>
          <w:color w:val="2D2D2D"/>
          <w:sz w:val="22"/>
        </w:rPr>
        <w:t>[ ] No expired, repealed, or superseded laws are cited. All provisions have been verified as currently in force.</w:t>
      </w:r>
    </w:p>
    <w:p>
      <w:pPr>
        <w:pStyle w:val="ListBullet"/>
      </w:pPr>
      <w:r>
        <w:rPr>
          <w:rFonts w:ascii="Inter" w:hAnsi="Inter" w:cs="Inter"/>
          <w:b w:val="0"/>
          <w:i w:val="0"/>
          <w:color w:val="2D2D2D"/>
          <w:sz w:val="22"/>
        </w:rPr>
        <w:t>[ ] National laws applicable to BARMM (Tier 5) have been reviewed, including procurement, anti-graft, data privacy, gender and development, and other cross-cutting legislation.</w:t>
      </w:r>
    </w:p>
    <w:p>
      <w:pPr>
        <w:pStyle w:val="ListBullet"/>
      </w:pPr>
      <w:r>
        <w:rPr>
          <w:rFonts w:ascii="Inter" w:hAnsi="Inter" w:cs="Inter"/>
          <w:b w:val="0"/>
          <w:i w:val="0"/>
          <w:color w:val="2D2D2D"/>
          <w:sz w:val="22"/>
        </w:rPr>
        <w:t>[ ] Both gap types have been assessed: functions without legal basis (Type A) and mandates without corresponding plans (Type B).</w:t>
      </w:r>
    </w:p>
    <w:p>
      <w:pPr>
        <w:pStyle w:val="ListBullet"/>
      </w:pPr>
      <w:r>
        <w:rPr>
          <w:rFonts w:ascii="Inter" w:hAnsi="Inter" w:cs="Inter"/>
          <w:b w:val="0"/>
          <w:i w:val="0"/>
          <w:color w:val="2D2D2D"/>
          <w:sz w:val="22"/>
        </w:rPr>
        <w:t>[ ] Implied powers (BOL Art. V, Sec. 3) are supported by documented reasoning linking them to an express grant.</w:t>
      </w:r>
    </w:p>
    <w:p>
      <w:pPr>
        <w:pStyle w:val="ListBullet"/>
      </w:pPr>
      <w:r>
        <w:rPr>
          <w:rFonts w:ascii="Inter" w:hAnsi="Inter" w:cs="Inter"/>
          <w:b w:val="0"/>
          <w:i w:val="0"/>
          <w:color w:val="2D2D2D"/>
          <w:sz w:val="22"/>
        </w:rPr>
        <w:t>[ ] The Minister or Executive Director has reviewed and confirmed the Legal Mandate Matrix.</w:t>
      </w:r>
    </w:p>
    <w:p>
      <w:pPr>
        <w:pStyle w:val="ListBullet"/>
      </w:pPr>
      <w:r>
        <w:rPr>
          <w:rFonts w:ascii="Inter" w:hAnsi="Inter" w:cs="Inter"/>
          <w:b w:val="0"/>
          <w:i w:val="0"/>
          <w:color w:val="2D2D2D"/>
          <w:sz w:val="22"/>
        </w:rPr>
        <w:t>[ ] A process is in place to monitor new legislation (BAAs, EOs, MCs) and update the matrix at each planning cycle.</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Authority before ambition.</w:t>
      </w:r>
      <w:r>
        <w:rPr>
          <w:rFonts w:ascii="Inter" w:hAnsi="Inter" w:cs="Inter"/>
          <w:b w:val="0"/>
          <w:i w:val="0"/>
          <w:color w:val="2D2D2D"/>
          <w:sz w:val="22"/>
        </w:rPr>
        <w:t xml:space="preserve"> No program belongs in your strategic plan unless a legal provision authorizes it. Identify the law first, then plan the program.</w:t>
      </w:r>
    </w:p>
    <w:p>
      <w:pPr>
        <w:pStyle w:val="ListNumber"/>
      </w:pPr>
      <w:r>
        <w:rPr>
          <w:rFonts w:ascii="Inter" w:hAnsi="Inter" w:cs="Inter"/>
          <w:b w:val="0"/>
          <w:i w:val="0"/>
          <w:color w:val="2D2D2D"/>
          <w:sz w:val="22"/>
        </w:rPr>
      </w:r>
      <w:r>
        <w:rPr>
          <w:rFonts w:ascii="Inter" w:hAnsi="Inter" w:cs="Inter"/>
          <w:b/>
          <w:i w:val="0"/>
          <w:color w:val="2D2D2D"/>
          <w:sz w:val="22"/>
        </w:rPr>
        <w:t>The 7-tier hierarchy is your map.</w:t>
      </w:r>
      <w:r>
        <w:rPr>
          <w:rFonts w:ascii="Inter" w:hAnsi="Inter" w:cs="Inter"/>
          <w:b w:val="0"/>
          <w:i w:val="0"/>
          <w:color w:val="2D2D2D"/>
          <w:sz w:val="22"/>
        </w:rPr>
        <w:t xml:space="preserve"> Work through every tier systematically. Most MOAs cite the BOL and their creating BAA but neglect applicable national laws and executive issuances. The matrix must be comprehensive.</w:t>
      </w:r>
    </w:p>
    <w:p>
      <w:pPr>
        <w:pStyle w:val="ListNumber"/>
      </w:pPr>
      <w:r>
        <w:rPr>
          <w:rFonts w:ascii="Inter" w:hAnsi="Inter" w:cs="Inter"/>
          <w:b w:val="0"/>
          <w:i w:val="0"/>
          <w:color w:val="2D2D2D"/>
          <w:sz w:val="22"/>
        </w:rPr>
      </w:r>
      <w:r>
        <w:rPr>
          <w:rFonts w:ascii="Inter" w:hAnsi="Inter" w:cs="Inter"/>
          <w:b/>
          <w:i w:val="0"/>
          <w:color w:val="2D2D2D"/>
          <w:sz w:val="22"/>
        </w:rPr>
        <w:t>Creating law is your anchor.</w:t>
      </w:r>
      <w:r>
        <w:rPr>
          <w:rFonts w:ascii="Inter" w:hAnsi="Inter" w:cs="Inter"/>
          <w:b w:val="0"/>
          <w:i w:val="0"/>
          <w:color w:val="2D2D2D"/>
          <w:sz w:val="22"/>
        </w:rPr>
        <w:t xml:space="preserve"> Every MOA was established by a specific legal act. That act defines the boundaries of your mandate. Start there.</w:t>
      </w:r>
    </w:p>
    <w:p>
      <w:pPr>
        <w:pStyle w:val="ListNumber"/>
      </w:pPr>
      <w:r>
        <w:rPr>
          <w:rFonts w:ascii="Inter" w:hAnsi="Inter" w:cs="Inter"/>
          <w:b w:val="0"/>
          <w:i w:val="0"/>
          <w:color w:val="2D2D2D"/>
          <w:sz w:val="22"/>
        </w:rPr>
      </w:r>
      <w:r>
        <w:rPr>
          <w:rFonts w:ascii="Inter" w:hAnsi="Inter" w:cs="Inter"/>
          <w:b/>
          <w:i w:val="0"/>
          <w:color w:val="2D2D2D"/>
          <w:sz w:val="22"/>
        </w:rPr>
        <w:t>Implied powers are real but must be documented.</w:t>
      </w:r>
      <w:r>
        <w:rPr>
          <w:rFonts w:ascii="Inter" w:hAnsi="Inter" w:cs="Inter"/>
          <w:b w:val="0"/>
          <w:i w:val="0"/>
          <w:color w:val="2D2D2D"/>
          <w:sz w:val="22"/>
        </w:rPr>
        <w:t xml:space="preserve"> The general welfare clause (BOL Art. V, Sec. 3) gives your MOA room to act beyond the literal text of its creating law, but only when the implied function is traceable to an express grant. Document the reasoning.</w:t>
      </w:r>
    </w:p>
    <w:p>
      <w:pPr>
        <w:pStyle w:val="ListNumber"/>
      </w:pPr>
      <w:r>
        <w:rPr>
          <w:rFonts w:ascii="Inter" w:hAnsi="Inter" w:cs="Inter"/>
          <w:b w:val="0"/>
          <w:i w:val="0"/>
          <w:color w:val="2D2D2D"/>
          <w:sz w:val="22"/>
        </w:rPr>
      </w:r>
      <w:r>
        <w:rPr>
          <w:rFonts w:ascii="Inter" w:hAnsi="Inter" w:cs="Inter"/>
          <w:b/>
          <w:i w:val="0"/>
          <w:color w:val="2D2D2D"/>
          <w:sz w:val="22"/>
        </w:rPr>
        <w:t>Gaps in both directions are problems.</w:t>
      </w:r>
      <w:r>
        <w:rPr>
          <w:rFonts w:ascii="Inter" w:hAnsi="Inter" w:cs="Inter"/>
          <w:b w:val="0"/>
          <w:i w:val="0"/>
          <w:color w:val="2D2D2D"/>
          <w:sz w:val="22"/>
        </w:rPr>
        <w:t xml:space="preserve"> Operating without legal authority is risky. Failing to fulfill a legal mandate is a compliance failure. The matrix reveals both.</w:t>
      </w:r>
    </w:p>
    <w:p>
      <w:pPr>
        <w:pStyle w:val="ListNumber"/>
      </w:pPr>
      <w:r>
        <w:rPr>
          <w:rFonts w:ascii="Inter" w:hAnsi="Inter" w:cs="Inter"/>
          <w:b w:val="0"/>
          <w:i w:val="0"/>
          <w:color w:val="2D2D2D"/>
          <w:sz w:val="22"/>
        </w:rPr>
      </w:r>
      <w:r>
        <w:rPr>
          <w:rFonts w:ascii="Inter" w:hAnsi="Inter" w:cs="Inter"/>
          <w:b/>
          <w:i w:val="0"/>
          <w:color w:val="2D2D2D"/>
          <w:sz w:val="22"/>
        </w:rPr>
        <w:t>This is a living document.</w:t>
      </w:r>
      <w:r>
        <w:rPr>
          <w:rFonts w:ascii="Inter" w:hAnsi="Inter" w:cs="Inter"/>
          <w:b w:val="0"/>
          <w:i w:val="0"/>
          <w:color w:val="2D2D2D"/>
          <w:sz w:val="22"/>
        </w:rPr>
        <w:t xml:space="preserve"> The Bangsamoro Parliament passes new laws regularly. Your matrix must be updated every planning cycle.</w:t>
      </w:r>
    </w:p>
    <w:p>
      <w:pPr>
        <w:spacing w:after="120" w:line="276" w:lineRule="auto"/>
      </w:pPr>
      <w:r>
        <w:rPr>
          <w:rFonts w:ascii="Inter" w:hAnsi="Inter" w:cs="Inter"/>
          <w:b w:val="0"/>
          <w:i w:val="0"/>
          <w:color w:val="2D2D2D"/>
          <w:sz w:val="22"/>
        </w:rPr>
        <w:t>[^1]: 1987 Philippine Constitution, Article X, Sections 15-21.</w:t>
      </w:r>
    </w:p>
    <w:p>
      <w:pPr>
        <w:spacing w:after="120" w:line="276" w:lineRule="auto"/>
      </w:pPr>
      <w:r>
        <w:rPr>
          <w:rFonts w:ascii="Inter" w:hAnsi="Inter" w:cs="Inter"/>
          <w:b w:val="0"/>
          <w:i w:val="0"/>
          <w:color w:val="2D2D2D"/>
          <w:sz w:val="22"/>
        </w:rPr>
        <w:t>[^2]: 1987 Philippine Constitution, Article VI, Section 29.</w:t>
      </w:r>
    </w:p>
    <w:p>
      <w:pPr>
        <w:spacing w:after="120" w:line="276" w:lineRule="auto"/>
      </w:pPr>
      <w:r>
        <w:rPr>
          <w:rFonts w:ascii="Inter" w:hAnsi="Inter" w:cs="Inter"/>
          <w:b w:val="0"/>
          <w:i w:val="0"/>
          <w:color w:val="2D2D2D"/>
          <w:sz w:val="22"/>
        </w:rPr>
        <w:t>[^3]: 1987 Philippine Constitution, Article XI, Section 1.</w:t>
      </w:r>
    </w:p>
    <w:p>
      <w:pPr>
        <w:spacing w:after="120" w:line="276" w:lineRule="auto"/>
      </w:pPr>
      <w:r>
        <w:rPr>
          <w:rFonts w:ascii="Inter" w:hAnsi="Inter" w:cs="Inter"/>
          <w:b w:val="0"/>
          <w:i w:val="0"/>
          <w:color w:val="2D2D2D"/>
          <w:sz w:val="22"/>
        </w:rPr>
        <w:t>[^4]: Republic Act No. 11054, Article V, Section 2.</w:t>
      </w:r>
    </w:p>
    <w:p>
      <w:pPr>
        <w:spacing w:after="120" w:line="276" w:lineRule="auto"/>
      </w:pPr>
      <w:r>
        <w:rPr>
          <w:rFonts w:ascii="Inter" w:hAnsi="Inter" w:cs="Inter"/>
          <w:b w:val="0"/>
          <w:i w:val="0"/>
          <w:color w:val="2D2D2D"/>
          <w:sz w:val="22"/>
        </w:rPr>
        <w:t>[^5]: Republic Act No. 11054, Article V, Section 2.</w:t>
      </w:r>
    </w:p>
    <w:p>
      <w:pPr>
        <w:spacing w:after="120" w:line="276" w:lineRule="auto"/>
      </w:pPr>
      <w:r>
        <w:rPr>
          <w:rFonts w:ascii="Inter" w:hAnsi="Inter" w:cs="Inter"/>
          <w:b w:val="0"/>
          <w:i w:val="0"/>
          <w:color w:val="2D2D2D"/>
          <w:sz w:val="22"/>
        </w:rPr>
        <w:t>[^6]: Republic Act No. 11054, Article V, Section 3.</w:t>
      </w:r>
    </w:p>
    <w:p>
      <w:pPr>
        <w:spacing w:after="120" w:line="276" w:lineRule="auto"/>
      </w:pPr>
      <w:r>
        <w:rPr>
          <w:rFonts w:ascii="Inter" w:hAnsi="Inter" w:cs="Inter"/>
          <w:b w:val="0"/>
          <w:i w:val="0"/>
          <w:color w:val="2D2D2D"/>
          <w:sz w:val="22"/>
        </w:rPr>
        <w:t>[^7]: Bangsamoro Autonomy Act No. 13, Introductory Provisions, Section 2.</w:t>
      </w:r>
    </w:p>
    <w:p>
      <w:pPr>
        <w:spacing w:after="120" w:line="276" w:lineRule="auto"/>
      </w:pPr>
      <w:r>
        <w:rPr>
          <w:rFonts w:ascii="Inter" w:hAnsi="Inter" w:cs="Inter"/>
          <w:b w:val="0"/>
          <w:i w:val="0"/>
          <w:color w:val="2D2D2D"/>
          <w:sz w:val="22"/>
        </w:rPr>
        <w:t>[^8]: Bangsamoro Autonomy Act No. 13, Book II, Title IV, Section 13.</w:t>
      </w:r>
    </w:p>
    <w:p>
      <w:pPr>
        <w:spacing w:after="120" w:line="276" w:lineRule="auto"/>
      </w:pPr>
      <w:r>
        <w:rPr>
          <w:rFonts w:ascii="Inter" w:hAnsi="Inter" w:cs="Inter"/>
          <w:b w:val="0"/>
          <w:i w:val="0"/>
          <w:color w:val="2D2D2D"/>
          <w:sz w:val="22"/>
        </w:rPr>
        <w:t>[^9]: Bangsamoro Autonomy Act No. 13, Sections 13 and 15. Section 15(1) states: "Direct the plan formulation and recommend for approval by the Parliament the Bangsamoro Development Plan."</w:t>
      </w:r>
    </w:p>
    <w:p>
      <w:pPr>
        <w:spacing w:after="120" w:line="276" w:lineRule="auto"/>
      </w:pPr>
      <w:r>
        <w:rPr>
          <w:rFonts w:ascii="Inter" w:hAnsi="Inter" w:cs="Inter"/>
          <w:b w:val="0"/>
          <w:i w:val="0"/>
          <w:color w:val="2D2D2D"/>
          <w:sz w:val="22"/>
        </w:rPr>
        <w:t>[^10]: Bangsamoro Autonomy Act No. 13, Sections 39-42. Section 39 states: "The BPDA shall serve as the planning, coordinating, and monitoring agency for all development plans, policies, programs and projects of the Bangsamoro Government."</w:t>
      </w:r>
    </w:p>
    <w:p>
      <w:pPr>
        <w:spacing w:after="120" w:line="276" w:lineRule="auto"/>
      </w:pPr>
      <w:r>
        <w:rPr>
          <w:rFonts w:ascii="Inter" w:hAnsi="Inter" w:cs="Inter"/>
          <w:b w:val="0"/>
          <w:i w:val="0"/>
          <w:color w:val="2D2D2D"/>
          <w:sz w:val="22"/>
        </w:rPr>
        <w:t>[^11]: Bangsamoro Autonomy Act No. 13, Book IV, Title I, Section 4.</w:t>
      </w:r>
    </w:p>
    <w:p>
      <w:pPr>
        <w:spacing w:after="120" w:line="276" w:lineRule="auto"/>
      </w:pPr>
      <w:r>
        <w:rPr>
          <w:rFonts w:ascii="Inter" w:hAnsi="Inter" w:cs="Inter"/>
          <w:b w:val="0"/>
          <w:i w:val="0"/>
          <w:color w:val="2D2D2D"/>
          <w:sz w:val="22"/>
        </w:rPr>
        <w:t>[^12]: Republic Act No. 11054, Article VII, Section 3, which grants the Parliament "the authority to enact laws on matters that are within the powers and competencies of the Bangsamoro Government."</w:t>
      </w:r>
    </w:p>
    <w:p>
      <w:pPr>
        <w:spacing w:after="120" w:line="276" w:lineRule="auto"/>
      </w:pPr>
      <w:r>
        <w:rPr>
          <w:rFonts w:ascii="Inter" w:hAnsi="Inter" w:cs="Inter"/>
          <w:b w:val="0"/>
          <w:i w:val="0"/>
          <w:color w:val="2D2D2D"/>
          <w:sz w:val="22"/>
        </w:rPr>
        <w:t>[^13]: Republic Act No. 11054, Article V, Section 1, states: "All powers, functions, and responsibilities not granted by the Constitution or by national law to the Bangsamoro Government shall be vested in the National Government." This establishes the principle that national laws apply to matters outside BARMM's exclusive powers.</w:t>
      </w:r>
    </w:p>
    <w:p>
      <w:pPr>
        <w:spacing w:after="120" w:line="276" w:lineRule="auto"/>
      </w:pPr>
      <w:r>
        <w:rPr>
          <w:rFonts w:ascii="Inter" w:hAnsi="Inter" w:cs="Inter"/>
          <w:b w:val="0"/>
          <w:i w:val="0"/>
          <w:color w:val="2D2D2D"/>
          <w:sz w:val="22"/>
        </w:rPr>
        <w:t>[^14]: Republic Act No. 9184, Government Procurement Reform Act, as amended.</w:t>
      </w:r>
    </w:p>
    <w:p>
      <w:pPr>
        <w:spacing w:after="120" w:line="276" w:lineRule="auto"/>
      </w:pPr>
      <w:r>
        <w:rPr>
          <w:rFonts w:ascii="Inter" w:hAnsi="Inter" w:cs="Inter"/>
          <w:b w:val="0"/>
          <w:i w:val="0"/>
          <w:color w:val="2D2D2D"/>
          <w:sz w:val="22"/>
        </w:rPr>
        <w:t>[^15]: Republic Act No. 6713, Code of Conduct and Ethical Standards for Public Officials and Employees.</w:t>
      </w:r>
    </w:p>
    <w:p>
      <w:pPr>
        <w:spacing w:after="120" w:line="276" w:lineRule="auto"/>
      </w:pPr>
      <w:r>
        <w:rPr>
          <w:rFonts w:ascii="Inter" w:hAnsi="Inter" w:cs="Inter"/>
          <w:b w:val="0"/>
          <w:i w:val="0"/>
          <w:color w:val="2D2D2D"/>
          <w:sz w:val="22"/>
        </w:rPr>
        <w:t>[^16]: Republic Act No. 3019, Anti-Graft and Corrupt Practices Act, as amended.</w:t>
      </w:r>
    </w:p>
    <w:p>
      <w:pPr>
        <w:spacing w:after="120" w:line="276" w:lineRule="auto"/>
      </w:pPr>
      <w:r>
        <w:rPr>
          <w:rFonts w:ascii="Inter" w:hAnsi="Inter" w:cs="Inter"/>
          <w:b w:val="0"/>
          <w:i w:val="0"/>
          <w:color w:val="2D2D2D"/>
          <w:sz w:val="22"/>
        </w:rPr>
        <w:t>[^17]: Republic Act No. 9710, Magna Carta of Women, Section 36. See also Republic Act No. 11054, Article XIII, Section 5, which requires "at least five percent (5%) of the total budget appropriation of each ministry, office, and constituent local government unit" for gender-responsive programs.</w:t>
      </w:r>
    </w:p>
    <w:p>
      <w:pPr>
        <w:spacing w:after="120" w:line="276" w:lineRule="auto"/>
      </w:pPr>
      <w:r>
        <w:rPr>
          <w:rFonts w:ascii="Inter" w:hAnsi="Inter" w:cs="Inter"/>
          <w:b w:val="0"/>
          <w:i w:val="0"/>
          <w:color w:val="2D2D2D"/>
          <w:sz w:val="22"/>
        </w:rPr>
        <w:t>[^18]: Republic Act No. 10173, Data Privacy Act of 2012.</w:t>
      </w:r>
    </w:p>
    <w:p>
      <w:pPr>
        <w:spacing w:after="120" w:line="276" w:lineRule="auto"/>
      </w:pPr>
      <w:r>
        <w:rPr>
          <w:rFonts w:ascii="Inter" w:hAnsi="Inter" w:cs="Inter"/>
          <w:b w:val="0"/>
          <w:i w:val="0"/>
          <w:color w:val="2D2D2D"/>
          <w:sz w:val="22"/>
        </w:rPr>
        <w:t>[^19]: Republic Act No. 11032, Ease of Doing Business and Efficient Government Service Delivery Act of 2018.</w:t>
      </w:r>
    </w:p>
    <w:p>
      <w:pPr>
        <w:spacing w:after="120" w:line="276" w:lineRule="auto"/>
      </w:pPr>
      <w:r>
        <w:rPr>
          <w:rFonts w:ascii="Inter" w:hAnsi="Inter" w:cs="Inter"/>
          <w:b w:val="0"/>
          <w:i w:val="0"/>
          <w:color w:val="2D2D2D"/>
          <w:sz w:val="22"/>
        </w:rPr>
        <w:t>[^20]: Bangsamoro Autonomy Act No. 13, Chapter 3, Section 12 (Effectivity of Executive Issuances).</w:t>
      </w:r>
    </w:p>
    <w:p>
      <w:pPr>
        <w:spacing w:after="120" w:line="276" w:lineRule="auto"/>
      </w:pPr>
      <w:r>
        <w:rPr>
          <w:rFonts w:ascii="Inter" w:hAnsi="Inter" w:cs="Inter"/>
          <w:b w:val="0"/>
          <w:i w:val="0"/>
          <w:color w:val="2D2D2D"/>
          <w:sz w:val="22"/>
        </w:rPr>
        <w:t>[^21]: Republic Act No. 11054, Article V, Section 2(a)-(ccc).</w:t>
      </w:r>
    </w:p>
    <w:p>
      <w:pPr>
        <w:spacing w:after="120" w:line="276" w:lineRule="auto"/>
      </w:pPr>
      <w:r>
        <w:rPr>
          <w:rFonts w:ascii="Inter" w:hAnsi="Inter" w:cs="Inter"/>
          <w:b w:val="0"/>
          <w:i w:val="0"/>
          <w:color w:val="2D2D2D"/>
          <w:sz w:val="22"/>
        </w:rPr>
        <w:t>[^22]: Republic Act No. 11054, Article V, Section 3.</w:t>
      </w:r>
    </w:p>
    <w:p>
      <w:pPr>
        <w:spacing w:after="120" w:line="276" w:lineRule="auto"/>
      </w:pPr>
      <w:r>
        <w:rPr>
          <w:rFonts w:ascii="Inter" w:hAnsi="Inter" w:cs="Inter"/>
          <w:b w:val="0"/>
          <w:i w:val="0"/>
          <w:color w:val="2D2D2D"/>
          <w:sz w:val="22"/>
        </w:rPr>
        <w:t>[^23]: Republic Act No. 11054, Article VI, Section 12.</w:t>
      </w:r>
    </w:p>
    <w:p>
      <w:pPr>
        <w:spacing w:after="120" w:line="276" w:lineRule="auto"/>
      </w:pPr>
      <w:r>
        <w:rPr>
          <w:rFonts w:ascii="Inter" w:hAnsi="Inter" w:cs="Inter"/>
          <w:b w:val="0"/>
          <w:i w:val="0"/>
          <w:color w:val="2D2D2D"/>
          <w:sz w:val="22"/>
        </w:rPr>
        <w:t>[^24]: Republic Act No. 11054, Article V, Section 2(a).</w:t>
      </w:r>
    </w:p>
    <w:p>
      <w:pPr>
        <w:spacing w:after="120" w:line="276" w:lineRule="auto"/>
      </w:pPr>
      <w:r>
        <w:rPr>
          <w:rFonts w:ascii="Inter" w:hAnsi="Inter" w:cs="Inter"/>
          <w:b w:val="0"/>
          <w:i w:val="0"/>
          <w:color w:val="2D2D2D"/>
          <w:sz w:val="22"/>
        </w:rPr>
        <w:t>[^25]: Bangsamoro Autonomy Act No. 13, Book IV (Office of the Chief Minister).</w:t>
      </w:r>
    </w:p>
    <w:p>
      <w:pPr>
        <w:pageBreakBefore/>
      </w:pPr>
    </w:p>
    <w:p>
      <w:pPr>
        <w:pStyle w:val="Heading1"/>
      </w:pPr>
      <w:r>
        <w:rPr>
          <w:rFonts w:ascii="Inter" w:hAnsi="Inter" w:cs="Inter"/>
          <w:b/>
          <w:i w:val="0"/>
          <w:color w:val="1B365D"/>
          <w:sz w:val="44"/>
        </w:rPr>
        <w:t>Chapter 3: Aligning with the Bangsamoro Development Plan</w:t>
      </w:r>
    </w:p>
    <w:p>
      <w:pPr>
        <w:spacing w:after="120" w:line="276" w:lineRule="auto"/>
      </w:pPr>
      <w:r>
        <w:rPr>
          <w:rFonts w:ascii="Inter" w:hAnsi="Inter" w:cs="Inter"/>
          <w:b w:val="0"/>
          <w:i w:val="0"/>
          <w:color w:val="2D2D2D"/>
          <w:sz w:val="22"/>
        </w:rPr>
        <w:t>Your MOA exists because a law created it. Chapter 2 helped you identify those legal mandates --- the constitutional provisions, BAA references, and national laws that define what your MOA is authorized and required to do. Now you need to connect those mandates to the region's development priorities.</w:t>
      </w:r>
    </w:p>
    <w:p>
      <w:pPr>
        <w:spacing w:after="120" w:line="276" w:lineRule="auto"/>
      </w:pPr>
      <w:r>
        <w:rPr>
          <w:rFonts w:ascii="Inter" w:hAnsi="Inter" w:cs="Inter"/>
          <w:b w:val="0"/>
          <w:i w:val="0"/>
          <w:color w:val="2D2D2D"/>
          <w:sz w:val="22"/>
        </w:rPr>
        <w:t>That connection runs through the 2nd Bangsamoro Development Plan (BDP) 2023-2028. The BDP is not a background document. It is the framework that the Bangsamoro Planning and Development Authority (BPDA) uses to evaluate whether your MOA's programs contribute to regional development. It is the basis for the Bangsamoro Development Investment Program (BDIP), which translates BDP priorities into concrete programs and projects. And it is the reference point that the Ministry of Finance, Budget and Management (MFBM) uses when reviewing your budget proposals under the Annual Investment Program (AIP).</w:t>
      </w:r>
    </w:p>
    <w:p>
      <w:pPr>
        <w:spacing w:after="120" w:line="276" w:lineRule="auto"/>
      </w:pPr>
      <w:r>
        <w:rPr>
          <w:rFonts w:ascii="Inter" w:hAnsi="Inter" w:cs="Inter"/>
          <w:b w:val="0"/>
          <w:i w:val="0"/>
          <w:color w:val="2D2D2D"/>
          <w:sz w:val="22"/>
        </w:rPr>
        <w:t>In short: if your strategic plan cannot show how your MOA's work contributes to BDP goals, your plan has a credibility gap. This chapter teaches you how to close it.</w:t>
      </w:r>
    </w:p>
    <w:p>
      <w:pPr>
        <w:pStyle w:val="Heading2"/>
      </w:pPr>
      <w:r>
        <w:rPr>
          <w:rFonts w:ascii="Inter" w:hAnsi="Inter" w:cs="Inter"/>
          <w:b/>
          <w:i w:val="0"/>
          <w:color w:val="1B365D"/>
          <w:sz w:val="32"/>
        </w:rPr>
        <w:t>3.1 Purpose</w:t>
      </w:r>
    </w:p>
    <w:p>
      <w:pPr>
        <w:spacing w:after="120" w:line="276" w:lineRule="auto"/>
      </w:pPr>
      <w:r>
        <w:rPr>
          <w:rFonts w:ascii="Inter" w:hAnsi="Inter" w:cs="Inter"/>
          <w:b w:val="0"/>
          <w:i w:val="0"/>
          <w:color w:val="2D2D2D"/>
          <w:sz w:val="22"/>
        </w:rPr>
        <w:t>The purpose of BDP alignment is to establish a clear, documented connection between your MOA's legal mandates and the Bangsamoro Development Plan 2023-2028. You are answering one question: *How does the work your MOA is legally required to do contribute to the development outcomes the Bangsamoro Government has committed to achieve?*</w:t>
      </w:r>
    </w:p>
    <w:p>
      <w:pPr>
        <w:spacing w:after="120" w:line="276" w:lineRule="auto"/>
      </w:pPr>
      <w:r>
        <w:rPr>
          <w:rFonts w:ascii="Inter" w:hAnsi="Inter" w:cs="Inter"/>
          <w:b w:val="0"/>
          <w:i w:val="0"/>
          <w:color w:val="2D2D2D"/>
          <w:sz w:val="22"/>
        </w:rPr>
        <w:t>This is not a creative exercise. Your MOA's mandates come from law (you documented them in Chapter 2). The BDP goals and strategies come from a planning document approved by the Bangsamoro Economic and Development Council (BEDC). Your job is to map one to the other --- honestly, specifically, and with enough detail that BPDA reviewers can verify the connection.</w:t>
      </w:r>
    </w:p>
    <w:p>
      <w:pPr>
        <w:spacing w:after="120" w:line="276" w:lineRule="auto"/>
      </w:pPr>
      <w:r>
        <w:rPr>
          <w:rFonts w:ascii="Inter" w:hAnsi="Inter" w:cs="Inter"/>
          <w:b w:val="0"/>
          <w:i w:val="0"/>
          <w:color w:val="2D2D2D"/>
          <w:sz w:val="22"/>
        </w:rPr>
        <w:t>BDP alignment serves three institutional purposes:</w:t>
      </w:r>
    </w:p>
    <w:p>
      <w:pPr>
        <w:pStyle w:val="ListNumber"/>
      </w:pPr>
      <w:r>
        <w:rPr>
          <w:rFonts w:ascii="Inter" w:hAnsi="Inter" w:cs="Inter"/>
          <w:b w:val="0"/>
          <w:i w:val="0"/>
          <w:color w:val="2D2D2D"/>
          <w:sz w:val="22"/>
        </w:rPr>
      </w:r>
      <w:r>
        <w:rPr>
          <w:rFonts w:ascii="Inter" w:hAnsi="Inter" w:cs="Inter"/>
          <w:b/>
          <w:i w:val="0"/>
          <w:color w:val="2D2D2D"/>
          <w:sz w:val="22"/>
        </w:rPr>
        <w:t>BPDA certification.</w:t>
      </w:r>
      <w:r>
        <w:rPr>
          <w:rFonts w:ascii="Inter" w:hAnsi="Inter" w:cs="Inter"/>
          <w:b w:val="0"/>
          <w:i w:val="0"/>
          <w:color w:val="2D2D2D"/>
          <w:sz w:val="22"/>
        </w:rPr>
        <w:t xml:space="preserve"> When your MOA submits its strategic plan, BPDA evaluates whether your proposed programs align with BDP goals and strategies. Plans that cannot demonstrate alignment face questions during review and may be returned for revision.</w:t>
      </w:r>
    </w:p>
    <w:p>
      <w:pPr>
        <w:pStyle w:val="ListNumber"/>
      </w:pPr>
      <w:r>
        <w:rPr>
          <w:rFonts w:ascii="Inter" w:hAnsi="Inter" w:cs="Inter"/>
          <w:b w:val="0"/>
          <w:i w:val="0"/>
          <w:color w:val="2D2D2D"/>
          <w:sz w:val="22"/>
        </w:rPr>
      </w:r>
      <w:r>
        <w:rPr>
          <w:rFonts w:ascii="Inter" w:hAnsi="Inter" w:cs="Inter"/>
          <w:b/>
          <w:i w:val="0"/>
          <w:color w:val="2D2D2D"/>
          <w:sz w:val="22"/>
        </w:rPr>
        <w:t>Budget justification.</w:t>
      </w:r>
      <w:r>
        <w:rPr>
          <w:rFonts w:ascii="Inter" w:hAnsi="Inter" w:cs="Inter"/>
          <w:b w:val="0"/>
          <w:i w:val="0"/>
          <w:color w:val="2D2D2D"/>
          <w:sz w:val="22"/>
        </w:rPr>
        <w:t xml:space="preserve"> MFBM reviews budget proposals against the Annual Investment Program, which itself flows from the BDIP and the BDP. A program that clearly maps to a BDP goal and strategy has a stronger claim on resources than one that does not.</w:t>
      </w:r>
    </w:p>
    <w:p>
      <w:pPr>
        <w:pStyle w:val="ListNumber"/>
      </w:pPr>
      <w:r>
        <w:rPr>
          <w:rFonts w:ascii="Inter" w:hAnsi="Inter" w:cs="Inter"/>
          <w:b w:val="0"/>
          <w:i w:val="0"/>
          <w:color w:val="2D2D2D"/>
          <w:sz w:val="22"/>
        </w:rPr>
      </w:r>
      <w:r>
        <w:rPr>
          <w:rFonts w:ascii="Inter" w:hAnsi="Inter" w:cs="Inter"/>
          <w:b/>
          <w:i w:val="0"/>
          <w:color w:val="2D2D2D"/>
          <w:sz w:val="22"/>
        </w:rPr>
        <w:t>Regional coherence.</w:t>
      </w:r>
      <w:r>
        <w:rPr>
          <w:rFonts w:ascii="Inter" w:hAnsi="Inter" w:cs="Inter"/>
          <w:b w:val="0"/>
          <w:i w:val="0"/>
          <w:color w:val="2D2D2D"/>
          <w:sz w:val="22"/>
        </w:rPr>
        <w:t xml:space="preserve"> The BDP is a collective commitment. When every MOA maps its work to BDP goals, the BEDC can assess whether the region's collective efforts cover all six development goals or leave gaps. Without MOA-level alignment, the BDP remains a wish list rather than an implementation framework.</w:t>
      </w:r>
    </w:p>
    <w:p>
      <w:pPr>
        <w:pStyle w:val="Heading2"/>
      </w:pPr>
      <w:r>
        <w:rPr>
          <w:rFonts w:ascii="Inter" w:hAnsi="Inter" w:cs="Inter"/>
          <w:b/>
          <w:i w:val="0"/>
          <w:color w:val="1B365D"/>
          <w:sz w:val="32"/>
        </w:rPr>
        <w:t>3.2 Key Concepts</w:t>
      </w:r>
    </w:p>
    <w:p>
      <w:pPr>
        <w:pStyle w:val="Heading3"/>
      </w:pPr>
      <w:r>
        <w:rPr>
          <w:rFonts w:ascii="Inter" w:hAnsi="Inter" w:cs="Inter"/>
          <w:b/>
          <w:i w:val="0"/>
          <w:color w:val="2C5F7C"/>
          <w:sz w:val="26"/>
        </w:rPr>
        <w:t>The Six BDP 2023-2028 Development Goals</w:t>
      </w:r>
    </w:p>
    <w:p>
      <w:pPr>
        <w:spacing w:after="120" w:line="276" w:lineRule="auto"/>
      </w:pPr>
      <w:r>
        <w:rPr>
          <w:rFonts w:ascii="Inter" w:hAnsi="Inter" w:cs="Inter"/>
          <w:b w:val="0"/>
          <w:i w:val="0"/>
          <w:color w:val="2D2D2D"/>
          <w:sz w:val="22"/>
        </w:rPr>
        <w:t>The 2nd BDP organizes regional development around six goals. Each goal describes a desired state for the Bangsamoro Autonomous Region by 2028. Understanding these goals is the foundation of alignment work.[^1]</w:t>
      </w:r>
    </w:p>
    <w:p>
      <w:pPr>
        <w:spacing w:after="120" w:line="276" w:lineRule="auto"/>
      </w:pPr>
      <w:r>
        <w:rPr>
          <w:rFonts w:ascii="Inter" w:hAnsi="Inter" w:cs="Inter"/>
          <w:b w:val="0"/>
          <w:i w:val="0"/>
          <w:color w:val="2D2D2D"/>
          <w:sz w:val="22"/>
        </w:rPr>
      </w:r>
      <w:r>
        <w:rPr>
          <w:rFonts w:ascii="Inter" w:hAnsi="Inter" w:cs="Inter"/>
          <w:b/>
          <w:i w:val="0"/>
          <w:color w:val="2D2D2D"/>
          <w:sz w:val="22"/>
        </w:rPr>
        <w:t>Goal 1: Stable, just, and accountable government.</w:t>
      </w:r>
      <w:r>
        <w:rPr>
          <w:rFonts w:ascii="Inter" w:hAnsi="Inter" w:cs="Inter"/>
          <w:b w:val="0"/>
          <w:i w:val="0"/>
          <w:color w:val="2D2D2D"/>
          <w:sz w:val="22"/>
        </w:rPr>
        <w:t xml:space="preserve"> Development administration that maintains stability in the face of external and internal shocks, ensures continuity of service delivery, exercises powers as the primary agent of economic and social justice, and holds institutions and leaders accountable for the use of government resources and powers through established frameworks, mechanisms, and systems.[^2]</w:t>
      </w:r>
    </w:p>
    <w:p>
      <w:pPr>
        <w:spacing w:after="120" w:line="276" w:lineRule="auto"/>
      </w:pPr>
      <w:r>
        <w:rPr>
          <w:rFonts w:ascii="Inter" w:hAnsi="Inter" w:cs="Inter"/>
          <w:b w:val="0"/>
          <w:i w:val="0"/>
          <w:color w:val="2D2D2D"/>
          <w:sz w:val="22"/>
        </w:rPr>
      </w:r>
      <w:r>
        <w:rPr>
          <w:rFonts w:ascii="Inter" w:hAnsi="Inter" w:cs="Inter"/>
          <w:b/>
          <w:i w:val="0"/>
          <w:color w:val="2D2D2D"/>
          <w:sz w:val="22"/>
        </w:rPr>
        <w:t>Goal 2: Equitable, competitive, and robust economy.</w:t>
      </w:r>
      <w:r>
        <w:rPr>
          <w:rFonts w:ascii="Inter" w:hAnsi="Inter" w:cs="Inter"/>
          <w:b w:val="0"/>
          <w:i w:val="0"/>
          <w:color w:val="2D2D2D"/>
          <w:sz w:val="22"/>
        </w:rPr>
        <w:t xml:space="preserve"> Economic gains that benefit all with special consideration for the poor and marginalized, competitive and comparative advantage in selected commodities optimized through improved market linkages, and sustained economic growth over six years with diversified and stabilized industries that increase quality employment and access to goods and services.[^3]</w:t>
      </w:r>
    </w:p>
    <w:p>
      <w:pPr>
        <w:spacing w:after="120" w:line="276" w:lineRule="auto"/>
      </w:pPr>
      <w:r>
        <w:rPr>
          <w:rFonts w:ascii="Inter" w:hAnsi="Inter" w:cs="Inter"/>
          <w:b w:val="0"/>
          <w:i w:val="0"/>
          <w:color w:val="2D2D2D"/>
          <w:sz w:val="22"/>
        </w:rPr>
      </w:r>
      <w:r>
        <w:rPr>
          <w:rFonts w:ascii="Inter" w:hAnsi="Inter" w:cs="Inter"/>
          <w:b/>
          <w:i w:val="0"/>
          <w:color w:val="2D2D2D"/>
          <w:sz w:val="22"/>
        </w:rPr>
        <w:t>Goal 3: Peaceful, safe, and resilient Bangsamoro communities.</w:t>
      </w:r>
      <w:r>
        <w:rPr>
          <w:rFonts w:ascii="Inter" w:hAnsi="Inter" w:cs="Inter"/>
          <w:b w:val="0"/>
          <w:i w:val="0"/>
          <w:color w:val="2D2D2D"/>
          <w:sz w:val="22"/>
        </w:rPr>
        <w:t xml:space="preserve"> Lasting peace through security and intensified peacebuilding, safe communities that protect all Bangsamoro people, and communities able to withstand natural calamities and human-induced disasters.[^4]</w:t>
      </w:r>
    </w:p>
    <w:p>
      <w:pPr>
        <w:spacing w:after="120" w:line="276" w:lineRule="auto"/>
      </w:pPr>
      <w:r>
        <w:rPr>
          <w:rFonts w:ascii="Inter" w:hAnsi="Inter" w:cs="Inter"/>
          <w:b w:val="0"/>
          <w:i w:val="0"/>
          <w:color w:val="2D2D2D"/>
          <w:sz w:val="22"/>
        </w:rPr>
      </w:r>
      <w:r>
        <w:rPr>
          <w:rFonts w:ascii="Inter" w:hAnsi="Inter" w:cs="Inter"/>
          <w:b/>
          <w:i w:val="0"/>
          <w:color w:val="2D2D2D"/>
          <w:sz w:val="22"/>
        </w:rPr>
        <w:t>Goal 4: Inclusive, responsive, and quality social services.</w:t>
      </w:r>
      <w:r>
        <w:rPr>
          <w:rFonts w:ascii="Inter" w:hAnsi="Inter" w:cs="Inter"/>
          <w:b w:val="0"/>
          <w:i w:val="0"/>
          <w:color w:val="2D2D2D"/>
          <w:sz w:val="22"/>
        </w:rPr>
        <w:t xml:space="preserve"> Quality social services that are inclusive of all sectors regardless of colors, tribes, and political affiliations, responsive to the needs of the people, and designed to leave no one behind.[^5]</w:t>
      </w:r>
    </w:p>
    <w:p>
      <w:pPr>
        <w:spacing w:after="120" w:line="276" w:lineRule="auto"/>
      </w:pPr>
      <w:r>
        <w:rPr>
          <w:rFonts w:ascii="Inter" w:hAnsi="Inter" w:cs="Inter"/>
          <w:b w:val="0"/>
          <w:i w:val="0"/>
          <w:color w:val="2D2D2D"/>
          <w:sz w:val="22"/>
        </w:rPr>
      </w:r>
      <w:r>
        <w:rPr>
          <w:rFonts w:ascii="Inter" w:hAnsi="Inter" w:cs="Inter"/>
          <w:b/>
          <w:i w:val="0"/>
          <w:color w:val="2D2D2D"/>
          <w:sz w:val="22"/>
        </w:rPr>
        <w:t>Goal 5: Rich and diverse Bangsamoro culture and identity preserved and recognized.</w:t>
      </w:r>
      <w:r>
        <w:rPr>
          <w:rFonts w:ascii="Inter" w:hAnsi="Inter" w:cs="Inter"/>
          <w:b w:val="0"/>
          <w:i w:val="0"/>
          <w:color w:val="2D2D2D"/>
          <w:sz w:val="22"/>
        </w:rPr>
        <w:t xml:space="preserve"> Exercise of Bangsamoro powers and authority to maintain and promote the region's rich, diverse culture and identity, as mandated under Section 24, Article IX of the Bangsamoro Organic Law, recognizing culture and identity as the primary cause of the Bangsamoro struggle.[^6]</w:t>
      </w:r>
    </w:p>
    <w:p>
      <w:pPr>
        <w:spacing w:after="120" w:line="276" w:lineRule="auto"/>
      </w:pPr>
      <w:r>
        <w:rPr>
          <w:rFonts w:ascii="Inter" w:hAnsi="Inter" w:cs="Inter"/>
          <w:b w:val="0"/>
          <w:i w:val="0"/>
          <w:color w:val="2D2D2D"/>
          <w:sz w:val="22"/>
        </w:rPr>
      </w:r>
      <w:r>
        <w:rPr>
          <w:rFonts w:ascii="Inter" w:hAnsi="Inter" w:cs="Inter"/>
          <w:b/>
          <w:i w:val="0"/>
          <w:color w:val="2D2D2D"/>
          <w:sz w:val="22"/>
        </w:rPr>
        <w:t>Goal 6: Strategic, adequate, and climate-resilient infrastructure.</w:t>
      </w:r>
      <w:r>
        <w:rPr>
          <w:rFonts w:ascii="Inter" w:hAnsi="Inter" w:cs="Inter"/>
          <w:b w:val="0"/>
          <w:i w:val="0"/>
          <w:color w:val="2D2D2D"/>
          <w:sz w:val="22"/>
        </w:rPr>
        <w:t xml:space="preserve"> Infrastructure that has broad-based and inclusive effects on industries and communities (strategic), meets infrastructure demands (adequate), and can withstand calamities induced by climate change (climate-resilient).[^7]</w:t>
      </w:r>
    </w:p>
    <w:p>
      <w:pPr>
        <w:pStyle w:val="Heading3"/>
      </w:pPr>
      <w:r>
        <w:rPr>
          <w:rFonts w:ascii="Inter" w:hAnsi="Inter" w:cs="Inter"/>
          <w:b/>
          <w:i w:val="0"/>
          <w:color w:val="2C5F7C"/>
          <w:sz w:val="26"/>
        </w:rPr>
        <w:t>The Eight Development Strategies</w:t>
      </w:r>
    </w:p>
    <w:p>
      <w:pPr>
        <w:spacing w:after="120" w:line="276" w:lineRule="auto"/>
      </w:pPr>
      <w:r>
        <w:rPr>
          <w:rFonts w:ascii="Inter" w:hAnsi="Inter" w:cs="Inter"/>
          <w:b w:val="0"/>
          <w:i w:val="0"/>
          <w:color w:val="2D2D2D"/>
          <w:sz w:val="22"/>
        </w:rPr>
        <w:t>Under the six goals, the BDP identifies eight strategies that describe *how* the Bangsamoro Government intends to achieve those goals. When you align your MOA's work, you map to both a goal (the *what*) and a strategy (the *how*).[^8]</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Strategy</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Primary Goal Alignment</w:t>
            </w:r>
          </w:p>
        </w:tc>
      </w:tr>
      <w:tr>
        <w:tc>
          <w:tcPr>
            <w:tcW w:type="dxa" w:w="3120"/>
          </w:tcPr>
          <w:p>
            <w:r/>
            <w:r>
              <w:rPr>
                <w:rFonts w:ascii="Inter" w:hAnsi="Inter" w:cs="Inter"/>
                <w:b w:val="0"/>
                <w:i w:val="0"/>
                <w:color w:val="2D2D2D"/>
                <w:sz w:val="19"/>
              </w:rPr>
              <w:t>**S1**</w:t>
            </w:r>
          </w:p>
        </w:tc>
        <w:tc>
          <w:tcPr>
            <w:tcW w:type="dxa" w:w="3120"/>
          </w:tcPr>
          <w:p>
            <w:r/>
            <w:r>
              <w:rPr>
                <w:rFonts w:ascii="Inter" w:hAnsi="Inter" w:cs="Inter"/>
                <w:b w:val="0"/>
                <w:i w:val="0"/>
                <w:color w:val="2D2D2D"/>
                <w:sz w:val="19"/>
              </w:rPr>
              <w:t>Improve and strengthen governance mechanisms for a stable, just, and accountable Bangsamoro government</w:t>
            </w:r>
          </w:p>
        </w:tc>
        <w:tc>
          <w:tcPr>
            <w:tcW w:type="dxa" w:w="3120"/>
          </w:tcPr>
          <w:p>
            <w:r/>
            <w:r>
              <w:rPr>
                <w:rFonts w:ascii="Inter" w:hAnsi="Inter" w:cs="Inter"/>
                <w:b w:val="0"/>
                <w:i w:val="0"/>
                <w:color w:val="2D2D2D"/>
                <w:sz w:val="19"/>
              </w:rPr>
              <w:t>G1</w:t>
            </w:r>
          </w:p>
        </w:tc>
      </w:tr>
      <w:tr>
        <w:tc>
          <w:tcPr>
            <w:tcW w:type="dxa" w:w="3120"/>
            <w:shd w:fill="F0F3F6"/>
          </w:tcPr>
          <w:p>
            <w:r/>
            <w:r>
              <w:rPr>
                <w:rFonts w:ascii="Inter" w:hAnsi="Inter" w:cs="Inter"/>
                <w:b w:val="0"/>
                <w:i w:val="0"/>
                <w:color w:val="2D2D2D"/>
                <w:sz w:val="19"/>
              </w:rPr>
              <w:t>**S2**</w:t>
            </w:r>
          </w:p>
        </w:tc>
        <w:tc>
          <w:tcPr>
            <w:tcW w:type="dxa" w:w="3120"/>
            <w:shd w:fill="F0F3F6"/>
          </w:tcPr>
          <w:p>
            <w:r/>
            <w:r>
              <w:rPr>
                <w:rFonts w:ascii="Inter" w:hAnsi="Inter" w:cs="Inter"/>
                <w:b w:val="0"/>
                <w:i w:val="0"/>
                <w:color w:val="2D2D2D"/>
                <w:sz w:val="19"/>
              </w:rPr>
              <w:t>Create an enabling environment towards an equitable, competitive, and robust economy</w:t>
            </w:r>
          </w:p>
        </w:tc>
        <w:tc>
          <w:tcPr>
            <w:tcW w:type="dxa" w:w="3120"/>
            <w:shd w:fill="F0F3F6"/>
          </w:tcPr>
          <w:p>
            <w:r/>
            <w:r>
              <w:rPr>
                <w:rFonts w:ascii="Inter" w:hAnsi="Inter" w:cs="Inter"/>
                <w:b w:val="0"/>
                <w:i w:val="0"/>
                <w:color w:val="2D2D2D"/>
                <w:sz w:val="19"/>
              </w:rPr>
              <w:t>G2</w:t>
            </w:r>
          </w:p>
        </w:tc>
      </w:tr>
      <w:tr>
        <w:tc>
          <w:tcPr>
            <w:tcW w:type="dxa" w:w="3120"/>
          </w:tcPr>
          <w:p>
            <w:r/>
            <w:r>
              <w:rPr>
                <w:rFonts w:ascii="Inter" w:hAnsi="Inter" w:cs="Inter"/>
                <w:b w:val="0"/>
                <w:i w:val="0"/>
                <w:color w:val="2D2D2D"/>
                <w:sz w:val="19"/>
              </w:rPr>
              <w:t>**S3**</w:t>
            </w:r>
          </w:p>
        </w:tc>
        <w:tc>
          <w:tcPr>
            <w:tcW w:type="dxa" w:w="3120"/>
          </w:tcPr>
          <w:p>
            <w:r/>
            <w:r>
              <w:rPr>
                <w:rFonts w:ascii="Inter" w:hAnsi="Inter" w:cs="Inter"/>
                <w:b w:val="0"/>
                <w:i w:val="0"/>
                <w:color w:val="2D2D2D"/>
                <w:sz w:val="19"/>
              </w:rPr>
              <w:t>Harness technology and innovations to increase socioeconomic opportunities and improve government services</w:t>
            </w:r>
          </w:p>
        </w:tc>
        <w:tc>
          <w:tcPr>
            <w:tcW w:type="dxa" w:w="3120"/>
          </w:tcPr>
          <w:p>
            <w:r/>
            <w:r>
              <w:rPr>
                <w:rFonts w:ascii="Inter" w:hAnsi="Inter" w:cs="Inter"/>
                <w:b w:val="0"/>
                <w:i w:val="0"/>
                <w:color w:val="2D2D2D"/>
                <w:sz w:val="19"/>
              </w:rPr>
              <w:t>G1, G2</w:t>
            </w:r>
          </w:p>
        </w:tc>
      </w:tr>
      <w:tr>
        <w:tc>
          <w:tcPr>
            <w:tcW w:type="dxa" w:w="3120"/>
            <w:shd w:fill="F0F3F6"/>
          </w:tcPr>
          <w:p>
            <w:r/>
            <w:r>
              <w:rPr>
                <w:rFonts w:ascii="Inter" w:hAnsi="Inter" w:cs="Inter"/>
                <w:b w:val="0"/>
                <w:i w:val="0"/>
                <w:color w:val="2D2D2D"/>
                <w:sz w:val="19"/>
              </w:rPr>
              <w:t>**S4**</w:t>
            </w:r>
          </w:p>
        </w:tc>
        <w:tc>
          <w:tcPr>
            <w:tcW w:type="dxa" w:w="3120"/>
            <w:shd w:fill="F0F3F6"/>
          </w:tcPr>
          <w:p>
            <w:r/>
            <w:r>
              <w:rPr>
                <w:rFonts w:ascii="Inter" w:hAnsi="Inter" w:cs="Inter"/>
                <w:b w:val="0"/>
                <w:i w:val="0"/>
                <w:color w:val="2D2D2D"/>
                <w:sz w:val="19"/>
              </w:rPr>
              <w:t>Improve ecological integrity, resilience of communities, and ensure a healthy and clean environment</w:t>
            </w:r>
          </w:p>
        </w:tc>
        <w:tc>
          <w:tcPr>
            <w:tcW w:type="dxa" w:w="3120"/>
            <w:shd w:fill="F0F3F6"/>
          </w:tcPr>
          <w:p>
            <w:r/>
            <w:r>
              <w:rPr>
                <w:rFonts w:ascii="Inter" w:hAnsi="Inter" w:cs="Inter"/>
                <w:b w:val="0"/>
                <w:i w:val="0"/>
                <w:color w:val="2D2D2D"/>
                <w:sz w:val="19"/>
              </w:rPr>
              <w:t>G3, G6</w:t>
            </w:r>
          </w:p>
        </w:tc>
      </w:tr>
      <w:tr>
        <w:tc>
          <w:tcPr>
            <w:tcW w:type="dxa" w:w="3120"/>
          </w:tcPr>
          <w:p>
            <w:r/>
            <w:r>
              <w:rPr>
                <w:rFonts w:ascii="Inter" w:hAnsi="Inter" w:cs="Inter"/>
                <w:b w:val="0"/>
                <w:i w:val="0"/>
                <w:color w:val="2D2D2D"/>
                <w:sz w:val="19"/>
              </w:rPr>
              <w:t>**S5**</w:t>
            </w:r>
          </w:p>
        </w:tc>
        <w:tc>
          <w:tcPr>
            <w:tcW w:type="dxa" w:w="3120"/>
          </w:tcPr>
          <w:p>
            <w:r/>
            <w:r>
              <w:rPr>
                <w:rFonts w:ascii="Inter" w:hAnsi="Inter" w:cs="Inter"/>
                <w:b w:val="0"/>
                <w:i w:val="0"/>
                <w:color w:val="2D2D2D"/>
                <w:sz w:val="19"/>
              </w:rPr>
              <w:t>Enhance and strengthen the peace, public order, safety, and security and uphold human rights</w:t>
            </w:r>
          </w:p>
        </w:tc>
        <w:tc>
          <w:tcPr>
            <w:tcW w:type="dxa" w:w="3120"/>
          </w:tcPr>
          <w:p>
            <w:r/>
            <w:r>
              <w:rPr>
                <w:rFonts w:ascii="Inter" w:hAnsi="Inter" w:cs="Inter"/>
                <w:b w:val="0"/>
                <w:i w:val="0"/>
                <w:color w:val="2D2D2D"/>
                <w:sz w:val="19"/>
              </w:rPr>
              <w:t>G3</w:t>
            </w:r>
          </w:p>
        </w:tc>
      </w:tr>
      <w:tr>
        <w:tc>
          <w:tcPr>
            <w:tcW w:type="dxa" w:w="3120"/>
            <w:shd w:fill="F0F3F6"/>
          </w:tcPr>
          <w:p>
            <w:r/>
            <w:r>
              <w:rPr>
                <w:rFonts w:ascii="Inter" w:hAnsi="Inter" w:cs="Inter"/>
                <w:b w:val="0"/>
                <w:i w:val="0"/>
                <w:color w:val="2D2D2D"/>
                <w:sz w:val="19"/>
              </w:rPr>
              <w:t>**S6**</w:t>
            </w:r>
          </w:p>
        </w:tc>
        <w:tc>
          <w:tcPr>
            <w:tcW w:type="dxa" w:w="3120"/>
            <w:shd w:fill="F0F3F6"/>
          </w:tcPr>
          <w:p>
            <w:r/>
            <w:r>
              <w:rPr>
                <w:rFonts w:ascii="Inter" w:hAnsi="Inter" w:cs="Inter"/>
                <w:b w:val="0"/>
                <w:i w:val="0"/>
                <w:color w:val="2D2D2D"/>
                <w:sz w:val="19"/>
              </w:rPr>
              <w:t>Ensure inclusive and equitable access to quality services for social justice and human capital development</w:t>
            </w:r>
          </w:p>
        </w:tc>
        <w:tc>
          <w:tcPr>
            <w:tcW w:type="dxa" w:w="3120"/>
            <w:shd w:fill="F0F3F6"/>
          </w:tcPr>
          <w:p>
            <w:r/>
            <w:r>
              <w:rPr>
                <w:rFonts w:ascii="Inter" w:hAnsi="Inter" w:cs="Inter"/>
                <w:b w:val="0"/>
                <w:i w:val="0"/>
                <w:color w:val="2D2D2D"/>
                <w:sz w:val="19"/>
              </w:rPr>
              <w:t>G4</w:t>
            </w:r>
          </w:p>
        </w:tc>
      </w:tr>
      <w:tr>
        <w:tc>
          <w:tcPr>
            <w:tcW w:type="dxa" w:w="3120"/>
          </w:tcPr>
          <w:p>
            <w:r/>
            <w:r>
              <w:rPr>
                <w:rFonts w:ascii="Inter" w:hAnsi="Inter" w:cs="Inter"/>
                <w:b w:val="0"/>
                <w:i w:val="0"/>
                <w:color w:val="2D2D2D"/>
                <w:sz w:val="19"/>
              </w:rPr>
              <w:t>**S7**</w:t>
            </w:r>
          </w:p>
        </w:tc>
        <w:tc>
          <w:tcPr>
            <w:tcW w:type="dxa" w:w="3120"/>
          </w:tcPr>
          <w:p>
            <w:r/>
            <w:r>
              <w:rPr>
                <w:rFonts w:ascii="Inter" w:hAnsi="Inter" w:cs="Inter"/>
                <w:b w:val="0"/>
                <w:i w:val="0"/>
                <w:color w:val="2D2D2D"/>
                <w:sz w:val="19"/>
              </w:rPr>
              <w:t>Mainstream Bangsamoro cultural diversity, beliefs, heritage, and identity</w:t>
            </w:r>
          </w:p>
        </w:tc>
        <w:tc>
          <w:tcPr>
            <w:tcW w:type="dxa" w:w="3120"/>
          </w:tcPr>
          <w:p>
            <w:r/>
            <w:r>
              <w:rPr>
                <w:rFonts w:ascii="Inter" w:hAnsi="Inter" w:cs="Inter"/>
                <w:b w:val="0"/>
                <w:i w:val="0"/>
                <w:color w:val="2D2D2D"/>
                <w:sz w:val="19"/>
              </w:rPr>
              <w:t>G5</w:t>
            </w:r>
          </w:p>
        </w:tc>
      </w:tr>
      <w:tr>
        <w:tc>
          <w:tcPr>
            <w:tcW w:type="dxa" w:w="3120"/>
            <w:shd w:fill="F0F3F6"/>
          </w:tcPr>
          <w:p>
            <w:r/>
            <w:r>
              <w:rPr>
                <w:rFonts w:ascii="Inter" w:hAnsi="Inter" w:cs="Inter"/>
                <w:b w:val="0"/>
                <w:i w:val="0"/>
                <w:color w:val="2D2D2D"/>
                <w:sz w:val="19"/>
              </w:rPr>
              <w:t>**S8**</w:t>
            </w:r>
          </w:p>
        </w:tc>
        <w:tc>
          <w:tcPr>
            <w:tcW w:type="dxa" w:w="3120"/>
            <w:shd w:fill="F0F3F6"/>
          </w:tcPr>
          <w:p>
            <w:r/>
            <w:r>
              <w:rPr>
                <w:rFonts w:ascii="Inter" w:hAnsi="Inter" w:cs="Inter"/>
                <w:b w:val="0"/>
                <w:i w:val="0"/>
                <w:color w:val="2D2D2D"/>
                <w:sz w:val="19"/>
              </w:rPr>
              <w:t>Scale-up functional, strategic, climate-resilient, and quality infrastructure</w:t>
            </w:r>
          </w:p>
        </w:tc>
        <w:tc>
          <w:tcPr>
            <w:tcW w:type="dxa" w:w="3120"/>
            <w:shd w:fill="F0F3F6"/>
          </w:tcPr>
          <w:p>
            <w:r/>
            <w:r>
              <w:rPr>
                <w:rFonts w:ascii="Inter" w:hAnsi="Inter" w:cs="Inter"/>
                <w:b w:val="0"/>
                <w:i w:val="0"/>
                <w:color w:val="2D2D2D"/>
                <w:sz w:val="19"/>
              </w:rPr>
              <w:t>G6</w:t>
            </w:r>
          </w:p>
        </w:tc>
      </w:tr>
    </w:tbl>
    <w:p/>
    <w:p>
      <w:pPr>
        <w:spacing w:after="120" w:line="276" w:lineRule="auto"/>
      </w:pPr>
      <w:r>
        <w:rPr>
          <w:rFonts w:ascii="Inter" w:hAnsi="Inter" w:cs="Inter"/>
          <w:b w:val="0"/>
          <w:i w:val="0"/>
          <w:color w:val="2D2D2D"/>
          <w:sz w:val="22"/>
        </w:rPr>
        <w:t>Notice that some strategies serve a single goal (S1 serves G1), while others are cross-cutting (S3 serves both G1 and G2, S4 serves both G3 and G6). This matters when you map your MOA's work --- a single mandate can align with multiple strategies across different goals.</w:t>
      </w:r>
    </w:p>
    <w:p>
      <w:pPr>
        <w:pStyle w:val="Heading3"/>
      </w:pPr>
      <w:r>
        <w:rPr>
          <w:rFonts w:ascii="Inter" w:hAnsi="Inter" w:cs="Inter"/>
          <w:b/>
          <w:i w:val="0"/>
          <w:color w:val="2C5F7C"/>
          <w:sz w:val="26"/>
        </w:rPr>
        <w:t>Goal-to-Sector Mapping</w:t>
      </w:r>
    </w:p>
    <w:p>
      <w:pPr>
        <w:spacing w:after="120" w:line="276" w:lineRule="auto"/>
      </w:pPr>
      <w:r>
        <w:rPr>
          <w:rFonts w:ascii="Inter" w:hAnsi="Inter" w:cs="Inter"/>
          <w:b w:val="0"/>
          <w:i w:val="0"/>
          <w:color w:val="2D2D2D"/>
          <w:sz w:val="22"/>
        </w:rPr>
        <w:t>Different types of MOAs naturally align with different BDP goals. This is not a rigid assignment --- a health ministry can contribute to economic development, and a finance ministry can contribute to social services --- but it helps you identify your starting point.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MOA Sector</w:t>
            </w:r>
          </w:p>
        </w:tc>
        <w:tc>
          <w:tcPr>
            <w:tcW w:type="dxa" w:w="3120"/>
            <w:shd w:fill="1B365D"/>
          </w:tcPr>
          <w:p>
            <w:r/>
            <w:r>
              <w:rPr>
                <w:rFonts w:ascii="Inter" w:hAnsi="Inter" w:cs="Inter"/>
                <w:b/>
                <w:i w:val="0"/>
                <w:color w:val="FFFFFF"/>
                <w:sz w:val="19"/>
              </w:rPr>
              <w:t>Primary BDP Goal(s)</w:t>
            </w:r>
          </w:p>
        </w:tc>
        <w:tc>
          <w:tcPr>
            <w:tcW w:type="dxa" w:w="3120"/>
            <w:shd w:fill="1B365D"/>
          </w:tcPr>
          <w:p>
            <w:r/>
            <w:r>
              <w:rPr>
                <w:rFonts w:ascii="Inter" w:hAnsi="Inter" w:cs="Inter"/>
                <w:b/>
                <w:i w:val="0"/>
                <w:color w:val="FFFFFF"/>
                <w:sz w:val="19"/>
              </w:rPr>
              <w:t>Rationale</w:t>
            </w:r>
          </w:p>
        </w:tc>
      </w:tr>
      <w:tr>
        <w:tc>
          <w:tcPr>
            <w:tcW w:type="dxa" w:w="3120"/>
          </w:tcPr>
          <w:p>
            <w:r/>
            <w:r>
              <w:rPr>
                <w:rFonts w:ascii="Inter" w:hAnsi="Inter" w:cs="Inter"/>
                <w:b w:val="0"/>
                <w:i w:val="0"/>
                <w:color w:val="2D2D2D"/>
                <w:sz w:val="19"/>
              </w:rPr>
              <w:t>Governance, finance, administrative agencies</w:t>
            </w:r>
          </w:p>
        </w:tc>
        <w:tc>
          <w:tcPr>
            <w:tcW w:type="dxa" w:w="3120"/>
          </w:tcPr>
          <w:p>
            <w:r/>
            <w:r>
              <w:rPr>
                <w:rFonts w:ascii="Inter" w:hAnsi="Inter" w:cs="Inter"/>
                <w:b w:val="0"/>
                <w:i w:val="0"/>
                <w:color w:val="2D2D2D"/>
                <w:sz w:val="19"/>
              </w:rPr>
              <w:t>G1</w:t>
            </w:r>
          </w:p>
        </w:tc>
        <w:tc>
          <w:tcPr>
            <w:tcW w:type="dxa" w:w="3120"/>
          </w:tcPr>
          <w:p>
            <w:r/>
            <w:r>
              <w:rPr>
                <w:rFonts w:ascii="Inter" w:hAnsi="Inter" w:cs="Inter"/>
                <w:b w:val="0"/>
                <w:i w:val="0"/>
                <w:color w:val="2D2D2D"/>
                <w:sz w:val="19"/>
              </w:rPr>
              <w:t>Core function is institutional stability and accountability</w:t>
            </w:r>
          </w:p>
        </w:tc>
      </w:tr>
      <w:tr>
        <w:tc>
          <w:tcPr>
            <w:tcW w:type="dxa" w:w="3120"/>
            <w:shd w:fill="F0F3F6"/>
          </w:tcPr>
          <w:p>
            <w:r/>
            <w:r>
              <w:rPr>
                <w:rFonts w:ascii="Inter" w:hAnsi="Inter" w:cs="Inter"/>
                <w:b w:val="0"/>
                <w:i w:val="0"/>
                <w:color w:val="2D2D2D"/>
                <w:sz w:val="19"/>
              </w:rPr>
              <w:t>Trade, investment, agriculture, labor</w:t>
            </w:r>
          </w:p>
        </w:tc>
        <w:tc>
          <w:tcPr>
            <w:tcW w:type="dxa" w:w="3120"/>
            <w:shd w:fill="F0F3F6"/>
          </w:tcPr>
          <w:p>
            <w:r/>
            <w:r>
              <w:rPr>
                <w:rFonts w:ascii="Inter" w:hAnsi="Inter" w:cs="Inter"/>
                <w:b w:val="0"/>
                <w:i w:val="0"/>
                <w:color w:val="2D2D2D"/>
                <w:sz w:val="19"/>
              </w:rPr>
              <w:t>G2</w:t>
            </w:r>
          </w:p>
        </w:tc>
        <w:tc>
          <w:tcPr>
            <w:tcW w:type="dxa" w:w="3120"/>
            <w:shd w:fill="F0F3F6"/>
          </w:tcPr>
          <w:p>
            <w:r/>
            <w:r>
              <w:rPr>
                <w:rFonts w:ascii="Inter" w:hAnsi="Inter" w:cs="Inter"/>
                <w:b w:val="0"/>
                <w:i w:val="0"/>
                <w:color w:val="2D2D2D"/>
                <w:sz w:val="19"/>
              </w:rPr>
              <w:t>Core function is economic growth and employment</w:t>
            </w:r>
          </w:p>
        </w:tc>
      </w:tr>
      <w:tr>
        <w:tc>
          <w:tcPr>
            <w:tcW w:type="dxa" w:w="3120"/>
          </w:tcPr>
          <w:p>
            <w:r/>
            <w:r>
              <w:rPr>
                <w:rFonts w:ascii="Inter" w:hAnsi="Inter" w:cs="Inter"/>
                <w:b w:val="0"/>
                <w:i w:val="0"/>
                <w:color w:val="2D2D2D"/>
                <w:sz w:val="19"/>
              </w:rPr>
              <w:t>Peace, security, disaster management</w:t>
            </w:r>
          </w:p>
        </w:tc>
        <w:tc>
          <w:tcPr>
            <w:tcW w:type="dxa" w:w="3120"/>
          </w:tcPr>
          <w:p>
            <w:r/>
            <w:r>
              <w:rPr>
                <w:rFonts w:ascii="Inter" w:hAnsi="Inter" w:cs="Inter"/>
                <w:b w:val="0"/>
                <w:i w:val="0"/>
                <w:color w:val="2D2D2D"/>
                <w:sz w:val="19"/>
              </w:rPr>
              <w:t>G3</w:t>
            </w:r>
          </w:p>
        </w:tc>
        <w:tc>
          <w:tcPr>
            <w:tcW w:type="dxa" w:w="3120"/>
          </w:tcPr>
          <w:p>
            <w:r/>
            <w:r>
              <w:rPr>
                <w:rFonts w:ascii="Inter" w:hAnsi="Inter" w:cs="Inter"/>
                <w:b w:val="0"/>
                <w:i w:val="0"/>
                <w:color w:val="2D2D2D"/>
                <w:sz w:val="19"/>
              </w:rPr>
              <w:t>Core function is peace, safety, and resilience</w:t>
            </w:r>
          </w:p>
        </w:tc>
      </w:tr>
      <w:tr>
        <w:tc>
          <w:tcPr>
            <w:tcW w:type="dxa" w:w="3120"/>
            <w:shd w:fill="F0F3F6"/>
          </w:tcPr>
          <w:p>
            <w:r/>
            <w:r>
              <w:rPr>
                <w:rFonts w:ascii="Inter" w:hAnsi="Inter" w:cs="Inter"/>
                <w:b w:val="0"/>
                <w:i w:val="0"/>
                <w:color w:val="2D2D2D"/>
                <w:sz w:val="19"/>
              </w:rPr>
              <w:t>Education, health, social welfare</w:t>
            </w:r>
          </w:p>
        </w:tc>
        <w:tc>
          <w:tcPr>
            <w:tcW w:type="dxa" w:w="3120"/>
            <w:shd w:fill="F0F3F6"/>
          </w:tcPr>
          <w:p>
            <w:r/>
            <w:r>
              <w:rPr>
                <w:rFonts w:ascii="Inter" w:hAnsi="Inter" w:cs="Inter"/>
                <w:b w:val="0"/>
                <w:i w:val="0"/>
                <w:color w:val="2D2D2D"/>
                <w:sz w:val="19"/>
              </w:rPr>
              <w:t>G4</w:t>
            </w:r>
          </w:p>
        </w:tc>
        <w:tc>
          <w:tcPr>
            <w:tcW w:type="dxa" w:w="3120"/>
            <w:shd w:fill="F0F3F6"/>
          </w:tcPr>
          <w:p>
            <w:r/>
            <w:r>
              <w:rPr>
                <w:rFonts w:ascii="Inter" w:hAnsi="Inter" w:cs="Inter"/>
                <w:b w:val="0"/>
                <w:i w:val="0"/>
                <w:color w:val="2D2D2D"/>
                <w:sz w:val="19"/>
              </w:rPr>
              <w:t>Core function is service delivery to people</w:t>
            </w:r>
          </w:p>
        </w:tc>
      </w:tr>
      <w:tr>
        <w:tc>
          <w:tcPr>
            <w:tcW w:type="dxa" w:w="3120"/>
          </w:tcPr>
          <w:p>
            <w:r/>
            <w:r>
              <w:rPr>
                <w:rFonts w:ascii="Inter" w:hAnsi="Inter" w:cs="Inter"/>
                <w:b w:val="0"/>
                <w:i w:val="0"/>
                <w:color w:val="2D2D2D"/>
                <w:sz w:val="19"/>
              </w:rPr>
              <w:t>Culture, indigenous peoples' affairs</w:t>
            </w:r>
          </w:p>
        </w:tc>
        <w:tc>
          <w:tcPr>
            <w:tcW w:type="dxa" w:w="3120"/>
          </w:tcPr>
          <w:p>
            <w:r/>
            <w:r>
              <w:rPr>
                <w:rFonts w:ascii="Inter" w:hAnsi="Inter" w:cs="Inter"/>
                <w:b w:val="0"/>
                <w:i w:val="0"/>
                <w:color w:val="2D2D2D"/>
                <w:sz w:val="19"/>
              </w:rPr>
              <w:t>G5</w:t>
            </w:r>
          </w:p>
        </w:tc>
        <w:tc>
          <w:tcPr>
            <w:tcW w:type="dxa" w:w="3120"/>
          </w:tcPr>
          <w:p>
            <w:r/>
            <w:r>
              <w:rPr>
                <w:rFonts w:ascii="Inter" w:hAnsi="Inter" w:cs="Inter"/>
                <w:b w:val="0"/>
                <w:i w:val="0"/>
                <w:color w:val="2D2D2D"/>
                <w:sz w:val="19"/>
              </w:rPr>
              <w:t>Core function is cultural preservation and promotion</w:t>
            </w:r>
          </w:p>
        </w:tc>
      </w:tr>
      <w:tr>
        <w:tc>
          <w:tcPr>
            <w:tcW w:type="dxa" w:w="3120"/>
            <w:shd w:fill="F0F3F6"/>
          </w:tcPr>
          <w:p>
            <w:r/>
            <w:r>
              <w:rPr>
                <w:rFonts w:ascii="Inter" w:hAnsi="Inter" w:cs="Inter"/>
                <w:b w:val="0"/>
                <w:i w:val="0"/>
                <w:color w:val="2D2D2D"/>
                <w:sz w:val="19"/>
              </w:rPr>
              <w:t>Public works, infrastructure, transport</w:t>
            </w:r>
          </w:p>
        </w:tc>
        <w:tc>
          <w:tcPr>
            <w:tcW w:type="dxa" w:w="3120"/>
            <w:shd w:fill="F0F3F6"/>
          </w:tcPr>
          <w:p>
            <w:r/>
            <w:r>
              <w:rPr>
                <w:rFonts w:ascii="Inter" w:hAnsi="Inter" w:cs="Inter"/>
                <w:b w:val="0"/>
                <w:i w:val="0"/>
                <w:color w:val="2D2D2D"/>
                <w:sz w:val="19"/>
              </w:rPr>
              <w:t>G6</w:t>
            </w:r>
          </w:p>
        </w:tc>
        <w:tc>
          <w:tcPr>
            <w:tcW w:type="dxa" w:w="3120"/>
            <w:shd w:fill="F0F3F6"/>
          </w:tcPr>
          <w:p>
            <w:r/>
            <w:r>
              <w:rPr>
                <w:rFonts w:ascii="Inter" w:hAnsi="Inter" w:cs="Inter"/>
                <w:b w:val="0"/>
                <w:i w:val="0"/>
                <w:color w:val="2D2D2D"/>
                <w:sz w:val="19"/>
              </w:rPr>
              <w:t>Core function is physical infrastructure</w:t>
            </w:r>
          </w:p>
        </w:tc>
      </w:tr>
      <w:tr>
        <w:tc>
          <w:tcPr>
            <w:tcW w:type="dxa" w:w="3120"/>
          </w:tcPr>
          <w:p>
            <w:r/>
            <w:r>
              <w:rPr>
                <w:rFonts w:ascii="Inter" w:hAnsi="Inter" w:cs="Inter"/>
                <w:b w:val="0"/>
                <w:i w:val="0"/>
                <w:color w:val="2D2D2D"/>
                <w:sz w:val="19"/>
              </w:rPr>
              <w:t>Environment, natural resources, energy</w:t>
            </w:r>
          </w:p>
        </w:tc>
        <w:tc>
          <w:tcPr>
            <w:tcW w:type="dxa" w:w="3120"/>
          </w:tcPr>
          <w:p>
            <w:r/>
            <w:r>
              <w:rPr>
                <w:rFonts w:ascii="Inter" w:hAnsi="Inter" w:cs="Inter"/>
                <w:b w:val="0"/>
                <w:i w:val="0"/>
                <w:color w:val="2D2D2D"/>
                <w:sz w:val="19"/>
              </w:rPr>
              <w:t>G3, G6 (via S4)</w:t>
            </w:r>
          </w:p>
        </w:tc>
        <w:tc>
          <w:tcPr>
            <w:tcW w:type="dxa" w:w="3120"/>
          </w:tcPr>
          <w:p>
            <w:r/>
            <w:r>
              <w:rPr>
                <w:rFonts w:ascii="Inter" w:hAnsi="Inter" w:cs="Inter"/>
                <w:b w:val="0"/>
                <w:i w:val="0"/>
                <w:color w:val="2D2D2D"/>
                <w:sz w:val="19"/>
              </w:rPr>
              <w:t>Environmental protection intersects with resilience and infrastructure</w:t>
            </w:r>
          </w:p>
        </w:tc>
      </w:tr>
      <w:tr>
        <w:tc>
          <w:tcPr>
            <w:tcW w:type="dxa" w:w="3120"/>
            <w:shd w:fill="F0F3F6"/>
          </w:tcPr>
          <w:p>
            <w:r/>
            <w:r>
              <w:rPr>
                <w:rFonts w:ascii="Inter" w:hAnsi="Inter" w:cs="Inter"/>
                <w:b w:val="0"/>
                <w:i w:val="0"/>
                <w:color w:val="2D2D2D"/>
                <w:sz w:val="19"/>
              </w:rPr>
              <w:t>Technology, science, innovation</w:t>
            </w:r>
          </w:p>
        </w:tc>
        <w:tc>
          <w:tcPr>
            <w:tcW w:type="dxa" w:w="3120"/>
            <w:shd w:fill="F0F3F6"/>
          </w:tcPr>
          <w:p>
            <w:r/>
            <w:r>
              <w:rPr>
                <w:rFonts w:ascii="Inter" w:hAnsi="Inter" w:cs="Inter"/>
                <w:b w:val="0"/>
                <w:i w:val="0"/>
                <w:color w:val="2D2D2D"/>
                <w:sz w:val="19"/>
              </w:rPr>
              <w:t>G1, G2 (via S3)</w:t>
            </w:r>
          </w:p>
        </w:tc>
        <w:tc>
          <w:tcPr>
            <w:tcW w:type="dxa" w:w="3120"/>
            <w:shd w:fill="F0F3F6"/>
          </w:tcPr>
          <w:p>
            <w:r/>
            <w:r>
              <w:rPr>
                <w:rFonts w:ascii="Inter" w:hAnsi="Inter" w:cs="Inter"/>
                <w:b w:val="0"/>
                <w:i w:val="0"/>
                <w:color w:val="2D2D2D"/>
                <w:sz w:val="19"/>
              </w:rPr>
              <w:t>Technology cuts across governance and economic functions</w:t>
            </w:r>
          </w:p>
        </w:tc>
      </w:tr>
    </w:tbl>
    <w:p/>
    <w:p>
      <w:pPr>
        <w:pStyle w:val="Heading3"/>
      </w:pPr>
      <w:r>
        <w:rPr>
          <w:rFonts w:ascii="Inter" w:hAnsi="Inter" w:cs="Inter"/>
          <w:b/>
          <w:i w:val="0"/>
          <w:color w:val="2C5F7C"/>
          <w:sz w:val="26"/>
        </w:rPr>
        <w:t>Primary vs. Contributory Alignment</w:t>
      </w:r>
    </w:p>
    <w:p>
      <w:pPr>
        <w:spacing w:after="120" w:line="276" w:lineRule="auto"/>
      </w:pPr>
      <w:r>
        <w:rPr>
          <w:rFonts w:ascii="Inter" w:hAnsi="Inter" w:cs="Inter"/>
          <w:b w:val="0"/>
          <w:i w:val="0"/>
          <w:color w:val="2D2D2D"/>
          <w:sz w:val="22"/>
        </w:rPr>
        <w:t xml:space="preserve">Your MOA will have a </w:t>
      </w:r>
      <w:r>
        <w:rPr>
          <w:rFonts w:ascii="Inter" w:hAnsi="Inter" w:cs="Inter"/>
          <w:b/>
          <w:i w:val="0"/>
          <w:color w:val="2D2D2D"/>
          <w:sz w:val="22"/>
        </w:rPr>
        <w:t>primary alignment</w:t>
      </w:r>
      <w:r>
        <w:rPr>
          <w:rFonts w:ascii="Inter" w:hAnsi="Inter" w:cs="Inter"/>
          <w:b w:val="0"/>
          <w:i w:val="0"/>
          <w:color w:val="2D2D2D"/>
          <w:sz w:val="22"/>
        </w:rPr>
        <w:t xml:space="preserve"> --- the BDP goal that your core mandate most directly serves. This is the goal where your MOA's work is the main mechanism for achieving the development outcome.</w:t>
      </w:r>
    </w:p>
    <w:p>
      <w:pPr>
        <w:spacing w:after="120" w:line="276" w:lineRule="auto"/>
      </w:pPr>
      <w:r>
        <w:rPr>
          <w:rFonts w:ascii="Inter" w:hAnsi="Inter" w:cs="Inter"/>
          <w:b w:val="0"/>
          <w:i w:val="0"/>
          <w:color w:val="2D2D2D"/>
          <w:sz w:val="22"/>
        </w:rPr>
        <w:t xml:space="preserve">Your MOA will also have </w:t>
      </w:r>
      <w:r>
        <w:rPr>
          <w:rFonts w:ascii="Inter" w:hAnsi="Inter" w:cs="Inter"/>
          <w:b/>
          <w:i w:val="0"/>
          <w:color w:val="2D2D2D"/>
          <w:sz w:val="22"/>
        </w:rPr>
        <w:t>contributory alignments</w:t>
      </w:r>
      <w:r>
        <w:rPr>
          <w:rFonts w:ascii="Inter" w:hAnsi="Inter" w:cs="Inter"/>
          <w:b w:val="0"/>
          <w:i w:val="0"/>
          <w:color w:val="2D2D2D"/>
          <w:sz w:val="22"/>
        </w:rPr>
        <w:t xml:space="preserve"> --- BDP goals where your work supports the outcome indirectly or partially. Contributory alignment is real and valuable, but it is not the center of your MOA's mission.</w:t>
      </w:r>
    </w:p>
    <w:p>
      <w:pPr>
        <w:spacing w:after="120" w:line="276" w:lineRule="auto"/>
      </w:pPr>
      <w:r>
        <w:rPr>
          <w:rFonts w:ascii="Inter" w:hAnsi="Inter" w:cs="Inter"/>
          <w:b w:val="0"/>
          <w:i w:val="0"/>
          <w:color w:val="2D2D2D"/>
          <w:sz w:val="22"/>
        </w:rPr>
        <w:t>The distinction matters for two reasons:</w:t>
      </w:r>
    </w:p>
    <w:p>
      <w:pPr>
        <w:pStyle w:val="ListNumber"/>
      </w:pPr>
      <w:r>
        <w:rPr>
          <w:rFonts w:ascii="Inter" w:hAnsi="Inter" w:cs="Inter"/>
          <w:b w:val="0"/>
          <w:i w:val="0"/>
          <w:color w:val="2D2D2D"/>
          <w:sz w:val="22"/>
        </w:rPr>
      </w:r>
      <w:r>
        <w:rPr>
          <w:rFonts w:ascii="Inter" w:hAnsi="Inter" w:cs="Inter"/>
          <w:b/>
          <w:i w:val="0"/>
          <w:color w:val="2D2D2D"/>
          <w:sz w:val="22"/>
        </w:rPr>
        <w:t>Resource allocation.</w:t>
      </w:r>
      <w:r>
        <w:rPr>
          <w:rFonts w:ascii="Inter" w:hAnsi="Inter" w:cs="Inter"/>
          <w:b w:val="0"/>
          <w:i w:val="0"/>
          <w:color w:val="2D2D2D"/>
          <w:sz w:val="22"/>
        </w:rPr>
        <w:t xml:space="preserve"> Your strategic plan should concentrate resources on your primary alignment. If you spread resources equally across six goals, you are not making strategic choices.</w:t>
      </w:r>
    </w:p>
    <w:p>
      <w:pPr>
        <w:pStyle w:val="ListNumber"/>
      </w:pPr>
      <w:r>
        <w:rPr>
          <w:rFonts w:ascii="Inter" w:hAnsi="Inter" w:cs="Inter"/>
          <w:b w:val="0"/>
          <w:i w:val="0"/>
          <w:color w:val="2D2D2D"/>
          <w:sz w:val="22"/>
        </w:rPr>
      </w:r>
      <w:r>
        <w:rPr>
          <w:rFonts w:ascii="Inter" w:hAnsi="Inter" w:cs="Inter"/>
          <w:b/>
          <w:i w:val="0"/>
          <w:color w:val="2D2D2D"/>
          <w:sz w:val="22"/>
        </w:rPr>
        <w:t>Accountability.</w:t>
      </w:r>
      <w:r>
        <w:rPr>
          <w:rFonts w:ascii="Inter" w:hAnsi="Inter" w:cs="Inter"/>
          <w:b w:val="0"/>
          <w:i w:val="0"/>
          <w:color w:val="2D2D2D"/>
          <w:sz w:val="22"/>
        </w:rPr>
        <w:t xml:space="preserve"> BPDA holds you primarily accountable for your primary alignment. If the BDP goal you claim as primary does not show progress, BPDA will look at the MOAs that claimed primary alignment with that goal --- including yours.</w:t>
      </w:r>
    </w:p>
    <w:p>
      <w:pPr>
        <w:pStyle w:val="Heading3"/>
      </w:pPr>
      <w:r>
        <w:rPr>
          <w:rFonts w:ascii="Inter" w:hAnsi="Inter" w:cs="Inter"/>
          <w:b/>
          <w:i w:val="0"/>
          <w:color w:val="2C5F7C"/>
          <w:sz w:val="26"/>
        </w:rPr>
        <w:t>Contribution Statements</w:t>
      </w:r>
    </w:p>
    <w:p>
      <w:pPr>
        <w:spacing w:after="120" w:line="276" w:lineRule="auto"/>
      </w:pPr>
      <w:r>
        <w:rPr>
          <w:rFonts w:ascii="Inter" w:hAnsi="Inter" w:cs="Inter"/>
          <w:b w:val="0"/>
          <w:i w:val="0"/>
          <w:color w:val="2D2D2D"/>
          <w:sz w:val="22"/>
        </w:rPr>
        <w:t>A contribution statement is a structured sentence that explains *how* your MOA contributes to a specific BDP goal. It follows this format:</w:t>
      </w:r>
    </w:p>
    <w:p>
      <w:pPr>
        <w:spacing w:after="120" w:line="276" w:lineRule="auto"/>
        <w:ind w:left="850"/>
      </w:pPr>
      <w:r>
        <w:rPr>
          <w:rFonts w:ascii="Inter" w:hAnsi="Inter" w:cs="Inter"/>
          <w:b w:val="0"/>
          <w:i/>
          <w:color w:val="2D2D2D"/>
          <w:sz w:val="22"/>
        </w:rPr>
        <w:t>"Through [legal mandate or function], [MOA name] contributes to BDP Goal [number]: [goal name] by [specific mechanism or activity that produces the contribution]."</w:t>
      </w:r>
    </w:p>
    <w:p>
      <w:pPr>
        <w:spacing w:after="120" w:line="276" w:lineRule="auto"/>
      </w:pPr>
      <w:r>
        <w:rPr>
          <w:rFonts w:ascii="Inter" w:hAnsi="Inter" w:cs="Inter"/>
          <w:b w:val="0"/>
          <w:i w:val="0"/>
          <w:color w:val="2D2D2D"/>
          <w:sz w:val="22"/>
        </w:rPr>
        <w:t>Good contribution statements are:</w:t>
      </w:r>
    </w:p>
    <w:p>
      <w:pPr>
        <w:pStyle w:val="ListBullet"/>
      </w:pPr>
      <w:r>
        <w:rPr>
          <w:rFonts w:ascii="Inter" w:hAnsi="Inter" w:cs="Inter"/>
          <w:b w:val="0"/>
          <w:i w:val="0"/>
          <w:color w:val="2D2D2D"/>
          <w:sz w:val="22"/>
        </w:rPr>
      </w:r>
      <w:r>
        <w:rPr>
          <w:rFonts w:ascii="Inter" w:hAnsi="Inter" w:cs="Inter"/>
          <w:b/>
          <w:i w:val="0"/>
          <w:color w:val="2D2D2D"/>
          <w:sz w:val="22"/>
        </w:rPr>
        <w:t>Specific to your MOA.</w:t>
      </w:r>
      <w:r>
        <w:rPr>
          <w:rFonts w:ascii="Inter" w:hAnsi="Inter" w:cs="Inter"/>
          <w:b w:val="0"/>
          <w:i w:val="0"/>
          <w:color w:val="2D2D2D"/>
          <w:sz w:val="22"/>
        </w:rPr>
        <w:t xml:space="preserve"> The statement should not apply to any other MOA. If you can swap in a different ministry name and the statement still makes sense, it is too generic.</w:t>
      </w:r>
    </w:p>
    <w:p>
      <w:pPr>
        <w:pStyle w:val="ListBullet"/>
      </w:pPr>
      <w:r>
        <w:rPr>
          <w:rFonts w:ascii="Inter" w:hAnsi="Inter" w:cs="Inter"/>
          <w:b w:val="0"/>
          <w:i w:val="0"/>
          <w:color w:val="2D2D2D"/>
          <w:sz w:val="22"/>
        </w:rPr>
      </w:r>
      <w:r>
        <w:rPr>
          <w:rFonts w:ascii="Inter" w:hAnsi="Inter" w:cs="Inter"/>
          <w:b/>
          <w:i w:val="0"/>
          <w:color w:val="2D2D2D"/>
          <w:sz w:val="22"/>
        </w:rPr>
        <w:t>Grounded in mandate.</w:t>
      </w:r>
      <w:r>
        <w:rPr>
          <w:rFonts w:ascii="Inter" w:hAnsi="Inter" w:cs="Inter"/>
          <w:b w:val="0"/>
          <w:i w:val="0"/>
          <w:color w:val="2D2D2D"/>
          <w:sz w:val="22"/>
        </w:rPr>
        <w:t xml:space="preserve"> The contribution flows from a legal mandate you documented in Chapter 2, not from aspirational activities you hope to pursue someday.</w:t>
      </w:r>
    </w:p>
    <w:p>
      <w:pPr>
        <w:pStyle w:val="ListBullet"/>
      </w:pPr>
      <w:r>
        <w:rPr>
          <w:rFonts w:ascii="Inter" w:hAnsi="Inter" w:cs="Inter"/>
          <w:b w:val="0"/>
          <w:i w:val="0"/>
          <w:color w:val="2D2D2D"/>
          <w:sz w:val="22"/>
        </w:rPr>
      </w:r>
      <w:r>
        <w:rPr>
          <w:rFonts w:ascii="Inter" w:hAnsi="Inter" w:cs="Inter"/>
          <w:b/>
          <w:i w:val="0"/>
          <w:color w:val="2D2D2D"/>
          <w:sz w:val="22"/>
        </w:rPr>
        <w:t>Mechanism-clear.</w:t>
      </w:r>
      <w:r>
        <w:rPr>
          <w:rFonts w:ascii="Inter" w:hAnsi="Inter" w:cs="Inter"/>
          <w:b w:val="0"/>
          <w:i w:val="0"/>
          <w:color w:val="2D2D2D"/>
          <w:sz w:val="22"/>
        </w:rPr>
        <w:t xml:space="preserve"> The statement explains *how* --- through what process, program, or function --- the contribution happens. "Contributes to economic development" is not a contribution statement. "Contributes to economic development by regulating investment incentives that attract private capital to the region" is.</w:t>
      </w:r>
    </w:p>
    <w:p>
      <w:pPr>
        <w:pStyle w:val="Heading3"/>
      </w:pPr>
      <w:r>
        <w:rPr>
          <w:rFonts w:ascii="Inter" w:hAnsi="Inter" w:cs="Inter"/>
          <w:b/>
          <w:i w:val="0"/>
          <w:color w:val="2C5F7C"/>
          <w:sz w:val="26"/>
        </w:rPr>
        <w:t>Cross-Cutting Themes</w:t>
      </w:r>
    </w:p>
    <w:p>
      <w:pPr>
        <w:spacing w:after="120" w:line="276" w:lineRule="auto"/>
      </w:pPr>
      <w:r>
        <w:rPr>
          <w:rFonts w:ascii="Inter" w:hAnsi="Inter" w:cs="Inter"/>
          <w:b w:val="0"/>
          <w:i w:val="0"/>
          <w:color w:val="2D2D2D"/>
          <w:sz w:val="22"/>
        </w:rPr>
        <w:t>The BDP 2023-2028 incorporates several themes that cut across all six development goals. These themes should be addressed in your alignment regardless of your MOA's primary sector.[^9]</w:t>
      </w:r>
    </w:p>
    <w:p>
      <w:pPr>
        <w:pStyle w:val="ListBullet"/>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The 12 Pillars of Moral Governance --- integrity, accountability, transparency, justice, inclusivity, and others --- apply to all MOAs. Your strategic plan should reflect how your work embodies these principles.[^10]</w:t>
      </w:r>
    </w:p>
    <w:p>
      <w:pPr>
        <w:pStyle w:val="ListBullet"/>
      </w:pPr>
      <w:r>
        <w:rPr>
          <w:rFonts w:ascii="Inter" w:hAnsi="Inter" w:cs="Inter"/>
          <w:b w:val="0"/>
          <w:i w:val="0"/>
          <w:color w:val="2D2D2D"/>
          <w:sz w:val="22"/>
        </w:rPr>
      </w:r>
      <w:r>
        <w:rPr>
          <w:rFonts w:ascii="Inter" w:hAnsi="Inter" w:cs="Inter"/>
          <w:b/>
          <w:i w:val="0"/>
          <w:color w:val="2D2D2D"/>
          <w:sz w:val="22"/>
        </w:rPr>
        <w:t>Peace and Security.</w:t>
      </w:r>
      <w:r>
        <w:rPr>
          <w:rFonts w:ascii="Inter" w:hAnsi="Inter" w:cs="Inter"/>
          <w:b w:val="0"/>
          <w:i w:val="0"/>
          <w:color w:val="2D2D2D"/>
          <w:sz w:val="22"/>
        </w:rPr>
        <w:t xml:space="preserve"> The Bangsamoro peace process is not confined to security agencies. Every MOA's programs should consider how they contribute to (or at minimum do not undermine) peace and community safety.</w:t>
      </w:r>
    </w:p>
    <w:p>
      <w:pPr>
        <w:pStyle w:val="ListBullet"/>
      </w:pPr>
      <w:r>
        <w:rPr>
          <w:rFonts w:ascii="Inter" w:hAnsi="Inter" w:cs="Inter"/>
          <w:b w:val="0"/>
          <w:i w:val="0"/>
          <w:color w:val="2D2D2D"/>
          <w:sz w:val="22"/>
        </w:rPr>
      </w:r>
      <w:r>
        <w:rPr>
          <w:rFonts w:ascii="Inter" w:hAnsi="Inter" w:cs="Inter"/>
          <w:b/>
          <w:i w:val="0"/>
          <w:color w:val="2D2D2D"/>
          <w:sz w:val="22"/>
        </w:rPr>
        <w:t>Gender and Inclusivity.</w:t>
      </w:r>
      <w:r>
        <w:rPr>
          <w:rFonts w:ascii="Inter" w:hAnsi="Inter" w:cs="Inter"/>
          <w:b w:val="0"/>
          <w:i w:val="0"/>
          <w:color w:val="2D2D2D"/>
          <w:sz w:val="22"/>
        </w:rPr>
        <w:t xml:space="preserve"> The BDP's commitment to leaving no one behind means every MOA must consider gender dimensions and the inclusion of marginalized groups in its programs. This applies whether you are building roads or delivering health services.</w:t>
      </w:r>
    </w:p>
    <w:p>
      <w:pPr>
        <w:pStyle w:val="ListBullet"/>
      </w:pPr>
      <w:r>
        <w:rPr>
          <w:rFonts w:ascii="Inter" w:hAnsi="Inter" w:cs="Inter"/>
          <w:b w:val="0"/>
          <w:i w:val="0"/>
          <w:color w:val="2D2D2D"/>
          <w:sz w:val="22"/>
        </w:rPr>
      </w:r>
      <w:r>
        <w:rPr>
          <w:rFonts w:ascii="Inter" w:hAnsi="Inter" w:cs="Inter"/>
          <w:b/>
          <w:i w:val="0"/>
          <w:color w:val="2D2D2D"/>
          <w:sz w:val="22"/>
        </w:rPr>
        <w:t>Environmental Sustainability.</w:t>
      </w:r>
      <w:r>
        <w:rPr>
          <w:rFonts w:ascii="Inter" w:hAnsi="Inter" w:cs="Inter"/>
          <w:b w:val="0"/>
          <w:i w:val="0"/>
          <w:color w:val="2D2D2D"/>
          <w:sz w:val="22"/>
        </w:rPr>
        <w:t xml:space="preserve"> Climate resilience and ecological integrity are not exclusively the domain of environmental agencies. Infrastructure, agriculture, and social service programs all have environmental dimensions.</w:t>
      </w:r>
    </w:p>
    <w:p>
      <w:pPr>
        <w:pStyle w:val="ListBullet"/>
      </w:pPr>
      <w:r>
        <w:rPr>
          <w:rFonts w:ascii="Inter" w:hAnsi="Inter" w:cs="Inter"/>
          <w:b w:val="0"/>
          <w:i w:val="0"/>
          <w:color w:val="2D2D2D"/>
          <w:sz w:val="22"/>
        </w:rPr>
      </w:r>
      <w:r>
        <w:rPr>
          <w:rFonts w:ascii="Inter" w:hAnsi="Inter" w:cs="Inter"/>
          <w:b/>
          <w:i w:val="0"/>
          <w:color w:val="2D2D2D"/>
          <w:sz w:val="22"/>
        </w:rPr>
        <w:t>Technology and Innovation.</w:t>
      </w:r>
      <w:r>
        <w:rPr>
          <w:rFonts w:ascii="Inter" w:hAnsi="Inter" w:cs="Inter"/>
          <w:b w:val="0"/>
          <w:i w:val="0"/>
          <w:color w:val="2D2D2D"/>
          <w:sz w:val="22"/>
        </w:rPr>
        <w:t xml:space="preserve"> Strategy S3 (harnessing technology and innovations) is cross-cutting by design, applying to both governance improvement (G1) and economic opportunity (G2).</w:t>
      </w:r>
    </w:p>
    <w:p>
      <w:pPr>
        <w:pStyle w:val="Heading2"/>
      </w:pPr>
      <w:r>
        <w:rPr>
          <w:rFonts w:ascii="Inter" w:hAnsi="Inter" w:cs="Inter"/>
          <w:b/>
          <w:i w:val="0"/>
          <w:color w:val="1B365D"/>
          <w:sz w:val="32"/>
        </w:rPr>
        <w:t>3.3 Step-by-Step Instructions</w:t>
      </w:r>
    </w:p>
    <w:p>
      <w:pPr>
        <w:pStyle w:val="Heading3"/>
      </w:pPr>
      <w:r>
        <w:rPr>
          <w:rFonts w:ascii="Inter" w:hAnsi="Inter" w:cs="Inter"/>
          <w:b/>
          <w:i w:val="0"/>
          <w:color w:val="2C5F7C"/>
          <w:sz w:val="26"/>
        </w:rPr>
        <w:t>Step 1: Read the BDP Quick Reference</w:t>
      </w:r>
    </w:p>
    <w:p>
      <w:pPr>
        <w:spacing w:after="120" w:line="276" w:lineRule="auto"/>
      </w:pPr>
      <w:r>
        <w:rPr>
          <w:rFonts w:ascii="Inter" w:hAnsi="Inter" w:cs="Inter"/>
          <w:b w:val="0"/>
          <w:i w:val="0"/>
          <w:color w:val="2D2D2D"/>
          <w:sz w:val="22"/>
        </w:rPr>
        <w:t>Before you begin mapping, familiarize yourself with all six BDP goals and all eight strategies. Use the BDP Quick Reference in Appendix B of this guidebook, which summarizes each goal and strategy in a single page. Do not rely on memory or secondhand summaries --- the exact language of the BDP goals matters for your contribution statements.</w:t>
      </w:r>
    </w:p>
    <w:p>
      <w:pPr>
        <w:spacing w:after="120" w:line="276" w:lineRule="auto"/>
      </w:pPr>
      <w:r>
        <w:rPr>
          <w:rFonts w:ascii="Inter" w:hAnsi="Inter" w:cs="Inter"/>
          <w:b w:val="0"/>
          <w:i w:val="0"/>
          <w:color w:val="2D2D2D"/>
          <w:sz w:val="22"/>
        </w:rPr>
        <w:t>Pay attention to the *descriptions* of each goal, not just the titles. "Equitable, competitive, and robust economy" sounds general, but the BDP defines equitable economy specifically as "economic gains benefited by all with special consideration for the poor and marginalized."[^11] That specificity shapes how you write your alignment.</w:t>
      </w:r>
    </w:p>
    <w:p>
      <w:pPr>
        <w:pStyle w:val="Heading3"/>
      </w:pPr>
      <w:r>
        <w:rPr>
          <w:rFonts w:ascii="Inter" w:hAnsi="Inter" w:cs="Inter"/>
          <w:b/>
          <w:i w:val="0"/>
          <w:color w:val="2C5F7C"/>
          <w:sz w:val="26"/>
        </w:rPr>
        <w:t>Step 2: Identify Your MOA's Primary BDP Goal(s)</w:t>
      </w:r>
    </w:p>
    <w:p>
      <w:pPr>
        <w:spacing w:after="120" w:line="276" w:lineRule="auto"/>
      </w:pPr>
      <w:r>
        <w:rPr>
          <w:rFonts w:ascii="Inter" w:hAnsi="Inter" w:cs="Inter"/>
          <w:b w:val="0"/>
          <w:i w:val="0"/>
          <w:color w:val="2D2D2D"/>
          <w:sz w:val="22"/>
        </w:rPr>
        <w:t>Pull out the Legal Mandate Matrix you completed in Chapter 2. For each mandate, ask: *Which BDP goal does this mandate most directly serve?*</w:t>
      </w:r>
    </w:p>
    <w:p>
      <w:pPr>
        <w:spacing w:after="120" w:line="276" w:lineRule="auto"/>
      </w:pPr>
      <w:r>
        <w:rPr>
          <w:rFonts w:ascii="Inter" w:hAnsi="Inter" w:cs="Inter"/>
          <w:b w:val="0"/>
          <w:i w:val="0"/>
          <w:color w:val="2D2D2D"/>
          <w:sz w:val="22"/>
        </w:rPr>
        <w:t>Start with the goal-to-sector mapping table in Section 3.2. Your MOA's sector gives you a starting point. Then verify by reading the goal descriptions. The question is not "Does my work loosely relate to this goal?" but rather "Is achieving this goal impossible or significantly harder without my MOA's contribution?"</w:t>
      </w:r>
    </w:p>
    <w:p>
      <w:pPr>
        <w:spacing w:after="120" w:line="276" w:lineRule="auto"/>
      </w:pPr>
      <w:r>
        <w:rPr>
          <w:rFonts w:ascii="Inter" w:hAnsi="Inter" w:cs="Inter"/>
          <w:b w:val="0"/>
          <w:i w:val="0"/>
          <w:color w:val="2D2D2D"/>
          <w:sz w:val="22"/>
        </w:rPr>
        <w:t>If your MOA's mandates point strongly to one goal, that is your primary BDP goal. If they span two goals roughly equally, you may have two primary goals --- but be disciplined. Having three or more "primary" goals usually means you have not prioritized.</w:t>
      </w:r>
    </w:p>
    <w:p>
      <w:pPr>
        <w:pStyle w:val="Heading3"/>
      </w:pPr>
      <w:r>
        <w:rPr>
          <w:rFonts w:ascii="Inter" w:hAnsi="Inter" w:cs="Inter"/>
          <w:b/>
          <w:i w:val="0"/>
          <w:color w:val="2C5F7C"/>
          <w:sz w:val="26"/>
        </w:rPr>
        <w:t>Step 3: Identify Contributory Goals</w:t>
      </w:r>
    </w:p>
    <w:p>
      <w:pPr>
        <w:spacing w:after="120" w:line="276" w:lineRule="auto"/>
      </w:pPr>
      <w:r>
        <w:rPr>
          <w:rFonts w:ascii="Inter" w:hAnsi="Inter" w:cs="Inter"/>
          <w:b w:val="0"/>
          <w:i w:val="0"/>
          <w:color w:val="2D2D2D"/>
          <w:sz w:val="22"/>
        </w:rPr>
        <w:t>Once you have your primary goal(s), look at the remaining five goals. Ask: *Does my MOA's work support any of these goals as a secondary effect?*</w:t>
      </w:r>
    </w:p>
    <w:p>
      <w:pPr>
        <w:spacing w:after="120" w:line="276" w:lineRule="auto"/>
      </w:pPr>
      <w:r>
        <w:rPr>
          <w:rFonts w:ascii="Inter" w:hAnsi="Inter" w:cs="Inter"/>
          <w:b w:val="0"/>
          <w:i w:val="0"/>
          <w:color w:val="2D2D2D"/>
          <w:sz w:val="22"/>
        </w:rPr>
        <w:t>Contributory alignment is common and expected. A ministry that builds roads (primary: G6, infrastructure) also contributes to G2 (economic development, by connecting markets) and G3 (community resilience, by enabling disaster response access). A ministry that delivers health services (primary: G4, social services) also contributes to G2 (economic development, by maintaining a productive workforce).</w:t>
      </w:r>
    </w:p>
    <w:p>
      <w:pPr>
        <w:spacing w:after="120" w:line="276" w:lineRule="auto"/>
      </w:pPr>
      <w:r>
        <w:rPr>
          <w:rFonts w:ascii="Inter" w:hAnsi="Inter" w:cs="Inter"/>
          <w:b w:val="0"/>
          <w:i w:val="0"/>
          <w:color w:val="2D2D2D"/>
          <w:sz w:val="22"/>
        </w:rPr>
        <w:t>The test for contributory alignment is: *Can I explain the mechanism?* If you can articulate how your work creates the secondary contribution, it is contributory. If you are stretching to find a connection, leave it out. Not every MOA contributes to every goal.</w:t>
      </w:r>
    </w:p>
    <w:p>
      <w:pPr>
        <w:pStyle w:val="Heading3"/>
      </w:pPr>
      <w:r>
        <w:rPr>
          <w:rFonts w:ascii="Inter" w:hAnsi="Inter" w:cs="Inter"/>
          <w:b/>
          <w:i w:val="0"/>
          <w:color w:val="2C5F7C"/>
          <w:sz w:val="26"/>
        </w:rPr>
        <w:t>Step 4: Write Contribution Statements</w:t>
      </w:r>
    </w:p>
    <w:p>
      <w:pPr>
        <w:spacing w:after="120" w:line="276" w:lineRule="auto"/>
      </w:pPr>
      <w:r>
        <w:rPr>
          <w:rFonts w:ascii="Inter" w:hAnsi="Inter" w:cs="Inter"/>
          <w:b w:val="0"/>
          <w:i w:val="0"/>
          <w:color w:val="2D2D2D"/>
          <w:sz w:val="22"/>
        </w:rPr>
        <w:t>For each BDP goal you have identified --- primary and contributory --- write a contribution statement using the format from Section 3.2.</w:t>
      </w:r>
    </w:p>
    <w:p>
      <w:pPr>
        <w:spacing w:after="120" w:line="276" w:lineRule="auto"/>
      </w:pPr>
      <w:r>
        <w:rPr>
          <w:rFonts w:ascii="Inter" w:hAnsi="Inter" w:cs="Inter"/>
          <w:b w:val="0"/>
          <w:i w:val="0"/>
          <w:color w:val="2D2D2D"/>
          <w:sz w:val="22"/>
        </w:rPr>
        <w:t>Write the primary contribution statement first. This is the statement that captures the core reason your MOA exists in relation to the BDP. Then write contributory statements for secondary alignments.</w:t>
      </w:r>
    </w:p>
    <w:p>
      <w:pPr>
        <w:spacing w:after="120" w:line="276" w:lineRule="auto"/>
      </w:pPr>
      <w:r>
        <w:rPr>
          <w:rFonts w:ascii="Inter" w:hAnsi="Inter" w:cs="Inter"/>
          <w:b w:val="0"/>
          <w:i w:val="0"/>
          <w:color w:val="2D2D2D"/>
          <w:sz w:val="22"/>
        </w:rPr>
        <w:t>Tips for writing effective contribution statements:</w:t>
      </w:r>
    </w:p>
    <w:p>
      <w:pPr>
        <w:pStyle w:val="ListBullet"/>
      </w:pPr>
      <w:r>
        <w:rPr>
          <w:rFonts w:ascii="Inter" w:hAnsi="Inter" w:cs="Inter"/>
          <w:b w:val="0"/>
          <w:i w:val="0"/>
          <w:color w:val="2D2D2D"/>
          <w:sz w:val="22"/>
        </w:rPr>
      </w:r>
      <w:r>
        <w:rPr>
          <w:rFonts w:ascii="Inter" w:hAnsi="Inter" w:cs="Inter"/>
          <w:b/>
          <w:i w:val="0"/>
          <w:color w:val="2D2D2D"/>
          <w:sz w:val="22"/>
        </w:rPr>
        <w:t>Use your mandate language.</w:t>
      </w:r>
      <w:r>
        <w:rPr>
          <w:rFonts w:ascii="Inter" w:hAnsi="Inter" w:cs="Inter"/>
          <w:b w:val="0"/>
          <w:i w:val="0"/>
          <w:color w:val="2D2D2D"/>
          <w:sz w:val="22"/>
        </w:rPr>
        <w:t xml:space="preserve"> Refer back to the specific legal provision from your Chapter 2 matrix. "Through its mandate to formulate and implement policies for the management, conservation, and protection of the region's environment (BAA No. 13, Title III, Sec. 2)" is stronger than "through its environmental mandate."</w:t>
      </w:r>
    </w:p>
    <w:p>
      <w:pPr>
        <w:pStyle w:val="ListBullet"/>
      </w:pPr>
      <w:r>
        <w:rPr>
          <w:rFonts w:ascii="Inter" w:hAnsi="Inter" w:cs="Inter"/>
          <w:b w:val="0"/>
          <w:i w:val="0"/>
          <w:color w:val="2D2D2D"/>
          <w:sz w:val="22"/>
        </w:rPr>
      </w:r>
      <w:r>
        <w:rPr>
          <w:rFonts w:ascii="Inter" w:hAnsi="Inter" w:cs="Inter"/>
          <w:b/>
          <w:i w:val="0"/>
          <w:color w:val="2D2D2D"/>
          <w:sz w:val="22"/>
        </w:rPr>
        <w:t>Name the mechanism.</w:t>
      </w:r>
      <w:r>
        <w:rPr>
          <w:rFonts w:ascii="Inter" w:hAnsi="Inter" w:cs="Inter"/>
          <w:b w:val="0"/>
          <w:i w:val="0"/>
          <w:color w:val="2D2D2D"/>
          <w:sz w:val="22"/>
        </w:rPr>
        <w:t xml:space="preserve"> What does your MOA *do* that produces the contribution? Regulate? Deliver services? Build infrastructure? Train personnel? The verb matters.</w:t>
      </w:r>
    </w:p>
    <w:p>
      <w:pPr>
        <w:pStyle w:val="ListBullet"/>
      </w:pPr>
      <w:r>
        <w:rPr>
          <w:rFonts w:ascii="Inter" w:hAnsi="Inter" w:cs="Inter"/>
          <w:b w:val="0"/>
          <w:i w:val="0"/>
          <w:color w:val="2D2D2D"/>
          <w:sz w:val="22"/>
        </w:rPr>
      </w:r>
      <w:r>
        <w:rPr>
          <w:rFonts w:ascii="Inter" w:hAnsi="Inter" w:cs="Inter"/>
          <w:b/>
          <w:i w:val="0"/>
          <w:color w:val="2D2D2D"/>
          <w:sz w:val="22"/>
        </w:rPr>
        <w:t>Be honest about the contribution level.</w:t>
      </w:r>
      <w:r>
        <w:rPr>
          <w:rFonts w:ascii="Inter" w:hAnsi="Inter" w:cs="Inter"/>
          <w:b w:val="0"/>
          <w:i w:val="0"/>
          <w:color w:val="2D2D2D"/>
          <w:sz w:val="22"/>
        </w:rPr>
        <w:t xml:space="preserve"> A primary contribution statement should describe something your MOA is centrally responsible for. A contributory statement should be more measured --- your MOA supports or enables, rather than drives, the outcome.</w:t>
      </w:r>
    </w:p>
    <w:p>
      <w:pPr>
        <w:pStyle w:val="Heading3"/>
      </w:pPr>
      <w:r>
        <w:rPr>
          <w:rFonts w:ascii="Inter" w:hAnsi="Inter" w:cs="Inter"/>
          <w:b/>
          <w:i w:val="0"/>
          <w:color w:val="2C5F7C"/>
          <w:sz w:val="26"/>
        </w:rPr>
        <w:t>Step 5: Map to Key Strategies</w:t>
      </w:r>
    </w:p>
    <w:p>
      <w:pPr>
        <w:spacing w:after="120" w:line="276" w:lineRule="auto"/>
      </w:pPr>
      <w:r>
        <w:rPr>
          <w:rFonts w:ascii="Inter" w:hAnsi="Inter" w:cs="Inter"/>
          <w:b w:val="0"/>
          <w:i w:val="0"/>
          <w:color w:val="2D2D2D"/>
          <w:sz w:val="22"/>
        </w:rPr>
        <w:t>For each aligned BDP goal, identify which of the eight strategies your MOA employs. A single goal may have multiple strategies associated with it, and your MOA may use only one or two.</w:t>
      </w:r>
    </w:p>
    <w:p>
      <w:pPr>
        <w:spacing w:after="120" w:line="276" w:lineRule="auto"/>
      </w:pPr>
      <w:r>
        <w:rPr>
          <w:rFonts w:ascii="Inter" w:hAnsi="Inter" w:cs="Inter"/>
          <w:b w:val="0"/>
          <w:i w:val="0"/>
          <w:color w:val="2D2D2D"/>
          <w:sz w:val="22"/>
        </w:rPr>
        <w:t>Review the strategy table in Section 3.2. For each goal you have aligned to, check: *Does my MOA's work match the description of any of these strategies?*</w:t>
      </w:r>
    </w:p>
    <w:p>
      <w:pPr>
        <w:spacing w:after="120" w:line="276" w:lineRule="auto"/>
      </w:pPr>
      <w:r>
        <w:rPr>
          <w:rFonts w:ascii="Inter" w:hAnsi="Inter" w:cs="Inter"/>
          <w:b w:val="0"/>
          <w:i w:val="0"/>
          <w:color w:val="2D2D2D"/>
          <w:sz w:val="22"/>
        </w:rPr>
        <w:t>Remember that some strategies are cross-cutting. S3 (technology and innovation) and S4 (ecological integrity and resilience) each serve multiple goals. If your MOA uses technology to improve its services, that maps to S3 regardless of your primary goal.</w:t>
      </w:r>
    </w:p>
    <w:p>
      <w:pPr>
        <w:pStyle w:val="Heading3"/>
      </w:pPr>
      <w:r>
        <w:rPr>
          <w:rFonts w:ascii="Inter" w:hAnsi="Inter" w:cs="Inter"/>
          <w:b/>
          <w:i w:val="0"/>
          <w:color w:val="2C5F7C"/>
          <w:sz w:val="26"/>
        </w:rPr>
        <w:t>Step 6: Check Cross-Cutting Themes</w:t>
      </w:r>
    </w:p>
    <w:p>
      <w:pPr>
        <w:spacing w:after="120" w:line="276" w:lineRule="auto"/>
      </w:pPr>
      <w:r>
        <w:rPr>
          <w:rFonts w:ascii="Inter" w:hAnsi="Inter" w:cs="Inter"/>
          <w:b w:val="0"/>
          <w:i w:val="0"/>
          <w:color w:val="2D2D2D"/>
          <w:sz w:val="22"/>
        </w:rPr>
        <w:t>Review the cross-cutting themes listed in Section 3.2. For each theme, ask:</w:t>
      </w:r>
    </w:p>
    <w:p>
      <w:pPr>
        <w:pStyle w:val="ListBullet"/>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Does your MOA's strategic plan reflect the 12 Pillars? Which pillars are most relevant to your work?</w:t>
      </w:r>
    </w:p>
    <w:p>
      <w:pPr>
        <w:pStyle w:val="ListBullet"/>
      </w:pPr>
      <w:r>
        <w:rPr>
          <w:rFonts w:ascii="Inter" w:hAnsi="Inter" w:cs="Inter"/>
          <w:b w:val="0"/>
          <w:i w:val="0"/>
          <w:color w:val="2D2D2D"/>
          <w:sz w:val="22"/>
        </w:rPr>
      </w:r>
      <w:r>
        <w:rPr>
          <w:rFonts w:ascii="Inter" w:hAnsi="Inter" w:cs="Inter"/>
          <w:b/>
          <w:i w:val="0"/>
          <w:color w:val="2D2D2D"/>
          <w:sz w:val="22"/>
        </w:rPr>
        <w:t>Peace and Security:</w:t>
      </w:r>
      <w:r>
        <w:rPr>
          <w:rFonts w:ascii="Inter" w:hAnsi="Inter" w:cs="Inter"/>
          <w:b w:val="0"/>
          <w:i w:val="0"/>
          <w:color w:val="2D2D2D"/>
          <w:sz w:val="22"/>
        </w:rPr>
        <w:t xml:space="preserve"> Do any of your programs operate in conflict-affected areas? Could any of your programs inadvertently exacerbate tensions?</w:t>
      </w:r>
    </w:p>
    <w:p>
      <w:pPr>
        <w:pStyle w:val="ListBullet"/>
      </w:pPr>
      <w:r>
        <w:rPr>
          <w:rFonts w:ascii="Inter" w:hAnsi="Inter" w:cs="Inter"/>
          <w:b w:val="0"/>
          <w:i w:val="0"/>
          <w:color w:val="2D2D2D"/>
          <w:sz w:val="22"/>
        </w:rPr>
      </w:r>
      <w:r>
        <w:rPr>
          <w:rFonts w:ascii="Inter" w:hAnsi="Inter" w:cs="Inter"/>
          <w:b/>
          <w:i w:val="0"/>
          <w:color w:val="2D2D2D"/>
          <w:sz w:val="22"/>
        </w:rPr>
        <w:t>Gender and Inclusivity:</w:t>
      </w:r>
      <w:r>
        <w:rPr>
          <w:rFonts w:ascii="Inter" w:hAnsi="Inter" w:cs="Inter"/>
          <w:b w:val="0"/>
          <w:i w:val="0"/>
          <w:color w:val="2D2D2D"/>
          <w:sz w:val="22"/>
        </w:rPr>
        <w:t xml:space="preserve"> Do your programs disaggregate targets by gender? Do they address the needs of marginalized groups? Indigenous Peoples?</w:t>
      </w:r>
    </w:p>
    <w:p>
      <w:pPr>
        <w:pStyle w:val="ListBullet"/>
      </w:pPr>
      <w:r>
        <w:rPr>
          <w:rFonts w:ascii="Inter" w:hAnsi="Inter" w:cs="Inter"/>
          <w:b w:val="0"/>
          <w:i w:val="0"/>
          <w:color w:val="2D2D2D"/>
          <w:sz w:val="22"/>
        </w:rPr>
      </w:r>
      <w:r>
        <w:rPr>
          <w:rFonts w:ascii="Inter" w:hAnsi="Inter" w:cs="Inter"/>
          <w:b/>
          <w:i w:val="0"/>
          <w:color w:val="2D2D2D"/>
          <w:sz w:val="22"/>
        </w:rPr>
        <w:t>Environmental Sustainability:</w:t>
      </w:r>
      <w:r>
        <w:rPr>
          <w:rFonts w:ascii="Inter" w:hAnsi="Inter" w:cs="Inter"/>
          <w:b w:val="0"/>
          <w:i w:val="0"/>
          <w:color w:val="2D2D2D"/>
          <w:sz w:val="22"/>
        </w:rPr>
        <w:t xml:space="preserve"> Do your programs have environmental impacts? Have you considered climate resilience in your activities?</w:t>
      </w:r>
    </w:p>
    <w:p>
      <w:pPr>
        <w:pStyle w:val="ListBullet"/>
      </w:pPr>
      <w:r>
        <w:rPr>
          <w:rFonts w:ascii="Inter" w:hAnsi="Inter" w:cs="Inter"/>
          <w:b w:val="0"/>
          <w:i w:val="0"/>
          <w:color w:val="2D2D2D"/>
          <w:sz w:val="22"/>
        </w:rPr>
      </w:r>
      <w:r>
        <w:rPr>
          <w:rFonts w:ascii="Inter" w:hAnsi="Inter" w:cs="Inter"/>
          <w:b/>
          <w:i w:val="0"/>
          <w:color w:val="2D2D2D"/>
          <w:sz w:val="22"/>
        </w:rPr>
        <w:t>Technology and Innovation:</w:t>
      </w:r>
      <w:r>
        <w:rPr>
          <w:rFonts w:ascii="Inter" w:hAnsi="Inter" w:cs="Inter"/>
          <w:b w:val="0"/>
          <w:i w:val="0"/>
          <w:color w:val="2D2D2D"/>
          <w:sz w:val="22"/>
        </w:rPr>
        <w:t xml:space="preserve"> Are you using technology to improve service delivery or governance processes?</w:t>
      </w:r>
    </w:p>
    <w:p>
      <w:pPr>
        <w:spacing w:after="120" w:line="276" w:lineRule="auto"/>
      </w:pPr>
      <w:r>
        <w:rPr>
          <w:rFonts w:ascii="Inter" w:hAnsi="Inter" w:cs="Inter"/>
          <w:b w:val="0"/>
          <w:i w:val="0"/>
          <w:color w:val="2D2D2D"/>
          <w:sz w:val="22"/>
        </w:rPr>
        <w:t>You do not need a separate strategy for each cross-cutting theme. You need to show that you have *considered* each theme and addressed the ones relevant to your work.</w:t>
      </w:r>
    </w:p>
    <w:p>
      <w:pPr>
        <w:pStyle w:val="Heading3"/>
      </w:pPr>
      <w:r>
        <w:rPr>
          <w:rFonts w:ascii="Inter" w:hAnsi="Inter" w:cs="Inter"/>
          <w:b/>
          <w:i w:val="0"/>
          <w:color w:val="2C5F7C"/>
          <w:sz w:val="26"/>
        </w:rPr>
        <w:t>Step 7: Complete the BDP Alignment Map</w:t>
      </w:r>
    </w:p>
    <w:p>
      <w:pPr>
        <w:spacing w:after="120" w:line="276" w:lineRule="auto"/>
      </w:pPr>
      <w:r>
        <w:rPr>
          <w:rFonts w:ascii="Inter" w:hAnsi="Inter" w:cs="Inter"/>
          <w:b w:val="0"/>
          <w:i w:val="0"/>
          <w:color w:val="2D2D2D"/>
          <w:sz w:val="22"/>
        </w:rPr>
        <w:t>Use the template in Section 3.7 to consolidate your work. Fill in one row for each legal mandate from your Chapter 2 matrix, showing the BDP goal, strategy, contribution statement, alignment type (primary or contributory), and applicable cross-cutting themes.</w:t>
      </w:r>
    </w:p>
    <w:p>
      <w:pPr>
        <w:spacing w:after="120" w:line="276" w:lineRule="auto"/>
      </w:pPr>
      <w:r>
        <w:rPr>
          <w:rFonts w:ascii="Inter" w:hAnsi="Inter" w:cs="Inter"/>
          <w:b w:val="0"/>
          <w:i w:val="0"/>
          <w:color w:val="2D2D2D"/>
          <w:sz w:val="22"/>
        </w:rPr>
        <w:t>When you finish, review the completed map. Look for:</w:t>
      </w:r>
    </w:p>
    <w:p>
      <w:pPr>
        <w:pStyle w:val="ListBullet"/>
      </w:pPr>
      <w:r>
        <w:rPr>
          <w:rFonts w:ascii="Inter" w:hAnsi="Inter" w:cs="Inter"/>
          <w:b w:val="0"/>
          <w:i w:val="0"/>
          <w:color w:val="2D2D2D"/>
          <w:sz w:val="22"/>
        </w:rPr>
      </w:r>
      <w:r>
        <w:rPr>
          <w:rFonts w:ascii="Inter" w:hAnsi="Inter" w:cs="Inter"/>
          <w:b/>
          <w:i w:val="0"/>
          <w:color w:val="2D2D2D"/>
          <w:sz w:val="22"/>
        </w:rPr>
        <w:t>Gaps:</w:t>
      </w:r>
      <w:r>
        <w:rPr>
          <w:rFonts w:ascii="Inter" w:hAnsi="Inter" w:cs="Inter"/>
          <w:b w:val="0"/>
          <w:i w:val="0"/>
          <w:color w:val="2D2D2D"/>
          <w:sz w:val="22"/>
        </w:rPr>
        <w:t xml:space="preserve"> Are there legal mandates with no BDP alignment? That is acceptable --- some mandates are operational or administrative and do not map directly to development goals. But if a major mandate has no alignment, revisit your analysis.</w:t>
      </w:r>
    </w:p>
    <w:p>
      <w:pPr>
        <w:pStyle w:val="ListBullet"/>
      </w:pPr>
      <w:r>
        <w:rPr>
          <w:rFonts w:ascii="Inter" w:hAnsi="Inter" w:cs="Inter"/>
          <w:b w:val="0"/>
          <w:i w:val="0"/>
          <w:color w:val="2D2D2D"/>
          <w:sz w:val="22"/>
        </w:rPr>
      </w:r>
      <w:r>
        <w:rPr>
          <w:rFonts w:ascii="Inter" w:hAnsi="Inter" w:cs="Inter"/>
          <w:b/>
          <w:i w:val="0"/>
          <w:color w:val="2D2D2D"/>
          <w:sz w:val="22"/>
        </w:rPr>
        <w:t>Concentration:</w:t>
      </w:r>
      <w:r>
        <w:rPr>
          <w:rFonts w:ascii="Inter" w:hAnsi="Inter" w:cs="Inter"/>
          <w:b w:val="0"/>
          <w:i w:val="0"/>
          <w:color w:val="2D2D2D"/>
          <w:sz w:val="22"/>
        </w:rPr>
        <w:t xml:space="preserve"> Is all your alignment concentrated in one goal? That may be appropriate for a specialized MOA, but check whether contributory alignments to other goals have been overlooked.</w:t>
      </w:r>
    </w:p>
    <w:p>
      <w:pPr>
        <w:pStyle w:val="ListBullet"/>
      </w:pPr>
      <w:r>
        <w:rPr>
          <w:rFonts w:ascii="Inter" w:hAnsi="Inter" w:cs="Inter"/>
          <w:b w:val="0"/>
          <w:i w:val="0"/>
          <w:color w:val="2D2D2D"/>
          <w:sz w:val="22"/>
        </w:rPr>
      </w:r>
      <w:r>
        <w:rPr>
          <w:rFonts w:ascii="Inter" w:hAnsi="Inter" w:cs="Inter"/>
          <w:b/>
          <w:i w:val="0"/>
          <w:color w:val="2D2D2D"/>
          <w:sz w:val="22"/>
        </w:rPr>
        <w:t>Balance:</w:t>
      </w:r>
      <w:r>
        <w:rPr>
          <w:rFonts w:ascii="Inter" w:hAnsi="Inter" w:cs="Inter"/>
          <w:b w:val="0"/>
          <w:i w:val="0"/>
          <w:color w:val="2D2D2D"/>
          <w:sz w:val="22"/>
        </w:rPr>
        <w:t xml:space="preserve"> Are cross-cutting themes addressed across your alignment map, or only in one or two rows?</w:t>
      </w:r>
    </w:p>
    <w:p>
      <w:pPr>
        <w:pStyle w:val="Heading2"/>
      </w:pPr>
      <w:r>
        <w:rPr>
          <w:rFonts w:ascii="Inter" w:hAnsi="Inter" w:cs="Inter"/>
          <w:b/>
          <w:i w:val="0"/>
          <w:color w:val="1B365D"/>
          <w:sz w:val="32"/>
        </w:rPr>
        <w:t>3.4 Worked Example: Office for Other Bangsamoro Communities (OOBC)</w:t>
      </w:r>
    </w:p>
    <w:p>
      <w:pPr>
        <w:spacing w:after="120" w:line="276" w:lineRule="auto"/>
      </w:pPr>
      <w:r>
        <w:rPr>
          <w:rFonts w:ascii="Inter" w:hAnsi="Inter" w:cs="Inter"/>
          <w:b w:val="0"/>
          <w:i w:val="0"/>
          <w:color w:val="2D2D2D"/>
          <w:sz w:val="22"/>
        </w:rPr>
        <w:t>Continuing with OOBC from Chapter 2, here is how BDP alignment works in practice.</w:t>
      </w:r>
    </w:p>
    <w:p>
      <w:pPr>
        <w:pStyle w:val="Heading3"/>
      </w:pPr>
      <w:r>
        <w:rPr>
          <w:rFonts w:ascii="Inter" w:hAnsi="Inter" w:cs="Inter"/>
          <w:b/>
          <w:i w:val="0"/>
          <w:color w:val="2C5F7C"/>
          <w:sz w:val="26"/>
        </w:rPr>
        <w:t>OOBC's Legal Mandate (from Chapter 2)</w:t>
      </w:r>
    </w:p>
    <w:p>
      <w:pPr>
        <w:spacing w:after="120" w:line="276" w:lineRule="auto"/>
      </w:pPr>
      <w:r>
        <w:rPr>
          <w:rFonts w:ascii="Inter" w:hAnsi="Inter" w:cs="Inter"/>
          <w:b w:val="0"/>
          <w:i w:val="0"/>
          <w:color w:val="2D2D2D"/>
          <w:sz w:val="22"/>
        </w:rPr>
        <w:t>OOBC's mandate derives from BOL Article VI, Section 12, which provides that the Bangsamoro Government "shall take into consideration the rights of other Bangsamoro communities residing outside the Bangsamoro Autonomous Region."[^12]</w:t>
      </w:r>
    </w:p>
    <w:p>
      <w:pPr>
        <w:spacing w:after="120" w:line="276" w:lineRule="auto"/>
      </w:pPr>
      <w:r>
        <w:rPr>
          <w:rFonts w:ascii="Inter" w:hAnsi="Inter" w:cs="Inter"/>
          <w:b w:val="0"/>
          <w:i w:val="0"/>
          <w:color w:val="2D2D2D"/>
          <w:sz w:val="22"/>
        </w:rPr>
        <w:t>As an office attached to the Office of the Chief Minister (OCM), OOBC's key functions include:[^13]</w:t>
      </w:r>
    </w:p>
    <w:p>
      <w:pPr>
        <w:pStyle w:val="ListBullet"/>
      </w:pPr>
      <w:r>
        <w:rPr>
          <w:rFonts w:ascii="Inter" w:hAnsi="Inter" w:cs="Inter"/>
          <w:b w:val="0"/>
          <w:i w:val="0"/>
          <w:color w:val="2D2D2D"/>
          <w:sz w:val="22"/>
        </w:rPr>
        <w:t>Conduct community profiling and needs assessment for Bangsamoro communities outside the BARMM core territory</w:t>
      </w:r>
    </w:p>
    <w:p>
      <w:pPr>
        <w:pStyle w:val="ListBullet"/>
      </w:pPr>
      <w:r>
        <w:rPr>
          <w:rFonts w:ascii="Inter" w:hAnsi="Inter" w:cs="Inter"/>
          <w:b w:val="0"/>
          <w:i w:val="0"/>
          <w:color w:val="2D2D2D"/>
          <w:sz w:val="22"/>
        </w:rPr>
        <w:t>Coordinate with LGUs and national government agencies (NGAs) to facilitate access to programs and services for dispersed Bangsamoro communities</w:t>
      </w:r>
    </w:p>
    <w:p>
      <w:pPr>
        <w:pStyle w:val="ListBullet"/>
      </w:pPr>
      <w:r>
        <w:rPr>
          <w:rFonts w:ascii="Inter" w:hAnsi="Inter" w:cs="Inter"/>
          <w:b w:val="0"/>
          <w:i w:val="0"/>
          <w:color w:val="2D2D2D"/>
          <w:sz w:val="22"/>
        </w:rPr>
        <w:t>Build the capacity of community leaders and volunteers in Bangsamoro communities outside BARMM</w:t>
      </w:r>
    </w:p>
    <w:p>
      <w:pPr>
        <w:pStyle w:val="ListBullet"/>
      </w:pPr>
      <w:r>
        <w:rPr>
          <w:rFonts w:ascii="Inter" w:hAnsi="Inter" w:cs="Inter"/>
          <w:b w:val="0"/>
          <w:i w:val="0"/>
          <w:color w:val="2D2D2D"/>
          <w:sz w:val="22"/>
        </w:rPr>
        <w:t>Advocate for policy development and programs that address the needs of other Bangsamoro communities</w:t>
      </w:r>
    </w:p>
    <w:p>
      <w:pPr>
        <w:pStyle w:val="ListBullet"/>
      </w:pPr>
      <w:r>
        <w:rPr>
          <w:rFonts w:ascii="Inter" w:hAnsi="Inter" w:cs="Inter"/>
          <w:b w:val="0"/>
          <w:i w:val="0"/>
          <w:color w:val="2D2D2D"/>
          <w:sz w:val="22"/>
        </w:rPr>
        <w:t>Facilitate service delivery for vulnerable sectors --- women, youth, persons with disabilities, elders, and orphans --- in Bangsamoro communities outside the core territory</w:t>
      </w:r>
    </w:p>
    <w:p>
      <w:pPr>
        <w:pStyle w:val="ListBullet"/>
      </w:pPr>
      <w:r>
        <w:rPr>
          <w:rFonts w:ascii="Inter" w:hAnsi="Inter" w:cs="Inter"/>
          <w:b w:val="0"/>
          <w:i w:val="0"/>
          <w:color w:val="2D2D2D"/>
          <w:sz w:val="22"/>
        </w:rPr>
        <w:t>Maintain field presence and coordination hubs in key areas (Davao, Sultan Kudarat, Pagadian) where significant Bangsamoro populations reside</w:t>
      </w:r>
    </w:p>
    <w:p>
      <w:pPr>
        <w:pStyle w:val="Heading3"/>
      </w:pPr>
      <w:r>
        <w:rPr>
          <w:rFonts w:ascii="Inter" w:hAnsi="Inter" w:cs="Inter"/>
          <w:b/>
          <w:i w:val="0"/>
          <w:color w:val="2C5F7C"/>
          <w:sz w:val="26"/>
        </w:rPr>
        <w:t>Identifying Primary BDP Goal(s)</w:t>
      </w:r>
    </w:p>
    <w:p>
      <w:pPr>
        <w:spacing w:after="120" w:line="276" w:lineRule="auto"/>
      </w:pPr>
      <w:r>
        <w:rPr>
          <w:rFonts w:ascii="Inter" w:hAnsi="Inter" w:cs="Inter"/>
          <w:b w:val="0"/>
          <w:i w:val="0"/>
          <w:color w:val="2D2D2D"/>
          <w:sz w:val="22"/>
        </w:rPr>
        <w:t>OOBC's mandate centers on ensuring equitable access to governance and services for Bangsamoro communities outside the core territory. Looking at the six BDP goals:</w:t>
      </w:r>
    </w:p>
    <w:p>
      <w:pPr>
        <w:pStyle w:val="ListBullet"/>
      </w:pPr>
      <w:r>
        <w:rPr>
          <w:rFonts w:ascii="Inter" w:hAnsi="Inter" w:cs="Inter"/>
          <w:b w:val="0"/>
          <w:i w:val="0"/>
          <w:color w:val="2D2D2D"/>
          <w:sz w:val="22"/>
        </w:rPr>
      </w:r>
      <w:r>
        <w:rPr>
          <w:rFonts w:ascii="Inter" w:hAnsi="Inter" w:cs="Inter"/>
          <w:b/>
          <w:i w:val="0"/>
          <w:color w:val="2D2D2D"/>
          <w:sz w:val="22"/>
        </w:rPr>
        <w:t>Goal 1: Stable, just, and accountable government</w:t>
      </w:r>
      <w:r>
        <w:rPr>
          <w:rFonts w:ascii="Inter" w:hAnsi="Inter" w:cs="Inter"/>
          <w:b w:val="0"/>
          <w:i w:val="0"/>
          <w:color w:val="2D2D2D"/>
          <w:sz w:val="22"/>
        </w:rPr>
        <w:t xml:space="preserve"> --- OOBC contributes directly to this goal through the *just* and *accountable* dimensions. A government that claims to serve all Bangsamoro people must have a mechanism to reach those living outside its core territory. OOBC is that mechanism. By profiling communities, building coordination linkages, and strengthening its own institutional capacity, OOBC makes Bangsamoro governance more inclusive and more accountable to dispersed populations.</w:t>
      </w:r>
    </w:p>
    <w:p>
      <w:pPr>
        <w:spacing w:after="120" w:line="276" w:lineRule="auto"/>
      </w:pPr>
      <w:r>
        <w:rPr>
          <w:rFonts w:ascii="Inter" w:hAnsi="Inter" w:cs="Inter"/>
          <w:b w:val="0"/>
          <w:i w:val="0"/>
          <w:color w:val="2D2D2D"/>
          <w:sz w:val="22"/>
        </w:rPr>
        <w:t xml:space="preserve">OOBC's work connects to </w:t>
      </w:r>
      <w:r>
        <w:rPr>
          <w:rFonts w:ascii="Inter" w:hAnsi="Inter" w:cs="Inter"/>
          <w:b/>
          <w:i w:val="0"/>
          <w:color w:val="2D2D2D"/>
          <w:sz w:val="22"/>
        </w:rPr>
        <w:t>Strategy S1</w:t>
      </w:r>
      <w:r>
        <w:rPr>
          <w:rFonts w:ascii="Inter" w:hAnsi="Inter" w:cs="Inter"/>
          <w:b w:val="0"/>
          <w:i w:val="0"/>
          <w:color w:val="2D2D2D"/>
          <w:sz w:val="22"/>
        </w:rPr>
        <w:t>: "Improve and strengthen governance mechanisms for a stable, just, and accountable Bangsamoro government" --- because extending governance reach to communities outside the core territory is itself a governance mechanism.[^14]</w:t>
      </w:r>
    </w:p>
    <w:p>
      <w:pPr>
        <w:spacing w:after="120" w:line="276" w:lineRule="auto"/>
      </w:pPr>
      <w:r>
        <w:rPr>
          <w:rFonts w:ascii="Inter" w:hAnsi="Inter" w:cs="Inter"/>
          <w:b w:val="0"/>
          <w:i w:val="0"/>
          <w:color w:val="2D2D2D"/>
          <w:sz w:val="22"/>
        </w:rPr>
      </w:r>
      <w:r>
        <w:rPr>
          <w:rFonts w:ascii="Inter" w:hAnsi="Inter" w:cs="Inter"/>
          <w:b/>
          <w:i w:val="0"/>
          <w:color w:val="2D2D2D"/>
          <w:sz w:val="22"/>
        </w:rPr>
        <w:t>Primary alignment: Goal 1 (just and accountable governance dimension), via Strategy S1.</w:t>
      </w:r>
      <w:r>
        <w:rPr>
          <w:rFonts w:ascii="Inter" w:hAnsi="Inter" w:cs="Inter"/>
          <w:b w:val="0"/>
          <w:i w:val="0"/>
          <w:color w:val="2D2D2D"/>
          <w:sz w:val="22"/>
        </w:rPr>
      </w:r>
    </w:p>
    <w:p>
      <w:pPr>
        <w:pStyle w:val="Heading3"/>
      </w:pPr>
      <w:r>
        <w:rPr>
          <w:rFonts w:ascii="Inter" w:hAnsi="Inter" w:cs="Inter"/>
          <w:b/>
          <w:i w:val="0"/>
          <w:color w:val="2C5F7C"/>
          <w:sz w:val="26"/>
        </w:rPr>
        <w:t>Identifying Contributory Goals</w:t>
      </w:r>
    </w:p>
    <w:p>
      <w:pPr>
        <w:spacing w:after="120" w:line="276" w:lineRule="auto"/>
      </w:pPr>
      <w:r>
        <w:rPr>
          <w:rFonts w:ascii="Inter" w:hAnsi="Inter" w:cs="Inter"/>
          <w:b w:val="0"/>
          <w:i w:val="0"/>
          <w:color w:val="2D2D2D"/>
          <w:sz w:val="22"/>
        </w:rPr>
        <w:t>OOBC's work also supports other goals indirectly:</w:t>
      </w:r>
    </w:p>
    <w:p>
      <w:pPr>
        <w:pStyle w:val="ListBullet"/>
      </w:pPr>
      <w:r>
        <w:rPr>
          <w:rFonts w:ascii="Inter" w:hAnsi="Inter" w:cs="Inter"/>
          <w:b w:val="0"/>
          <w:i w:val="0"/>
          <w:color w:val="2D2D2D"/>
          <w:sz w:val="22"/>
        </w:rPr>
      </w:r>
      <w:r>
        <w:rPr>
          <w:rFonts w:ascii="Inter" w:hAnsi="Inter" w:cs="Inter"/>
          <w:b/>
          <w:i w:val="0"/>
          <w:color w:val="2D2D2D"/>
          <w:sz w:val="22"/>
        </w:rPr>
        <w:t>Goal 3: Peaceful, safe, and resilient Bangsamoro communities.</w:t>
      </w:r>
      <w:r>
        <w:rPr>
          <w:rFonts w:ascii="Inter" w:hAnsi="Inter" w:cs="Inter"/>
          <w:b w:val="0"/>
          <w:i w:val="0"/>
          <w:color w:val="2D2D2D"/>
          <w:sz w:val="22"/>
        </w:rPr>
        <w:t xml:space="preserve"> OOBC's community outreach and dialogue activities contribute to peacebuilding. Bangsamoro communities outside the core territory often exist alongside other cultural groups and face tensions around identity, resources, and representation. OOBC's coordination with LGUs and community leaders helps manage these dynamics and strengthens community resilience. This connects to </w:t>
      </w:r>
      <w:r>
        <w:rPr>
          <w:rFonts w:ascii="Inter" w:hAnsi="Inter" w:cs="Inter"/>
          <w:b/>
          <w:i w:val="0"/>
          <w:color w:val="2D2D2D"/>
          <w:sz w:val="22"/>
        </w:rPr>
        <w:t>Strategy S5</w:t>
      </w:r>
      <w:r>
        <w:rPr>
          <w:rFonts w:ascii="Inter" w:hAnsi="Inter" w:cs="Inter"/>
          <w:b w:val="0"/>
          <w:i w:val="0"/>
          <w:color w:val="2D2D2D"/>
          <w:sz w:val="22"/>
        </w:rPr>
        <w:t>: "Enhance and strengthen the peace, public order, safety, and security and uphold human rights."</w:t>
      </w:r>
    </w:p>
    <w:p>
      <w:pPr>
        <w:pStyle w:val="ListBullet"/>
      </w:pPr>
      <w:r>
        <w:rPr>
          <w:rFonts w:ascii="Inter" w:hAnsi="Inter" w:cs="Inter"/>
          <w:b w:val="0"/>
          <w:i w:val="0"/>
          <w:color w:val="2D2D2D"/>
          <w:sz w:val="22"/>
        </w:rPr>
      </w:r>
      <w:r>
        <w:rPr>
          <w:rFonts w:ascii="Inter" w:hAnsi="Inter" w:cs="Inter"/>
          <w:b/>
          <w:i w:val="0"/>
          <w:color w:val="2D2D2D"/>
          <w:sz w:val="22"/>
        </w:rPr>
        <w:t>Goal 4: Inclusive, responsive, and quality social services.</w:t>
      </w:r>
      <w:r>
        <w:rPr>
          <w:rFonts w:ascii="Inter" w:hAnsi="Inter" w:cs="Inter"/>
          <w:b w:val="0"/>
          <w:i w:val="0"/>
          <w:color w:val="2D2D2D"/>
          <w:sz w:val="22"/>
        </w:rPr>
        <w:t xml:space="preserve"> OOBC facilitates access to education, health, and social welfare services for Bangsamoro communities that, by virtue of their location outside BARMM, may fall through the gaps between regional and national service delivery systems. OOBC does not deliver these services directly --- it coordinates with ministries (MSSD, MBHTE, MAFAR) and NGAs (DILG) to ensure coverage reaches dispersed communities. This connects to </w:t>
      </w:r>
      <w:r>
        <w:rPr>
          <w:rFonts w:ascii="Inter" w:hAnsi="Inter" w:cs="Inter"/>
          <w:b/>
          <w:i w:val="0"/>
          <w:color w:val="2D2D2D"/>
          <w:sz w:val="22"/>
        </w:rPr>
        <w:t>Strategy S6</w:t>
      </w:r>
      <w:r>
        <w:rPr>
          <w:rFonts w:ascii="Inter" w:hAnsi="Inter" w:cs="Inter"/>
          <w:b w:val="0"/>
          <w:i w:val="0"/>
          <w:color w:val="2D2D2D"/>
          <w:sz w:val="22"/>
        </w:rPr>
        <w:t>: "Ensure inclusive and equitable access to quality services for social justice and human capital development."</w:t>
      </w:r>
    </w:p>
    <w:p>
      <w:pPr>
        <w:pStyle w:val="Heading3"/>
      </w:pPr>
      <w:r>
        <w:rPr>
          <w:rFonts w:ascii="Inter" w:hAnsi="Inter" w:cs="Inter"/>
          <w:b/>
          <w:i w:val="0"/>
          <w:color w:val="2C5F7C"/>
          <w:sz w:val="26"/>
        </w:rPr>
        <w:t>Written Contribution Statements</w:t>
      </w:r>
    </w:p>
    <w:p>
      <w:pPr>
        <w:spacing w:after="120" w:line="276" w:lineRule="auto"/>
      </w:pPr>
      <w:r>
        <w:rPr>
          <w:rFonts w:ascii="Inter" w:hAnsi="Inter" w:cs="Inter"/>
          <w:b w:val="0"/>
          <w:i w:val="0"/>
          <w:color w:val="2D2D2D"/>
          <w:sz w:val="22"/>
        </w:rPr>
      </w:r>
      <w:r>
        <w:rPr>
          <w:rFonts w:ascii="Inter" w:hAnsi="Inter" w:cs="Inter"/>
          <w:b/>
          <w:i w:val="0"/>
          <w:color w:val="2D2D2D"/>
          <w:sz w:val="22"/>
        </w:rPr>
        <w:t>Primary:</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"Through its mandate to take into consideration the rights of other Bangsamoro communities residing outside the Bangsamoro Autonomous Region (BOL Art. VI, Sec. 12), OOBC contributes to BDP Goal 1: Stable, just, and accountable government by extending the reach of Bangsamoro governance to dispersed communities across Mindanao and the Philippines through community profiling, institutional strengthening, and coordination with LGUs and national government agencies."</w:t>
      </w:r>
    </w:p>
    <w:p>
      <w:pPr>
        <w:spacing w:after="120" w:line="276" w:lineRule="auto"/>
      </w:pPr>
      <w:r>
        <w:rPr>
          <w:rFonts w:ascii="Inter" w:hAnsi="Inter" w:cs="Inter"/>
          <w:b w:val="0"/>
          <w:i w:val="0"/>
          <w:color w:val="2D2D2D"/>
          <w:sz w:val="22"/>
        </w:rPr>
      </w:r>
      <w:r>
        <w:rPr>
          <w:rFonts w:ascii="Inter" w:hAnsi="Inter" w:cs="Inter"/>
          <w:b/>
          <w:i w:val="0"/>
          <w:color w:val="2D2D2D"/>
          <w:sz w:val="22"/>
        </w:rPr>
        <w:t>Contributory:</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"Through its community outreach and coordination functions (BOL Art. VI, Sec. 12; BOL Art. V, Sec. 3), OOBC contributes to BDP Goal 3: Peaceful, safe, and resilient Bangsamoro communities by facilitating peacebuilding dialogues, supporting community leaders, and maintaining coordination linkages that help Bangsamoro communities outside the core territory manage inter-cultural relations and build resilience."</w:t>
      </w:r>
    </w:p>
    <w:p>
      <w:pPr>
        <w:spacing w:after="120" w:line="276" w:lineRule="auto"/>
        <w:ind w:left="850"/>
      </w:pPr>
      <w:r>
        <w:rPr>
          <w:rFonts w:ascii="Inter" w:hAnsi="Inter" w:cs="Inter"/>
          <w:b w:val="0"/>
          <w:i/>
          <w:color w:val="2D2D2D"/>
          <w:sz w:val="22"/>
        </w:rPr>
        <w:t>"Through its service facilitation role for vulnerable sectors --- women, youth, PWDs, elders, and orphans --- in Bangsamoro communities outside the core territory (BOL Art. VI, Sec. 12; BOL Art. IX, Sec. 1), OOBC contributes to BDP Goal 4: Inclusive, responsive, and quality social services by coordinating with MSSD, MBHTE, MAFAR, and NGAs to ensure that dispersed communities are not excluded from education, health, and social welfare programs."</w:t>
      </w:r>
    </w:p>
    <w:p>
      <w:pPr>
        <w:pStyle w:val="Heading3"/>
      </w:pPr>
      <w:r>
        <w:rPr>
          <w:rFonts w:ascii="Inter" w:hAnsi="Inter" w:cs="Inter"/>
          <w:b/>
          <w:i w:val="0"/>
          <w:color w:val="2C5F7C"/>
          <w:sz w:val="26"/>
        </w:rPr>
        <w:t>Strategy Mapping</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BDP Goal</w:t>
            </w:r>
          </w:p>
        </w:tc>
        <w:tc>
          <w:tcPr>
            <w:tcW w:type="dxa" w:w="3120"/>
            <w:shd w:fill="1B365D"/>
          </w:tcPr>
          <w:p>
            <w:r/>
            <w:r>
              <w:rPr>
                <w:rFonts w:ascii="Inter" w:hAnsi="Inter" w:cs="Inter"/>
                <w:b/>
                <w:i w:val="0"/>
                <w:color w:val="FFFFFF"/>
                <w:sz w:val="19"/>
              </w:rPr>
              <w:t>Applicable Strategy</w:t>
            </w:r>
          </w:p>
        </w:tc>
        <w:tc>
          <w:tcPr>
            <w:tcW w:type="dxa" w:w="3120"/>
            <w:shd w:fill="1B365D"/>
          </w:tcPr>
          <w:p>
            <w:r/>
            <w:r>
              <w:rPr>
                <w:rFonts w:ascii="Inter" w:hAnsi="Inter" w:cs="Inter"/>
                <w:b/>
                <w:i w:val="0"/>
                <w:color w:val="FFFFFF"/>
                <w:sz w:val="19"/>
              </w:rPr>
              <w:t>OOBC Function</w:t>
            </w:r>
          </w:p>
        </w:tc>
      </w:tr>
      <w:tr>
        <w:tc>
          <w:tcPr>
            <w:tcW w:type="dxa" w:w="3120"/>
          </w:tcPr>
          <w:p>
            <w:r/>
            <w:r>
              <w:rPr>
                <w:rFonts w:ascii="Inter" w:hAnsi="Inter" w:cs="Inter"/>
                <w:b w:val="0"/>
                <w:i w:val="0"/>
                <w:color w:val="2D2D2D"/>
                <w:sz w:val="19"/>
              </w:rPr>
              <w:t>G1 (Governance)</w:t>
            </w:r>
          </w:p>
        </w:tc>
        <w:tc>
          <w:tcPr>
            <w:tcW w:type="dxa" w:w="3120"/>
          </w:tcPr>
          <w:p>
            <w:r/>
            <w:r>
              <w:rPr>
                <w:rFonts w:ascii="Inter" w:hAnsi="Inter" w:cs="Inter"/>
                <w:b w:val="0"/>
                <w:i w:val="0"/>
                <w:color w:val="2D2D2D"/>
                <w:sz w:val="19"/>
              </w:rPr>
              <w:t>S1: Improve and strengthen governance mechanisms for a stable, just, and accountable Bangsamoro government</w:t>
            </w:r>
          </w:p>
        </w:tc>
        <w:tc>
          <w:tcPr>
            <w:tcW w:type="dxa" w:w="3120"/>
          </w:tcPr>
          <w:p>
            <w:r/>
            <w:r>
              <w:rPr>
                <w:rFonts w:ascii="Inter" w:hAnsi="Inter" w:cs="Inter"/>
                <w:b w:val="0"/>
                <w:i w:val="0"/>
                <w:color w:val="2D2D2D"/>
                <w:sz w:val="19"/>
              </w:rPr>
              <w:t>Community profiling, institutional strengthening, data and M&amp;E systems, LGU/NGA coordination</w:t>
            </w:r>
          </w:p>
        </w:tc>
      </w:tr>
      <w:tr>
        <w:tc>
          <w:tcPr>
            <w:tcW w:type="dxa" w:w="3120"/>
            <w:shd w:fill="F0F3F6"/>
          </w:tcPr>
          <w:p>
            <w:r/>
            <w:r>
              <w:rPr>
                <w:rFonts w:ascii="Inter" w:hAnsi="Inter" w:cs="Inter"/>
                <w:b w:val="0"/>
                <w:i w:val="0"/>
                <w:color w:val="2D2D2D"/>
                <w:sz w:val="19"/>
              </w:rPr>
              <w:t>G3 (Peace and Resilience)</w:t>
            </w:r>
          </w:p>
        </w:tc>
        <w:tc>
          <w:tcPr>
            <w:tcW w:type="dxa" w:w="3120"/>
            <w:shd w:fill="F0F3F6"/>
          </w:tcPr>
          <w:p>
            <w:r/>
            <w:r>
              <w:rPr>
                <w:rFonts w:ascii="Inter" w:hAnsi="Inter" w:cs="Inter"/>
                <w:b w:val="0"/>
                <w:i w:val="0"/>
                <w:color w:val="2D2D2D"/>
                <w:sz w:val="19"/>
              </w:rPr>
              <w:t>S5: Enhance and strengthen peace, public order, safety, and security and uphold human rights</w:t>
            </w:r>
          </w:p>
        </w:tc>
        <w:tc>
          <w:tcPr>
            <w:tcW w:type="dxa" w:w="3120"/>
            <w:shd w:fill="F0F3F6"/>
          </w:tcPr>
          <w:p>
            <w:r/>
            <w:r>
              <w:rPr>
                <w:rFonts w:ascii="Inter" w:hAnsi="Inter" w:cs="Inter"/>
                <w:b w:val="0"/>
                <w:i w:val="0"/>
                <w:color w:val="2D2D2D"/>
                <w:sz w:val="19"/>
              </w:rPr>
              <w:t>Peacebuilding dialogues, community outreach, support for traditional and religious leaders</w:t>
            </w:r>
          </w:p>
        </w:tc>
      </w:tr>
      <w:tr>
        <w:tc>
          <w:tcPr>
            <w:tcW w:type="dxa" w:w="3120"/>
          </w:tcPr>
          <w:p>
            <w:r/>
            <w:r>
              <w:rPr>
                <w:rFonts w:ascii="Inter" w:hAnsi="Inter" w:cs="Inter"/>
                <w:b w:val="0"/>
                <w:i w:val="0"/>
                <w:color w:val="2D2D2D"/>
                <w:sz w:val="19"/>
              </w:rPr>
              <w:t>G4 (Social Services)</w:t>
            </w:r>
          </w:p>
        </w:tc>
        <w:tc>
          <w:tcPr>
            <w:tcW w:type="dxa" w:w="3120"/>
          </w:tcPr>
          <w:p>
            <w:r/>
            <w:r>
              <w:rPr>
                <w:rFonts w:ascii="Inter" w:hAnsi="Inter" w:cs="Inter"/>
                <w:b w:val="0"/>
                <w:i w:val="0"/>
                <w:color w:val="2D2D2D"/>
                <w:sz w:val="19"/>
              </w:rPr>
              <w:t>S6: Ensure inclusive and equitable access to quality services for social justice and human capital development</w:t>
            </w:r>
          </w:p>
        </w:tc>
        <w:tc>
          <w:tcPr>
            <w:tcW w:type="dxa" w:w="3120"/>
          </w:tcPr>
          <w:p>
            <w:r/>
            <w:r>
              <w:rPr>
                <w:rFonts w:ascii="Inter" w:hAnsi="Inter" w:cs="Inter"/>
                <w:b w:val="0"/>
                <w:i w:val="0"/>
                <w:color w:val="2D2D2D"/>
                <w:sz w:val="19"/>
              </w:rPr>
              <w:t>Service facilitation for vulnerable sectors, coordination with MSSD/MBHTE/MAFAR, advocacy for program coverage</w:t>
            </w:r>
          </w:p>
        </w:tc>
      </w:tr>
      <w:tr>
        <w:tc>
          <w:tcPr>
            <w:tcW w:type="dxa" w:w="3120"/>
            <w:shd w:fill="F0F3F6"/>
          </w:tcPr>
          <w:p>
            <w:r/>
            <w:r>
              <w:rPr>
                <w:rFonts w:ascii="Inter" w:hAnsi="Inter" w:cs="Inter"/>
                <w:b w:val="0"/>
                <w:i w:val="0"/>
                <w:color w:val="2D2D2D"/>
                <w:sz w:val="19"/>
              </w:rPr>
              <w:t>G1 (Governance)</w:t>
            </w:r>
          </w:p>
        </w:tc>
        <w:tc>
          <w:tcPr>
            <w:tcW w:type="dxa" w:w="3120"/>
            <w:shd w:fill="F0F3F6"/>
          </w:tcPr>
          <w:p>
            <w:r/>
            <w:r>
              <w:rPr>
                <w:rFonts w:ascii="Inter" w:hAnsi="Inter" w:cs="Inter"/>
                <w:b w:val="0"/>
                <w:i w:val="0"/>
                <w:color w:val="2D2D2D"/>
                <w:sz w:val="19"/>
              </w:rPr>
              <w:t>S3: Harness technology and innovations to improve government services</w:t>
            </w:r>
          </w:p>
        </w:tc>
        <w:tc>
          <w:tcPr>
            <w:tcW w:type="dxa" w:w="3120"/>
            <w:shd w:fill="F0F3F6"/>
          </w:tcPr>
          <w:p>
            <w:r/>
            <w:r>
              <w:rPr>
                <w:rFonts w:ascii="Inter" w:hAnsi="Inter" w:cs="Inter"/>
                <w:b w:val="0"/>
                <w:i w:val="0"/>
                <w:color w:val="2D2D2D"/>
                <w:sz w:val="19"/>
              </w:rPr>
              <w:t>Community data systems, digital profiling tools, coordination platforms</w:t>
            </w:r>
          </w:p>
        </w:tc>
      </w:tr>
    </w:tbl>
    <w:p/>
    <w:p>
      <w:pPr>
        <w:pStyle w:val="Heading3"/>
      </w:pPr>
      <w:r>
        <w:rPr>
          <w:rFonts w:ascii="Inter" w:hAnsi="Inter" w:cs="Inter"/>
          <w:b/>
          <w:i w:val="0"/>
          <w:color w:val="2C5F7C"/>
          <w:sz w:val="26"/>
        </w:rPr>
        <w:t>Cross-Cutting Themes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Theme</w:t>
            </w:r>
          </w:p>
        </w:tc>
        <w:tc>
          <w:tcPr>
            <w:tcW w:type="dxa" w:w="4680"/>
            <w:shd w:fill="1B365D"/>
          </w:tcPr>
          <w:p>
            <w:r/>
            <w:r>
              <w:rPr>
                <w:rFonts w:ascii="Inter" w:hAnsi="Inter" w:cs="Inter"/>
                <w:b/>
                <w:i w:val="0"/>
                <w:color w:val="FFFFFF"/>
                <w:sz w:val="19"/>
              </w:rPr>
              <w:t>OOBC Relevance</w:t>
            </w:r>
          </w:p>
        </w:tc>
      </w:tr>
      <w:tr>
        <w:tc>
          <w:tcPr>
            <w:tcW w:type="dxa" w:w="4680"/>
          </w:tcPr>
          <w:p>
            <w:r/>
            <w:r>
              <w:rPr>
                <w:rFonts w:ascii="Inter" w:hAnsi="Inter" w:cs="Inter"/>
                <w:b w:val="0"/>
                <w:i w:val="0"/>
                <w:color w:val="2D2D2D"/>
                <w:sz w:val="19"/>
              </w:rPr>
              <w:t>Moral Governance</w:t>
            </w:r>
          </w:p>
        </w:tc>
        <w:tc>
          <w:tcPr>
            <w:tcW w:type="dxa" w:w="4680"/>
          </w:tcPr>
          <w:p>
            <w:r/>
            <w:r>
              <w:rPr>
                <w:rFonts w:ascii="Inter" w:hAnsi="Inter" w:cs="Inter"/>
                <w:b w:val="0"/>
                <w:i w:val="0"/>
                <w:color w:val="2D2D2D"/>
                <w:sz w:val="19"/>
              </w:rPr>
              <w:t>OOBC embodies the inclusivity and justice pillars --- ensuring no Bangsamoro community is forgotten because of geography</w:t>
            </w:r>
          </w:p>
        </w:tc>
      </w:tr>
      <w:tr>
        <w:tc>
          <w:tcPr>
            <w:tcW w:type="dxa" w:w="4680"/>
            <w:shd w:fill="F0F3F6"/>
          </w:tcPr>
          <w:p>
            <w:r/>
            <w:r>
              <w:rPr>
                <w:rFonts w:ascii="Inter" w:hAnsi="Inter" w:cs="Inter"/>
                <w:b w:val="0"/>
                <w:i w:val="0"/>
                <w:color w:val="2D2D2D"/>
                <w:sz w:val="19"/>
              </w:rPr>
              <w:t>Peace and Security</w:t>
            </w:r>
          </w:p>
        </w:tc>
        <w:tc>
          <w:tcPr>
            <w:tcW w:type="dxa" w:w="4680"/>
            <w:shd w:fill="F0F3F6"/>
          </w:tcPr>
          <w:p>
            <w:r/>
            <w:r>
              <w:rPr>
                <w:rFonts w:ascii="Inter" w:hAnsi="Inter" w:cs="Inter"/>
                <w:b w:val="0"/>
                <w:i w:val="0"/>
                <w:color w:val="2D2D2D"/>
                <w:sz w:val="19"/>
              </w:rPr>
              <w:t>Communities outside the core territory often navigate complex inter-cultural dynamics; OOBC's outreach has direct peace dimensions</w:t>
            </w:r>
          </w:p>
        </w:tc>
      </w:tr>
      <w:tr>
        <w:tc>
          <w:tcPr>
            <w:tcW w:type="dxa" w:w="4680"/>
          </w:tcPr>
          <w:p>
            <w:r/>
            <w:r>
              <w:rPr>
                <w:rFonts w:ascii="Inter" w:hAnsi="Inter" w:cs="Inter"/>
                <w:b w:val="0"/>
                <w:i w:val="0"/>
                <w:color w:val="2D2D2D"/>
                <w:sz w:val="19"/>
              </w:rPr>
              <w:t>Gender and Inclusivity</w:t>
            </w:r>
          </w:p>
        </w:tc>
        <w:tc>
          <w:tcPr>
            <w:tcW w:type="dxa" w:w="4680"/>
          </w:tcPr>
          <w:p>
            <w:r/>
            <w:r>
              <w:rPr>
                <w:rFonts w:ascii="Inter" w:hAnsi="Inter" w:cs="Inter"/>
                <w:b w:val="0"/>
                <w:i w:val="0"/>
                <w:color w:val="2D2D2D"/>
                <w:sz w:val="19"/>
              </w:rPr>
              <w:t>OOBC's mandate specifically extends to vulnerable sectors including women, youth, PWDs, elders, and orphans in dispersed communities</w:t>
            </w:r>
          </w:p>
        </w:tc>
      </w:tr>
      <w:tr>
        <w:tc>
          <w:tcPr>
            <w:tcW w:type="dxa" w:w="4680"/>
            <w:shd w:fill="F0F3F6"/>
          </w:tcPr>
          <w:p>
            <w:r/>
            <w:r>
              <w:rPr>
                <w:rFonts w:ascii="Inter" w:hAnsi="Inter" w:cs="Inter"/>
                <w:b w:val="0"/>
                <w:i w:val="0"/>
                <w:color w:val="2D2D2D"/>
                <w:sz w:val="19"/>
              </w:rPr>
              <w:t>Environmental Sustainability</w:t>
            </w:r>
          </w:p>
        </w:tc>
        <w:tc>
          <w:tcPr>
            <w:tcW w:type="dxa" w:w="4680"/>
            <w:shd w:fill="F0F3F6"/>
          </w:tcPr>
          <w:p>
            <w:r/>
            <w:r>
              <w:rPr>
                <w:rFonts w:ascii="Inter" w:hAnsi="Inter" w:cs="Inter"/>
                <w:b w:val="0"/>
                <w:i w:val="0"/>
                <w:color w:val="2D2D2D"/>
                <w:sz w:val="19"/>
              </w:rPr>
              <w:t>Bangsamoro communities outside the core territory may face environmental risks (disaster-prone areas, resource pressures); OOBC coordinates with relevant agencies</w:t>
            </w:r>
          </w:p>
        </w:tc>
      </w:tr>
      <w:tr>
        <w:tc>
          <w:tcPr>
            <w:tcW w:type="dxa" w:w="4680"/>
          </w:tcPr>
          <w:p>
            <w:r/>
            <w:r>
              <w:rPr>
                <w:rFonts w:ascii="Inter" w:hAnsi="Inter" w:cs="Inter"/>
                <w:b w:val="0"/>
                <w:i w:val="0"/>
                <w:color w:val="2D2D2D"/>
                <w:sz w:val="19"/>
              </w:rPr>
              <w:t>Technology and Innovation</w:t>
            </w:r>
          </w:p>
        </w:tc>
        <w:tc>
          <w:tcPr>
            <w:tcW w:type="dxa" w:w="4680"/>
          </w:tcPr>
          <w:p>
            <w:r/>
            <w:r>
              <w:rPr>
                <w:rFonts w:ascii="Inter" w:hAnsi="Inter" w:cs="Inter"/>
                <w:b w:val="0"/>
                <w:i w:val="0"/>
                <w:color w:val="2D2D2D"/>
                <w:sz w:val="19"/>
              </w:rPr>
              <w:t>Community data systems, digital coordination platforms, and field reporting tools are essential for an office serving geographically dispersed populations</w:t>
            </w:r>
          </w:p>
        </w:tc>
      </w:tr>
    </w:tbl>
    <w:p/>
    <w:p>
      <w:pPr>
        <w:pStyle w:val="Heading3"/>
      </w:pPr>
      <w:r>
        <w:rPr>
          <w:rFonts w:ascii="Inter" w:hAnsi="Inter" w:cs="Inter"/>
          <w:b/>
          <w:i w:val="0"/>
          <w:color w:val="2C5F7C"/>
          <w:sz w:val="26"/>
        </w:rPr>
        <w:t>Partial BDP Alignment Map</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Legal Mandate (from Ch 2)</w:t>
            </w:r>
          </w:p>
        </w:tc>
        <w:tc>
          <w:tcPr>
            <w:tcW w:type="dxa" w:w="1560"/>
            <w:shd w:fill="1B365D"/>
          </w:tcPr>
          <w:p>
            <w:r/>
            <w:r>
              <w:rPr>
                <w:rFonts w:ascii="Inter" w:hAnsi="Inter" w:cs="Inter"/>
                <w:b/>
                <w:i w:val="0"/>
                <w:color w:val="FFFFFF"/>
                <w:sz w:val="19"/>
              </w:rPr>
              <w:t>BDP Goal</w:t>
            </w:r>
          </w:p>
        </w:tc>
        <w:tc>
          <w:tcPr>
            <w:tcW w:type="dxa" w:w="1560"/>
            <w:shd w:fill="1B365D"/>
          </w:tcPr>
          <w:p>
            <w:r/>
            <w:r>
              <w:rPr>
                <w:rFonts w:ascii="Inter" w:hAnsi="Inter" w:cs="Inter"/>
                <w:b/>
                <w:i w:val="0"/>
                <w:color w:val="FFFFFF"/>
                <w:sz w:val="19"/>
              </w:rPr>
              <w:t>BDP Strategy</w:t>
            </w:r>
          </w:p>
        </w:tc>
        <w:tc>
          <w:tcPr>
            <w:tcW w:type="dxa" w:w="1560"/>
            <w:shd w:fill="1B365D"/>
          </w:tcPr>
          <w:p>
            <w:r/>
            <w:r>
              <w:rPr>
                <w:rFonts w:ascii="Inter" w:hAnsi="Inter" w:cs="Inter"/>
                <w:b/>
                <w:i w:val="0"/>
                <w:color w:val="FFFFFF"/>
                <w:sz w:val="19"/>
              </w:rPr>
              <w:t>Contribution Statement</w:t>
            </w:r>
          </w:p>
        </w:tc>
        <w:tc>
          <w:tcPr>
            <w:tcW w:type="dxa" w:w="1560"/>
            <w:shd w:fill="1B365D"/>
          </w:tcPr>
          <w:p>
            <w:r/>
            <w:r>
              <w:rPr>
                <w:rFonts w:ascii="Inter" w:hAnsi="Inter" w:cs="Inter"/>
                <w:b/>
                <w:i w:val="0"/>
                <w:color w:val="FFFFFF"/>
                <w:sz w:val="19"/>
              </w:rPr>
              <w:t>Alignment Type</w:t>
            </w:r>
          </w:p>
        </w:tc>
        <w:tc>
          <w:tcPr>
            <w:tcW w:type="dxa" w:w="1560"/>
            <w:shd w:fill="1B365D"/>
          </w:tcPr>
          <w:p>
            <w:r/>
            <w:r>
              <w:rPr>
                <w:rFonts w:ascii="Inter" w:hAnsi="Inter" w:cs="Inter"/>
                <w:b/>
                <w:i w:val="0"/>
                <w:color w:val="FFFFFF"/>
                <w:sz w:val="19"/>
              </w:rPr>
              <w:t>Cross-Cutting Themes</w:t>
            </w:r>
          </w:p>
        </w:tc>
      </w:tr>
      <w:tr>
        <w:tc>
          <w:tcPr>
            <w:tcW w:type="dxa" w:w="1560"/>
          </w:tcPr>
          <w:p>
            <w:r/>
            <w:r>
              <w:rPr>
                <w:rFonts w:ascii="Inter" w:hAnsi="Inter" w:cs="Inter"/>
                <w:b w:val="0"/>
                <w:i w:val="0"/>
                <w:color w:val="2D2D2D"/>
                <w:sz w:val="19"/>
              </w:rPr>
              <w:t>Take into consideration the rights of other Bangsamoro communities outside BARMM (BOL Art. VI, Sec. 12)</w:t>
            </w:r>
          </w:p>
        </w:tc>
        <w:tc>
          <w:tcPr>
            <w:tcW w:type="dxa" w:w="1560"/>
          </w:tcPr>
          <w:p>
            <w:r/>
            <w:r>
              <w:rPr>
                <w:rFonts w:ascii="Inter" w:hAnsi="Inter" w:cs="Inter"/>
                <w:b w:val="0"/>
                <w:i w:val="0"/>
                <w:color w:val="2D2D2D"/>
                <w:sz w:val="19"/>
              </w:rPr>
              <w:t>G1: Stable, just, and accountable government</w:t>
            </w:r>
          </w:p>
        </w:tc>
        <w:tc>
          <w:tcPr>
            <w:tcW w:type="dxa" w:w="1560"/>
          </w:tcPr>
          <w:p>
            <w:r/>
            <w:r>
              <w:rPr>
                <w:rFonts w:ascii="Inter" w:hAnsi="Inter" w:cs="Inter"/>
                <w:b w:val="0"/>
                <w:i w:val="0"/>
                <w:color w:val="2D2D2D"/>
                <w:sz w:val="19"/>
              </w:rPr>
              <w:t>S1: Improve and strengthen governance mechanisms</w:t>
            </w:r>
          </w:p>
        </w:tc>
        <w:tc>
          <w:tcPr>
            <w:tcW w:type="dxa" w:w="1560"/>
          </w:tcPr>
          <w:p>
            <w:r/>
            <w:r>
              <w:rPr>
                <w:rFonts w:ascii="Inter" w:hAnsi="Inter" w:cs="Inter"/>
                <w:b w:val="0"/>
                <w:i w:val="0"/>
                <w:color w:val="2D2D2D"/>
                <w:sz w:val="19"/>
              </w:rPr>
              <w:t>Extends Bangsamoro governance to dispersed communities through profiling, institutional strengthening, and LGU/NGA coordination</w:t>
            </w:r>
          </w:p>
        </w:tc>
        <w:tc>
          <w:tcPr>
            <w:tcW w:type="dxa" w:w="1560"/>
          </w:tcPr>
          <w:p>
            <w:r/>
            <w:r>
              <w:rPr>
                <w:rFonts w:ascii="Inter" w:hAnsi="Inter" w:cs="Inter"/>
                <w:b w:val="0"/>
                <w:i w:val="0"/>
                <w:color w:val="2D2D2D"/>
                <w:sz w:val="19"/>
              </w:rPr>
              <w:t>Primary</w:t>
            </w:r>
          </w:p>
        </w:tc>
        <w:tc>
          <w:tcPr>
            <w:tcW w:type="dxa" w:w="1560"/>
          </w:tcPr>
          <w:p>
            <w:r/>
            <w:r>
              <w:rPr>
                <w:rFonts w:ascii="Inter" w:hAnsi="Inter" w:cs="Inter"/>
                <w:b w:val="0"/>
                <w:i w:val="0"/>
                <w:color w:val="2D2D2D"/>
                <w:sz w:val="19"/>
              </w:rPr>
              <w:t>Moral Governance (inclusivity, justice), Gender and Inclusivity</w:t>
            </w:r>
          </w:p>
        </w:tc>
      </w:tr>
      <w:tr>
        <w:tc>
          <w:tcPr>
            <w:tcW w:type="dxa" w:w="1560"/>
            <w:shd w:fill="F0F3F6"/>
          </w:tcPr>
          <w:p>
            <w:r/>
            <w:r>
              <w:rPr>
                <w:rFonts w:ascii="Inter" w:hAnsi="Inter" w:cs="Inter"/>
                <w:b w:val="0"/>
                <w:i w:val="0"/>
                <w:color w:val="2D2D2D"/>
                <w:sz w:val="19"/>
              </w:rPr>
              <w:t>Community outreach and coordination functions (BOL Art. VI, Sec. 12; Art. V, Sec. 3)</w:t>
            </w:r>
          </w:p>
        </w:tc>
        <w:tc>
          <w:tcPr>
            <w:tcW w:type="dxa" w:w="1560"/>
            <w:shd w:fill="F0F3F6"/>
          </w:tcPr>
          <w:p>
            <w:r/>
            <w:r>
              <w:rPr>
                <w:rFonts w:ascii="Inter" w:hAnsi="Inter" w:cs="Inter"/>
                <w:b w:val="0"/>
                <w:i w:val="0"/>
                <w:color w:val="2D2D2D"/>
                <w:sz w:val="19"/>
              </w:rPr>
              <w:t>G3: Peaceful, safe, and resilient communities</w:t>
            </w:r>
          </w:p>
        </w:tc>
        <w:tc>
          <w:tcPr>
            <w:tcW w:type="dxa" w:w="1560"/>
            <w:shd w:fill="F0F3F6"/>
          </w:tcPr>
          <w:p>
            <w:r/>
            <w:r>
              <w:rPr>
                <w:rFonts w:ascii="Inter" w:hAnsi="Inter" w:cs="Inter"/>
                <w:b w:val="0"/>
                <w:i w:val="0"/>
                <w:color w:val="2D2D2D"/>
                <w:sz w:val="19"/>
              </w:rPr>
              <w:t>S5: Enhance peace, public order, safety, and security</w:t>
            </w:r>
          </w:p>
        </w:tc>
        <w:tc>
          <w:tcPr>
            <w:tcW w:type="dxa" w:w="1560"/>
            <w:shd w:fill="F0F3F6"/>
          </w:tcPr>
          <w:p>
            <w:r/>
            <w:r>
              <w:rPr>
                <w:rFonts w:ascii="Inter" w:hAnsi="Inter" w:cs="Inter"/>
                <w:b w:val="0"/>
                <w:i w:val="0"/>
                <w:color w:val="2D2D2D"/>
                <w:sz w:val="19"/>
              </w:rPr>
              <w:t>Facilitates peacebuilding dialogues and supports community leaders in managing inter-cultural relations</w:t>
            </w:r>
          </w:p>
        </w:tc>
        <w:tc>
          <w:tcPr>
            <w:tcW w:type="dxa" w:w="1560"/>
            <w:shd w:fill="F0F3F6"/>
          </w:tcPr>
          <w:p>
            <w:r/>
            <w:r>
              <w:rPr>
                <w:rFonts w:ascii="Inter" w:hAnsi="Inter" w:cs="Inter"/>
                <w:b w:val="0"/>
                <w:i w:val="0"/>
                <w:color w:val="2D2D2D"/>
                <w:sz w:val="19"/>
              </w:rPr>
              <w:t>Contributory</w:t>
            </w:r>
          </w:p>
        </w:tc>
        <w:tc>
          <w:tcPr>
            <w:tcW w:type="dxa" w:w="1560"/>
            <w:shd w:fill="F0F3F6"/>
          </w:tcPr>
          <w:p>
            <w:r/>
            <w:r>
              <w:rPr>
                <w:rFonts w:ascii="Inter" w:hAnsi="Inter" w:cs="Inter"/>
                <w:b w:val="0"/>
                <w:i w:val="0"/>
                <w:color w:val="2D2D2D"/>
                <w:sz w:val="19"/>
              </w:rPr>
              <w:t>Peace and Security, Gender and Inclusivity</w:t>
            </w:r>
          </w:p>
        </w:tc>
      </w:tr>
      <w:tr>
        <w:tc>
          <w:tcPr>
            <w:tcW w:type="dxa" w:w="1560"/>
          </w:tcPr>
          <w:p>
            <w:r/>
            <w:r>
              <w:rPr>
                <w:rFonts w:ascii="Inter" w:hAnsi="Inter" w:cs="Inter"/>
                <w:b w:val="0"/>
                <w:i w:val="0"/>
                <w:color w:val="2D2D2D"/>
                <w:sz w:val="19"/>
              </w:rPr>
              <w:t>Service facilitation for vulnerable sectors (BOL Art. VI, Sec. 12; Art. IX, Sec. 1)</w:t>
            </w:r>
          </w:p>
        </w:tc>
        <w:tc>
          <w:tcPr>
            <w:tcW w:type="dxa" w:w="1560"/>
          </w:tcPr>
          <w:p>
            <w:r/>
            <w:r>
              <w:rPr>
                <w:rFonts w:ascii="Inter" w:hAnsi="Inter" w:cs="Inter"/>
                <w:b w:val="0"/>
                <w:i w:val="0"/>
                <w:color w:val="2D2D2D"/>
                <w:sz w:val="19"/>
              </w:rPr>
              <w:t>G4: Inclusive, responsive, and quality social services</w:t>
            </w:r>
          </w:p>
        </w:tc>
        <w:tc>
          <w:tcPr>
            <w:tcW w:type="dxa" w:w="1560"/>
          </w:tcPr>
          <w:p>
            <w:r/>
            <w:r>
              <w:rPr>
                <w:rFonts w:ascii="Inter" w:hAnsi="Inter" w:cs="Inter"/>
                <w:b w:val="0"/>
                <w:i w:val="0"/>
                <w:color w:val="2D2D2D"/>
                <w:sz w:val="19"/>
              </w:rPr>
              <w:t>S6: Ensure inclusive and equitable access to quality services</w:t>
            </w:r>
          </w:p>
        </w:tc>
        <w:tc>
          <w:tcPr>
            <w:tcW w:type="dxa" w:w="1560"/>
          </w:tcPr>
          <w:p>
            <w:r/>
            <w:r>
              <w:rPr>
                <w:rFonts w:ascii="Inter" w:hAnsi="Inter" w:cs="Inter"/>
                <w:b w:val="0"/>
                <w:i w:val="0"/>
                <w:color w:val="2D2D2D"/>
                <w:sz w:val="19"/>
              </w:rPr>
              <w:t>Coordinates with MSSD, MBHTE, MAFAR, and NGAs to ensure dispersed communities access education, health, and social welfare programs</w:t>
            </w:r>
          </w:p>
        </w:tc>
        <w:tc>
          <w:tcPr>
            <w:tcW w:type="dxa" w:w="1560"/>
          </w:tcPr>
          <w:p>
            <w:r/>
            <w:r>
              <w:rPr>
                <w:rFonts w:ascii="Inter" w:hAnsi="Inter" w:cs="Inter"/>
                <w:b w:val="0"/>
                <w:i w:val="0"/>
                <w:color w:val="2D2D2D"/>
                <w:sz w:val="19"/>
              </w:rPr>
              <w:t>Contributory</w:t>
            </w:r>
          </w:p>
        </w:tc>
        <w:tc>
          <w:tcPr>
            <w:tcW w:type="dxa" w:w="1560"/>
          </w:tcPr>
          <w:p>
            <w:r/>
            <w:r>
              <w:rPr>
                <w:rFonts w:ascii="Inter" w:hAnsi="Inter" w:cs="Inter"/>
                <w:b w:val="0"/>
                <w:i w:val="0"/>
                <w:color w:val="2D2D2D"/>
                <w:sz w:val="19"/>
              </w:rPr>
              <w:t>Gender and Inclusivity, Moral Governance (inclusivity)</w:t>
            </w:r>
          </w:p>
        </w:tc>
      </w:tr>
      <w:tr>
        <w:tc>
          <w:tcPr>
            <w:tcW w:type="dxa" w:w="1560"/>
            <w:shd w:fill="F0F3F6"/>
          </w:tcPr>
          <w:p>
            <w:r/>
            <w:r>
              <w:rPr>
                <w:rFonts w:ascii="Inter" w:hAnsi="Inter" w:cs="Inter"/>
                <w:b w:val="0"/>
                <w:i w:val="0"/>
                <w:color w:val="2D2D2D"/>
                <w:sz w:val="19"/>
              </w:rPr>
              <w:t>Administrative organization and institutional capacity (BOL Art. V, Sec. 2(a); BAA 13, Book IV)</w:t>
            </w:r>
          </w:p>
        </w:tc>
        <w:tc>
          <w:tcPr>
            <w:tcW w:type="dxa" w:w="1560"/>
            <w:shd w:fill="F0F3F6"/>
          </w:tcPr>
          <w:p>
            <w:r/>
            <w:r>
              <w:rPr>
                <w:rFonts w:ascii="Inter" w:hAnsi="Inter" w:cs="Inter"/>
                <w:b w:val="0"/>
                <w:i w:val="0"/>
                <w:color w:val="2D2D2D"/>
                <w:sz w:val="19"/>
              </w:rPr>
              <w:t>G1: Stable, just, and accountable government</w:t>
            </w:r>
          </w:p>
        </w:tc>
        <w:tc>
          <w:tcPr>
            <w:tcW w:type="dxa" w:w="1560"/>
            <w:shd w:fill="F0F3F6"/>
          </w:tcPr>
          <w:p>
            <w:r/>
            <w:r>
              <w:rPr>
                <w:rFonts w:ascii="Inter" w:hAnsi="Inter" w:cs="Inter"/>
                <w:b w:val="0"/>
                <w:i w:val="0"/>
                <w:color w:val="2D2D2D"/>
                <w:sz w:val="19"/>
              </w:rPr>
              <w:t>S1: Improve governance mechanisms; S3: Harness technology</w:t>
            </w:r>
          </w:p>
        </w:tc>
        <w:tc>
          <w:tcPr>
            <w:tcW w:type="dxa" w:w="1560"/>
            <w:shd w:fill="F0F3F6"/>
          </w:tcPr>
          <w:p>
            <w:r/>
            <w:r>
              <w:rPr>
                <w:rFonts w:ascii="Inter" w:hAnsi="Inter" w:cs="Inter"/>
                <w:b w:val="0"/>
                <w:i w:val="0"/>
                <w:color w:val="2D2D2D"/>
                <w:sz w:val="19"/>
              </w:rPr>
              <w:t>Strengthens OOBC's institutional capacity through community data systems, field coordination, and staff development</w:t>
            </w:r>
          </w:p>
        </w:tc>
        <w:tc>
          <w:tcPr>
            <w:tcW w:type="dxa" w:w="1560"/>
            <w:shd w:fill="F0F3F6"/>
          </w:tcPr>
          <w:p>
            <w:r/>
            <w:r>
              <w:rPr>
                <w:rFonts w:ascii="Inter" w:hAnsi="Inter" w:cs="Inter"/>
                <w:b w:val="0"/>
                <w:i w:val="0"/>
                <w:color w:val="2D2D2D"/>
                <w:sz w:val="19"/>
              </w:rPr>
              <w:t>Primary</w:t>
            </w:r>
          </w:p>
        </w:tc>
        <w:tc>
          <w:tcPr>
            <w:tcW w:type="dxa" w:w="1560"/>
            <w:shd w:fill="F0F3F6"/>
          </w:tcPr>
          <w:p>
            <w:r/>
            <w:r>
              <w:rPr>
                <w:rFonts w:ascii="Inter" w:hAnsi="Inter" w:cs="Inter"/>
                <w:b w:val="0"/>
                <w:i w:val="0"/>
                <w:color w:val="2D2D2D"/>
                <w:sz w:val="19"/>
              </w:rPr>
              <w:t>Technology and Innovation</w:t>
            </w:r>
          </w:p>
        </w:tc>
      </w:tr>
    </w:tbl>
    <w:p/>
    <w:p>
      <w:pPr>
        <w:pStyle w:val="Heading2"/>
      </w:pPr>
      <w:r>
        <w:rPr>
          <w:rFonts w:ascii="Inter" w:hAnsi="Inter" w:cs="Inter"/>
          <w:b/>
          <w:i w:val="0"/>
          <w:color w:val="1B365D"/>
          <w:sz w:val="32"/>
        </w:rPr>
        <w:t>3.5 For Decision-Makers</w:t>
      </w:r>
    </w:p>
    <w:p>
      <w:pPr>
        <w:spacing w:after="120" w:line="276" w:lineRule="auto"/>
        <w:ind w:left="850"/>
      </w:pPr>
      <w:r>
        <w:rPr>
          <w:rFonts w:ascii="Inter" w:hAnsi="Inter" w:cs="Inter"/>
          <w:b w:val="0"/>
          <w:i/>
          <w:color w:val="2D2D2D"/>
          <w:sz w:val="22"/>
        </w:rPr>
      </w:r>
      <w:r>
        <w:rPr>
          <w:rFonts w:ascii="Inter" w:hAnsi="Inter" w:cs="Inter"/>
          <w:b/>
          <w:i w:val="0"/>
          <w:color w:val="2D2D2D"/>
          <w:sz w:val="22"/>
        </w:rPr>
        <w:t>Review checkpoint.</w:t>
      </w:r>
      <w:r>
        <w:rPr>
          <w:rFonts w:ascii="Inter" w:hAnsi="Inter" w:cs="Inter"/>
          <w:b w:val="0"/>
          <w:i/>
          <w:color w:val="2D2D2D"/>
          <w:sz w:val="22"/>
        </w:rPr>
        <w:t xml:space="preserve"> Before approving your MOA's BDP alignment, verify the following: </w:t>
      </w:r>
      <w:r>
        <w:rPr>
          <w:rFonts w:ascii="Inter" w:hAnsi="Inter" w:cs="Inter"/>
          <w:b/>
          <w:i w:val="0"/>
          <w:color w:val="2D2D2D"/>
          <w:sz w:val="22"/>
        </w:rPr>
        <w:t>Is the alignment honest?</w:t>
      </w:r>
      <w:r>
        <w:rPr>
          <w:rFonts w:ascii="Inter" w:hAnsi="Inter" w:cs="Inter"/>
          <w:b w:val="0"/>
          <w:i/>
          <w:color w:val="2D2D2D"/>
          <w:sz w:val="22"/>
        </w:rPr>
        <w:t xml:space="preserve"> Review each contribution statement and ask: if this MOA did not exist, would this BDP goal be harder to achieve? If the answer is no, the alignment is forced. Remove it. Claiming alignment where none exists damages your MOA's credibility in BPDA review. </w:t>
      </w:r>
      <w:r>
        <w:rPr>
          <w:rFonts w:ascii="Inter" w:hAnsi="Inter" w:cs="Inter"/>
          <w:b/>
          <w:i w:val="0"/>
          <w:color w:val="2D2D2D"/>
          <w:sz w:val="22"/>
        </w:rPr>
        <w:t>Is the alignment complete?</w:t>
      </w:r>
      <w:r>
        <w:rPr>
          <w:rFonts w:ascii="Inter" w:hAnsi="Inter" w:cs="Inter"/>
          <w:b w:val="0"/>
          <w:i/>
          <w:color w:val="2D2D2D"/>
          <w:sz w:val="22"/>
        </w:rPr>
        <w:t xml:space="preserve"> Look at the six BDP goals and ask: are there goals your MOA *should* contribute to but does not claim? A ministry that regulates natural resources but claims no contribution to economic development (G2) may be understating its role. Gaps are acceptable when genuine, but overlooked alignments weaken your strategic plan. </w:t>
      </w:r>
      <w:r>
        <w:rPr>
          <w:rFonts w:ascii="Inter" w:hAnsi="Inter" w:cs="Inter"/>
          <w:b/>
          <w:i w:val="0"/>
          <w:color w:val="2D2D2D"/>
          <w:sz w:val="22"/>
        </w:rPr>
        <w:t>Are contribution statements specific?</w:t>
      </w:r>
      <w:r>
        <w:rPr>
          <w:rFonts w:ascii="Inter" w:hAnsi="Inter" w:cs="Inter"/>
          <w:b w:val="0"/>
          <w:i/>
          <w:color w:val="2D2D2D"/>
          <w:sz w:val="22"/>
        </w:rPr>
        <w:t xml:space="preserve"> Read each contribution statement aloud. If it could describe any MOA in the Bangsamoro Government, it is too generic. Push your planning team to identify the specific mechanism, program, or function through which your MOA produces the contribution. </w:t>
      </w:r>
      <w:r>
        <w:rPr>
          <w:rFonts w:ascii="Inter" w:hAnsi="Inter" w:cs="Inter"/>
          <w:b/>
          <w:i w:val="0"/>
          <w:color w:val="2D2D2D"/>
          <w:sz w:val="22"/>
        </w:rPr>
        <w:t>Is the primary alignment defensible?</w:t>
      </w:r>
      <w:r>
        <w:rPr>
          <w:rFonts w:ascii="Inter" w:hAnsi="Inter" w:cs="Inter"/>
          <w:b w:val="0"/>
          <w:i/>
          <w:color w:val="2D2D2D"/>
          <w:sz w:val="22"/>
        </w:rPr>
        <w:t xml:space="preserve"> When BPDA reviews your plan, they will evaluate whether your claimed primary alignment matches your actual budget allocation and program design. If you claim primary alignment with G4 (social services) but allocate 80 percent of your budget to administrative functions, the misalignment will be apparent. </w:t>
      </w:r>
      <w:r>
        <w:rPr>
          <w:rFonts w:ascii="Inter" w:hAnsi="Inter" w:cs="Inter"/>
          <w:b/>
          <w:i w:val="0"/>
          <w:color w:val="2D2D2D"/>
          <w:sz w:val="22"/>
        </w:rPr>
        <w:t>Are cross-cutting themes addressed?</w:t>
      </w:r>
      <w:r>
        <w:rPr>
          <w:rFonts w:ascii="Inter" w:hAnsi="Inter" w:cs="Inter"/>
          <w:b w:val="0"/>
          <w:i/>
          <w:color w:val="2D2D2D"/>
          <w:sz w:val="22"/>
        </w:rPr>
        <w:t xml:space="preserve"> Check that gender, peace, environmental sustainability, and governance themes appear somewhere in your alignment map. If none of your programs address any cross-cutting theme, the plan is incomplete.</w:t>
      </w:r>
    </w:p>
    <w:p>
      <w:pPr>
        <w:pStyle w:val="Heading2"/>
      </w:pPr>
      <w:r>
        <w:rPr>
          <w:rFonts w:ascii="Inter" w:hAnsi="Inter" w:cs="Inter"/>
          <w:b/>
          <w:i w:val="0"/>
          <w:color w:val="1B365D"/>
          <w:sz w:val="32"/>
        </w:rPr>
        <w:t>3.6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Forcing alignment where none exists.</w:t>
      </w:r>
      <w:r>
        <w:rPr>
          <w:rFonts w:ascii="Inter" w:hAnsi="Inter" w:cs="Inter"/>
          <w:b w:val="0"/>
          <w:i w:val="0"/>
          <w:color w:val="2D2D2D"/>
          <w:sz w:val="22"/>
        </w:rPr>
        <w:t xml:space="preserve"> Not every activity maps to a BDP goal, and that is acceptable. Some mandates are administrative --- personnel management, financial reporting, internal audit. These are essential to your MOA's functioning but do not directly contribute to BDP development outcomes. Forcing them into alignment ("our payroll system contributes to G1 by strengthening governance") weakens the genuine alignments in your plan.</w:t>
      </w:r>
    </w:p>
    <w:p>
      <w:pPr>
        <w:spacing w:after="120" w:line="276" w:lineRule="auto"/>
      </w:pPr>
      <w:r>
        <w:rPr>
          <w:rFonts w:ascii="Inter" w:hAnsi="Inter" w:cs="Inter"/>
          <w:b w:val="0"/>
          <w:i w:val="0"/>
          <w:color w:val="2D2D2D"/>
          <w:sz w:val="22"/>
        </w:rPr>
      </w:r>
      <w:r>
        <w:rPr>
          <w:rFonts w:ascii="Inter" w:hAnsi="Inter" w:cs="Inter"/>
          <w:b/>
          <w:i w:val="0"/>
          <w:color w:val="2D2D2D"/>
          <w:sz w:val="22"/>
        </w:rPr>
        <w:t>Aligning only at the goal level.</w:t>
      </w:r>
      <w:r>
        <w:rPr>
          <w:rFonts w:ascii="Inter" w:hAnsi="Inter" w:cs="Inter"/>
          <w:b w:val="0"/>
          <w:i w:val="0"/>
          <w:color w:val="2D2D2D"/>
          <w:sz w:val="22"/>
        </w:rPr>
        <w:t xml:space="preserve"> Saying "our MOA contributes to Goal 4" without specifying the strategy (S6: Ensure inclusive and equitable access to quality services) or the mechanism (by delivering primary healthcare to underserved communities) is incomplete. Goal-level alignment tells BPDA nothing about how the contribution actually works.</w:t>
      </w:r>
    </w:p>
    <w:p>
      <w:pPr>
        <w:spacing w:after="120" w:line="276" w:lineRule="auto"/>
      </w:pPr>
      <w:r>
        <w:rPr>
          <w:rFonts w:ascii="Inter" w:hAnsi="Inter" w:cs="Inter"/>
          <w:b w:val="0"/>
          <w:i w:val="0"/>
          <w:color w:val="2D2D2D"/>
          <w:sz w:val="22"/>
        </w:rPr>
      </w:r>
      <w:r>
        <w:rPr>
          <w:rFonts w:ascii="Inter" w:hAnsi="Inter" w:cs="Inter"/>
          <w:b/>
          <w:i w:val="0"/>
          <w:color w:val="2D2D2D"/>
          <w:sz w:val="22"/>
        </w:rPr>
        <w:t>Ignoring cross-cutting themes.</w:t>
      </w:r>
      <w:r>
        <w:rPr>
          <w:rFonts w:ascii="Inter" w:hAnsi="Inter" w:cs="Inter"/>
          <w:b w:val="0"/>
          <w:i w:val="0"/>
          <w:color w:val="2D2D2D"/>
          <w:sz w:val="22"/>
        </w:rPr>
        <w:t xml:space="preserve"> The BDP treats Moral Governance, peace, gender, and environmental sustainability as themes that apply across all sectors. A social services ministry that ignores environmental sustainability, or an infrastructure ministry that ignores gender dimensions, is missing what the BDP actually requires. You do not need an elaborate response for every theme, but you need to show you have considered them.</w:t>
      </w:r>
    </w:p>
    <w:p>
      <w:pPr>
        <w:spacing w:after="120" w:line="276" w:lineRule="auto"/>
      </w:pPr>
      <w:r>
        <w:rPr>
          <w:rFonts w:ascii="Inter" w:hAnsi="Inter" w:cs="Inter"/>
          <w:b w:val="0"/>
          <w:i w:val="0"/>
          <w:color w:val="2D2D2D"/>
          <w:sz w:val="22"/>
        </w:rPr>
      </w:r>
      <w:r>
        <w:rPr>
          <w:rFonts w:ascii="Inter" w:hAnsi="Inter" w:cs="Inter"/>
          <w:b/>
          <w:i w:val="0"/>
          <w:color w:val="2D2D2D"/>
          <w:sz w:val="22"/>
        </w:rPr>
        <w:t>Using the wrong BDP.</w:t>
      </w:r>
      <w:r>
        <w:rPr>
          <w:rFonts w:ascii="Inter" w:hAnsi="Inter" w:cs="Inter"/>
          <w:b w:val="0"/>
          <w:i w:val="0"/>
          <w:color w:val="2D2D2D"/>
          <w:sz w:val="22"/>
        </w:rPr>
        <w:t xml:space="preserve"> The current plan is the 2nd Bangsamoro Development Plan 2023-2028. The previous plan (BDP 2020-2022) used different goal formulations and different strategies. If your contribution statements reference "economic growth and job creation" as a BDP goal, you may be using the old plan. Verify that your goal names match the current BDP exactly.</w:t>
      </w:r>
    </w:p>
    <w:p>
      <w:pPr>
        <w:spacing w:after="120" w:line="276" w:lineRule="auto"/>
      </w:pPr>
      <w:r>
        <w:rPr>
          <w:rFonts w:ascii="Inter" w:hAnsi="Inter" w:cs="Inter"/>
          <w:b w:val="0"/>
          <w:i w:val="0"/>
          <w:color w:val="2D2D2D"/>
          <w:sz w:val="22"/>
        </w:rPr>
      </w:r>
      <w:r>
        <w:rPr>
          <w:rFonts w:ascii="Inter" w:hAnsi="Inter" w:cs="Inter"/>
          <w:b/>
          <w:i w:val="0"/>
          <w:color w:val="2D2D2D"/>
          <w:sz w:val="22"/>
        </w:rPr>
        <w:t>Writing generic contribution statements.</w:t>
      </w:r>
      <w:r>
        <w:rPr>
          <w:rFonts w:ascii="Inter" w:hAnsi="Inter" w:cs="Inter"/>
          <w:b w:val="0"/>
          <w:i w:val="0"/>
          <w:color w:val="2D2D2D"/>
          <w:sz w:val="22"/>
        </w:rPr>
        <w:t xml:space="preserve"> A contribution statement that reads "Through its mandate, the Ministry contributes to BDP Goal 2 by supporting economic development in the Bangsamoro region" could apply to any MOA. Replace generic language with specifics: which mandate provision, which programs, which populations, which mechanism. If two different MOAs could claim the exact same contribution statement, neither statement is specific enough.</w:t>
      </w:r>
    </w:p>
    <w:p>
      <w:pPr>
        <w:spacing w:after="120" w:line="276" w:lineRule="auto"/>
      </w:pPr>
      <w:r>
        <w:rPr>
          <w:rFonts w:ascii="Inter" w:hAnsi="Inter" w:cs="Inter"/>
          <w:b w:val="0"/>
          <w:i w:val="0"/>
          <w:color w:val="2D2D2D"/>
          <w:sz w:val="22"/>
        </w:rPr>
      </w:r>
      <w:r>
        <w:rPr>
          <w:rFonts w:ascii="Inter" w:hAnsi="Inter" w:cs="Inter"/>
          <w:b/>
          <w:i w:val="0"/>
          <w:color w:val="2D2D2D"/>
          <w:sz w:val="22"/>
        </w:rPr>
        <w:t>Claiming too many primary alignments.</w:t>
      </w:r>
      <w:r>
        <w:rPr>
          <w:rFonts w:ascii="Inter" w:hAnsi="Inter" w:cs="Inter"/>
          <w:b w:val="0"/>
          <w:i w:val="0"/>
          <w:color w:val="2D2D2D"/>
          <w:sz w:val="22"/>
        </w:rPr>
        <w:t xml:space="preserve"> If your MOA claims primary alignment with four or five BDP goals, you are not being strategic --- you are listing everything that sounds relevant. Primary alignment means your MOA is a *central* contributor to the goal's achievement. Most MOAs have one or two primary goals at most. Claiming more dilutes your focus and raises questions about resource allocation.</w:t>
      </w:r>
    </w:p>
    <w:p>
      <w:pPr>
        <w:pStyle w:val="Heading2"/>
      </w:pPr>
      <w:r>
        <w:rPr>
          <w:rFonts w:ascii="Inter" w:hAnsi="Inter" w:cs="Inter"/>
          <w:b/>
          <w:i w:val="0"/>
          <w:color w:val="1B365D"/>
          <w:sz w:val="32"/>
        </w:rPr>
        <w:t>3.7 Template: BDP Alignment Map</w:t>
      </w:r>
    </w:p>
    <w:p>
      <w:pPr>
        <w:spacing w:after="120" w:line="276" w:lineRule="auto"/>
      </w:pPr>
      <w:r>
        <w:rPr>
          <w:rFonts w:ascii="Inter" w:hAnsi="Inter" w:cs="Inter"/>
          <w:b w:val="0"/>
          <w:i w:val="0"/>
          <w:color w:val="2D2D2D"/>
          <w:sz w:val="22"/>
        </w:rPr>
        <w:t>Use this table to consolidate your BDP alignment analysis. Complete one row for each legal mandate from your Chapter 2 Legal Mandate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Legal Mandate (from Ch 2)</w:t>
            </w:r>
          </w:p>
        </w:tc>
        <w:tc>
          <w:tcPr>
            <w:tcW w:type="dxa" w:w="1560"/>
            <w:shd w:fill="1B365D"/>
          </w:tcPr>
          <w:p>
            <w:r/>
            <w:r>
              <w:rPr>
                <w:rFonts w:ascii="Inter" w:hAnsi="Inter" w:cs="Inter"/>
                <w:b/>
                <w:i w:val="0"/>
                <w:color w:val="FFFFFF"/>
                <w:sz w:val="19"/>
              </w:rPr>
              <w:t>BDP Goal</w:t>
            </w:r>
          </w:p>
        </w:tc>
        <w:tc>
          <w:tcPr>
            <w:tcW w:type="dxa" w:w="1560"/>
            <w:shd w:fill="1B365D"/>
          </w:tcPr>
          <w:p>
            <w:r/>
            <w:r>
              <w:rPr>
                <w:rFonts w:ascii="Inter" w:hAnsi="Inter" w:cs="Inter"/>
                <w:b/>
                <w:i w:val="0"/>
                <w:color w:val="FFFFFF"/>
                <w:sz w:val="19"/>
              </w:rPr>
              <w:t>BDP Strategy</w:t>
            </w:r>
          </w:p>
        </w:tc>
        <w:tc>
          <w:tcPr>
            <w:tcW w:type="dxa" w:w="1560"/>
            <w:shd w:fill="1B365D"/>
          </w:tcPr>
          <w:p>
            <w:r/>
            <w:r>
              <w:rPr>
                <w:rFonts w:ascii="Inter" w:hAnsi="Inter" w:cs="Inter"/>
                <w:b/>
                <w:i w:val="0"/>
                <w:color w:val="FFFFFF"/>
                <w:sz w:val="19"/>
              </w:rPr>
              <w:t>Contribution Statement</w:t>
            </w:r>
          </w:p>
        </w:tc>
        <w:tc>
          <w:tcPr>
            <w:tcW w:type="dxa" w:w="1560"/>
            <w:shd w:fill="1B365D"/>
          </w:tcPr>
          <w:p>
            <w:r/>
            <w:r>
              <w:rPr>
                <w:rFonts w:ascii="Inter" w:hAnsi="Inter" w:cs="Inter"/>
                <w:b/>
                <w:i w:val="0"/>
                <w:color w:val="FFFFFF"/>
                <w:sz w:val="19"/>
              </w:rPr>
              <w:t>Alignment Type</w:t>
            </w:r>
          </w:p>
        </w:tc>
        <w:tc>
          <w:tcPr>
            <w:tcW w:type="dxa" w:w="1560"/>
            <w:shd w:fill="1B365D"/>
          </w:tcPr>
          <w:p>
            <w:r/>
            <w:r>
              <w:rPr>
                <w:rFonts w:ascii="Inter" w:hAnsi="Inter" w:cs="Inter"/>
                <w:b/>
                <w:i w:val="0"/>
                <w:color w:val="FFFFFF"/>
                <w:sz w:val="19"/>
              </w:rPr>
              <w:t>Cross-Cutting Themes</w:t>
            </w:r>
          </w:p>
        </w:tc>
      </w:tr>
      <w:tr>
        <w:tc>
          <w:tcPr>
            <w:tcW w:type="dxa" w:w="1560"/>
          </w:tcPr>
          <w:p>
            <w:r/>
            <w:r>
              <w:rPr>
                <w:rFonts w:ascii="Inter" w:hAnsi="Inter" w:cs="Inter"/>
                <w:b w:val="0"/>
                <w:i w:val="0"/>
                <w:color w:val="2D2D2D"/>
                <w:sz w:val="19"/>
              </w:rPr>
              <w:t>*[Mandate provision and source]*</w:t>
            </w:r>
          </w:p>
        </w:tc>
        <w:tc>
          <w:tcPr>
            <w:tcW w:type="dxa" w:w="1560"/>
          </w:tcPr>
          <w:p>
            <w:r/>
            <w:r>
              <w:rPr>
                <w:rFonts w:ascii="Inter" w:hAnsi="Inter" w:cs="Inter"/>
                <w:b w:val="0"/>
                <w:i w:val="0"/>
                <w:color w:val="2D2D2D"/>
                <w:sz w:val="19"/>
              </w:rPr>
              <w:t>*[Goal code and name]*</w:t>
            </w:r>
          </w:p>
        </w:tc>
        <w:tc>
          <w:tcPr>
            <w:tcW w:type="dxa" w:w="1560"/>
          </w:tcPr>
          <w:p>
            <w:r/>
            <w:r>
              <w:rPr>
                <w:rFonts w:ascii="Inter" w:hAnsi="Inter" w:cs="Inter"/>
                <w:b w:val="0"/>
                <w:i w:val="0"/>
                <w:color w:val="2D2D2D"/>
                <w:sz w:val="19"/>
              </w:rPr>
              <w:t>*[Strategy code and description]*</w:t>
            </w:r>
          </w:p>
        </w:tc>
        <w:tc>
          <w:tcPr>
            <w:tcW w:type="dxa" w:w="1560"/>
          </w:tcPr>
          <w:p>
            <w:r/>
            <w:r>
              <w:rPr>
                <w:rFonts w:ascii="Inter" w:hAnsi="Inter" w:cs="Inter"/>
                <w:b w:val="0"/>
                <w:i w:val="0"/>
                <w:color w:val="2D2D2D"/>
                <w:sz w:val="19"/>
              </w:rPr>
              <w:t>*[Specific contribution statement]*</w:t>
            </w:r>
          </w:p>
        </w:tc>
        <w:tc>
          <w:tcPr>
            <w:tcW w:type="dxa" w:w="1560"/>
          </w:tcPr>
          <w:p>
            <w:r/>
            <w:r>
              <w:rPr>
                <w:rFonts w:ascii="Inter" w:hAnsi="Inter" w:cs="Inter"/>
                <w:b w:val="0"/>
                <w:i w:val="0"/>
                <w:color w:val="2D2D2D"/>
                <w:sz w:val="19"/>
              </w:rPr>
              <w:t>*Primary / Contributory*</w:t>
            </w:r>
          </w:p>
        </w:tc>
        <w:tc>
          <w:tcPr>
            <w:tcW w:type="dxa" w:w="1560"/>
          </w:tcPr>
          <w:p>
            <w:r/>
            <w:r>
              <w:rPr>
                <w:rFonts w:ascii="Inter" w:hAnsi="Inter" w:cs="Inter"/>
                <w:b w:val="0"/>
                <w:i w:val="0"/>
                <w:color w:val="2D2D2D"/>
                <w:sz w:val="19"/>
              </w:rPr>
              <w:t>*[Applicable themes]*</w:t>
            </w:r>
          </w:p>
        </w:tc>
      </w:tr>
      <w:tr>
        <w:tc>
          <w:tcPr>
            <w:tcW w:type="dxa" w:w="1560"/>
            <w:shd w:fill="F0F3F6"/>
          </w:tcPr>
          <w:p>
            <w:r/>
            <w:r>
              <w:rPr>
                <w:rFonts w:ascii="Inter" w:hAnsi="Inter" w:cs="Inter"/>
                <w:b w:val="0"/>
                <w:i w:val="0"/>
                <w:color w:val="2D2D2D"/>
                <w:sz w:val="19"/>
              </w:rPr>
              <w:t>*[Mandate provision and source]*</w:t>
            </w:r>
          </w:p>
        </w:tc>
        <w:tc>
          <w:tcPr>
            <w:tcW w:type="dxa" w:w="1560"/>
            <w:shd w:fill="F0F3F6"/>
          </w:tcPr>
          <w:p>
            <w:r/>
            <w:r>
              <w:rPr>
                <w:rFonts w:ascii="Inter" w:hAnsi="Inter" w:cs="Inter"/>
                <w:b w:val="0"/>
                <w:i w:val="0"/>
                <w:color w:val="2D2D2D"/>
                <w:sz w:val="19"/>
              </w:rPr>
              <w:t>*[Goal code and name]*</w:t>
            </w:r>
          </w:p>
        </w:tc>
        <w:tc>
          <w:tcPr>
            <w:tcW w:type="dxa" w:w="1560"/>
            <w:shd w:fill="F0F3F6"/>
          </w:tcPr>
          <w:p>
            <w:r/>
            <w:r>
              <w:rPr>
                <w:rFonts w:ascii="Inter" w:hAnsi="Inter" w:cs="Inter"/>
                <w:b w:val="0"/>
                <w:i w:val="0"/>
                <w:color w:val="2D2D2D"/>
                <w:sz w:val="19"/>
              </w:rPr>
              <w:t>*[Strategy code and description]*</w:t>
            </w:r>
          </w:p>
        </w:tc>
        <w:tc>
          <w:tcPr>
            <w:tcW w:type="dxa" w:w="1560"/>
            <w:shd w:fill="F0F3F6"/>
          </w:tcPr>
          <w:p>
            <w:r/>
            <w:r>
              <w:rPr>
                <w:rFonts w:ascii="Inter" w:hAnsi="Inter" w:cs="Inter"/>
                <w:b w:val="0"/>
                <w:i w:val="0"/>
                <w:color w:val="2D2D2D"/>
                <w:sz w:val="19"/>
              </w:rPr>
              <w:t>*[Specific contribution statement]*</w:t>
            </w:r>
          </w:p>
        </w:tc>
        <w:tc>
          <w:tcPr>
            <w:tcW w:type="dxa" w:w="1560"/>
            <w:shd w:fill="F0F3F6"/>
          </w:tcPr>
          <w:p>
            <w:r/>
            <w:r>
              <w:rPr>
                <w:rFonts w:ascii="Inter" w:hAnsi="Inter" w:cs="Inter"/>
                <w:b w:val="0"/>
                <w:i w:val="0"/>
                <w:color w:val="2D2D2D"/>
                <w:sz w:val="19"/>
              </w:rPr>
              <w:t>*Primary / Contributory*</w:t>
            </w:r>
          </w:p>
        </w:tc>
        <w:tc>
          <w:tcPr>
            <w:tcW w:type="dxa" w:w="1560"/>
            <w:shd w:fill="F0F3F6"/>
          </w:tcPr>
          <w:p>
            <w:r/>
            <w:r>
              <w:rPr>
                <w:rFonts w:ascii="Inter" w:hAnsi="Inter" w:cs="Inter"/>
                <w:b w:val="0"/>
                <w:i w:val="0"/>
                <w:color w:val="2D2D2D"/>
                <w:sz w:val="19"/>
              </w:rPr>
              <w:t>*[Applicable themes]*</w:t>
            </w:r>
          </w:p>
        </w:tc>
      </w:tr>
      <w:tr>
        <w:tc>
          <w:tcPr>
            <w:tcW w:type="dxa" w:w="1560"/>
          </w:tcPr>
          <w:p>
            <w:r/>
            <w:r>
              <w:rPr>
                <w:rFonts w:ascii="Inter" w:hAnsi="Inter" w:cs="Inter"/>
                <w:b w:val="0"/>
                <w:i w:val="0"/>
                <w:color w:val="2D2D2D"/>
                <w:sz w:val="19"/>
              </w:rPr>
              <w:t>*[Mandate provision and source]*</w:t>
            </w:r>
          </w:p>
        </w:tc>
        <w:tc>
          <w:tcPr>
            <w:tcW w:type="dxa" w:w="1560"/>
          </w:tcPr>
          <w:p>
            <w:r/>
            <w:r>
              <w:rPr>
                <w:rFonts w:ascii="Inter" w:hAnsi="Inter" w:cs="Inter"/>
                <w:b w:val="0"/>
                <w:i w:val="0"/>
                <w:color w:val="2D2D2D"/>
                <w:sz w:val="19"/>
              </w:rPr>
              <w:t>*[Goal code and name]*</w:t>
            </w:r>
          </w:p>
        </w:tc>
        <w:tc>
          <w:tcPr>
            <w:tcW w:type="dxa" w:w="1560"/>
          </w:tcPr>
          <w:p>
            <w:r/>
            <w:r>
              <w:rPr>
                <w:rFonts w:ascii="Inter" w:hAnsi="Inter" w:cs="Inter"/>
                <w:b w:val="0"/>
                <w:i w:val="0"/>
                <w:color w:val="2D2D2D"/>
                <w:sz w:val="19"/>
              </w:rPr>
              <w:t>*[Strategy code and description]*</w:t>
            </w:r>
          </w:p>
        </w:tc>
        <w:tc>
          <w:tcPr>
            <w:tcW w:type="dxa" w:w="1560"/>
          </w:tcPr>
          <w:p>
            <w:r/>
            <w:r>
              <w:rPr>
                <w:rFonts w:ascii="Inter" w:hAnsi="Inter" w:cs="Inter"/>
                <w:b w:val="0"/>
                <w:i w:val="0"/>
                <w:color w:val="2D2D2D"/>
                <w:sz w:val="19"/>
              </w:rPr>
              <w:t>*[Specific contribution statement]*</w:t>
            </w:r>
          </w:p>
        </w:tc>
        <w:tc>
          <w:tcPr>
            <w:tcW w:type="dxa" w:w="1560"/>
          </w:tcPr>
          <w:p>
            <w:r/>
            <w:r>
              <w:rPr>
                <w:rFonts w:ascii="Inter" w:hAnsi="Inter" w:cs="Inter"/>
                <w:b w:val="0"/>
                <w:i w:val="0"/>
                <w:color w:val="2D2D2D"/>
                <w:sz w:val="19"/>
              </w:rPr>
              <w:t>*Primary / Contributory*</w:t>
            </w:r>
          </w:p>
        </w:tc>
        <w:tc>
          <w:tcPr>
            <w:tcW w:type="dxa" w:w="1560"/>
          </w:tcPr>
          <w:p>
            <w:r/>
            <w:r>
              <w:rPr>
                <w:rFonts w:ascii="Inter" w:hAnsi="Inter" w:cs="Inter"/>
                <w:b w:val="0"/>
                <w:i w:val="0"/>
                <w:color w:val="2D2D2D"/>
                <w:sz w:val="19"/>
              </w:rPr>
              <w:t>*[Applicable themes]*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Instructions for completing the template: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Legal Mandate</w:t>
      </w:r>
      <w:r>
        <w:rPr>
          <w:rFonts w:ascii="Inter" w:hAnsi="Inter" w:cs="Inter"/>
          <w:b w:val="0"/>
          <w:i w:val="0"/>
          <w:color w:val="2D2D2D"/>
          <w:sz w:val="22"/>
        </w:rPr>
        <w:t xml:space="preserve"> --- Copy the mandate description and legal citation from your Chapter 2 Legal Mandate Matrix. Use the same level of detail.</w:t>
      </w:r>
    </w:p>
    <w:p>
      <w:pPr>
        <w:pStyle w:val="ListNumber"/>
      </w:pPr>
      <w:r>
        <w:rPr>
          <w:rFonts w:ascii="Inter" w:hAnsi="Inter" w:cs="Inter"/>
          <w:b w:val="0"/>
          <w:i w:val="0"/>
          <w:color w:val="2D2D2D"/>
          <w:sz w:val="22"/>
        </w:rPr>
      </w:r>
      <w:r>
        <w:rPr>
          <w:rFonts w:ascii="Inter" w:hAnsi="Inter" w:cs="Inter"/>
          <w:b/>
          <w:i w:val="0"/>
          <w:color w:val="2D2D2D"/>
          <w:sz w:val="22"/>
        </w:rPr>
        <w:t>BDP Goal</w:t>
      </w:r>
      <w:r>
        <w:rPr>
          <w:rFonts w:ascii="Inter" w:hAnsi="Inter" w:cs="Inter"/>
          <w:b w:val="0"/>
          <w:i w:val="0"/>
          <w:color w:val="2D2D2D"/>
          <w:sz w:val="22"/>
        </w:rPr>
        <w:t xml:space="preserve"> --- Enter the goal code (G1 through G6) and the full goal name from the BDP 2023-2028.</w:t>
      </w:r>
    </w:p>
    <w:p>
      <w:pPr>
        <w:pStyle w:val="ListNumber"/>
      </w:pPr>
      <w:r>
        <w:rPr>
          <w:rFonts w:ascii="Inter" w:hAnsi="Inter" w:cs="Inter"/>
          <w:b w:val="0"/>
          <w:i w:val="0"/>
          <w:color w:val="2D2D2D"/>
          <w:sz w:val="22"/>
        </w:rPr>
      </w:r>
      <w:r>
        <w:rPr>
          <w:rFonts w:ascii="Inter" w:hAnsi="Inter" w:cs="Inter"/>
          <w:b/>
          <w:i w:val="0"/>
          <w:color w:val="2D2D2D"/>
          <w:sz w:val="22"/>
        </w:rPr>
        <w:t>BDP Strategy</w:t>
      </w:r>
      <w:r>
        <w:rPr>
          <w:rFonts w:ascii="Inter" w:hAnsi="Inter" w:cs="Inter"/>
          <w:b w:val="0"/>
          <w:i w:val="0"/>
          <w:color w:val="2D2D2D"/>
          <w:sz w:val="22"/>
        </w:rPr>
        <w:t xml:space="preserve"> --- Enter the strategy code (S1 through S8) and a brief description. Some mandates may map to more than one strategy; list all applicable strategies.</w:t>
      </w:r>
    </w:p>
    <w:p>
      <w:pPr>
        <w:pStyle w:val="ListNumber"/>
      </w:pPr>
      <w:r>
        <w:rPr>
          <w:rFonts w:ascii="Inter" w:hAnsi="Inter" w:cs="Inter"/>
          <w:b w:val="0"/>
          <w:i w:val="0"/>
          <w:color w:val="2D2D2D"/>
          <w:sz w:val="22"/>
        </w:rPr>
      </w:r>
      <w:r>
        <w:rPr>
          <w:rFonts w:ascii="Inter" w:hAnsi="Inter" w:cs="Inter"/>
          <w:b/>
          <w:i w:val="0"/>
          <w:color w:val="2D2D2D"/>
          <w:sz w:val="22"/>
        </w:rPr>
        <w:t>Contribution Statement</w:t>
      </w:r>
      <w:r>
        <w:rPr>
          <w:rFonts w:ascii="Inter" w:hAnsi="Inter" w:cs="Inter"/>
          <w:b w:val="0"/>
          <w:i w:val="0"/>
          <w:color w:val="2D2D2D"/>
          <w:sz w:val="22"/>
        </w:rPr>
        <w:t xml:space="preserve"> --- Write a specific statement following the format: "Through [mandate], [MOA] contributes to BDP Goal [X] by [mechanism]."</w:t>
      </w:r>
    </w:p>
    <w:p>
      <w:pPr>
        <w:pStyle w:val="ListNumber"/>
      </w:pPr>
      <w:r>
        <w:rPr>
          <w:rFonts w:ascii="Inter" w:hAnsi="Inter" w:cs="Inter"/>
          <w:b w:val="0"/>
          <w:i w:val="0"/>
          <w:color w:val="2D2D2D"/>
          <w:sz w:val="22"/>
        </w:rPr>
      </w:r>
      <w:r>
        <w:rPr>
          <w:rFonts w:ascii="Inter" w:hAnsi="Inter" w:cs="Inter"/>
          <w:b/>
          <w:i w:val="0"/>
          <w:color w:val="2D2D2D"/>
          <w:sz w:val="22"/>
        </w:rPr>
        <w:t>Alignment Type</w:t>
      </w:r>
      <w:r>
        <w:rPr>
          <w:rFonts w:ascii="Inter" w:hAnsi="Inter" w:cs="Inter"/>
          <w:b w:val="0"/>
          <w:i w:val="0"/>
          <w:color w:val="2D2D2D"/>
          <w:sz w:val="22"/>
        </w:rPr>
        <w:t xml:space="preserve"> --- Mark as "Primary" if this is your MOA's core contribution to this goal, or "Contributory" if it is a secondary or indirect contribution.</w:t>
      </w:r>
    </w:p>
    <w:p>
      <w:pPr>
        <w:pStyle w:val="ListNumber"/>
      </w:pPr>
      <w:r>
        <w:rPr>
          <w:rFonts w:ascii="Inter" w:hAnsi="Inter" w:cs="Inter"/>
          <w:b w:val="0"/>
          <w:i w:val="0"/>
          <w:color w:val="2D2D2D"/>
          <w:sz w:val="22"/>
        </w:rPr>
      </w:r>
      <w:r>
        <w:rPr>
          <w:rFonts w:ascii="Inter" w:hAnsi="Inter" w:cs="Inter"/>
          <w:b/>
          <w:i w:val="0"/>
          <w:color w:val="2D2D2D"/>
          <w:sz w:val="22"/>
        </w:rPr>
        <w:t>Cross-Cutting Themes</w:t>
      </w:r>
      <w:r>
        <w:rPr>
          <w:rFonts w:ascii="Inter" w:hAnsi="Inter" w:cs="Inter"/>
          <w:b w:val="0"/>
          <w:i w:val="0"/>
          <w:color w:val="2D2D2D"/>
          <w:sz w:val="22"/>
        </w:rPr>
        <w:t xml:space="preserve"> --- List the themes that apply: Moral Governance, Peace and Security, Gender and Inclusivity, Environmental Sustainability, Technology and Innovation.</w:t>
      </w:r>
    </w:p>
    <w:p>
      <w:pPr>
        <w:pStyle w:val="Heading2"/>
      </w:pPr>
      <w:r>
        <w:rPr>
          <w:rFonts w:ascii="Inter" w:hAnsi="Inter" w:cs="Inter"/>
          <w:b/>
          <w:i w:val="0"/>
          <w:color w:val="1B365D"/>
          <w:sz w:val="32"/>
        </w:rPr>
        <w:t>3.8 Quality Checklist</w:t>
      </w:r>
    </w:p>
    <w:p>
      <w:pPr>
        <w:spacing w:after="120" w:line="276" w:lineRule="auto"/>
      </w:pPr>
      <w:r>
        <w:rPr>
          <w:rFonts w:ascii="Inter" w:hAnsi="Inter" w:cs="Inter"/>
          <w:b w:val="0"/>
          <w:i w:val="0"/>
          <w:color w:val="2D2D2D"/>
          <w:sz w:val="22"/>
        </w:rPr>
        <w:t>Before submitting your BDP Alignment Map, verify each item:</w:t>
      </w:r>
    </w:p>
    <w:p>
      <w:pPr>
        <w:pStyle w:val="ListBullet"/>
      </w:pPr>
      <w:r>
        <w:rPr>
          <w:rFonts w:ascii="Inter" w:hAnsi="Inter" w:cs="Inter"/>
          <w:b w:val="0"/>
          <w:i w:val="0"/>
          <w:color w:val="2D2D2D"/>
          <w:sz w:val="22"/>
        </w:rPr>
        <w:t>[ ] All legal mandates from the Legal Mandate Matrix (Chapter 2) have been reviewed for BDP alignment</w:t>
      </w:r>
    </w:p>
    <w:p>
      <w:pPr>
        <w:pStyle w:val="ListBullet"/>
      </w:pPr>
      <w:r>
        <w:rPr>
          <w:rFonts w:ascii="Inter" w:hAnsi="Inter" w:cs="Inter"/>
          <w:b w:val="0"/>
          <w:i w:val="0"/>
          <w:color w:val="2D2D2D"/>
          <w:sz w:val="22"/>
        </w:rPr>
        <w:t>[ ] Primary BDP goal(s) identified with specific contribution statements</w:t>
      </w:r>
    </w:p>
    <w:p>
      <w:pPr>
        <w:pStyle w:val="ListBullet"/>
      </w:pPr>
      <w:r>
        <w:rPr>
          <w:rFonts w:ascii="Inter" w:hAnsi="Inter" w:cs="Inter"/>
          <w:b w:val="0"/>
          <w:i w:val="0"/>
          <w:color w:val="2D2D2D"/>
          <w:sz w:val="22"/>
        </w:rPr>
        <w:t>[ ] Contributory goals identified where applicable, with mechanism-clear contribution statements</w:t>
      </w:r>
    </w:p>
    <w:p>
      <w:pPr>
        <w:pStyle w:val="ListBullet"/>
      </w:pPr>
      <w:r>
        <w:rPr>
          <w:rFonts w:ascii="Inter" w:hAnsi="Inter" w:cs="Inter"/>
          <w:b w:val="0"/>
          <w:i w:val="0"/>
          <w:color w:val="2D2D2D"/>
          <w:sz w:val="22"/>
        </w:rPr>
        <w:t>[ ] BDP strategies (S1-S8) mapped for each aligned goal</w:t>
      </w:r>
    </w:p>
    <w:p>
      <w:pPr>
        <w:pStyle w:val="ListBullet"/>
      </w:pPr>
      <w:r>
        <w:rPr>
          <w:rFonts w:ascii="Inter" w:hAnsi="Inter" w:cs="Inter"/>
          <w:b w:val="0"/>
          <w:i w:val="0"/>
          <w:color w:val="2D2D2D"/>
          <w:sz w:val="22"/>
        </w:rPr>
        <w:t>[ ] Cross-cutting themes addressed --- Moral Governance, peace, gender, environment, technology</w:t>
      </w:r>
    </w:p>
    <w:p>
      <w:pPr>
        <w:pStyle w:val="ListBullet"/>
      </w:pPr>
      <w:r>
        <w:rPr>
          <w:rFonts w:ascii="Inter" w:hAnsi="Inter" w:cs="Inter"/>
          <w:b w:val="0"/>
          <w:i w:val="0"/>
          <w:color w:val="2D2D2D"/>
          <w:sz w:val="22"/>
        </w:rPr>
        <w:t>[ ] No false or forced alignments --- every claimed contribution is honest and defensible</w:t>
      </w:r>
    </w:p>
    <w:p>
      <w:pPr>
        <w:pStyle w:val="ListBullet"/>
      </w:pPr>
      <w:r>
        <w:rPr>
          <w:rFonts w:ascii="Inter" w:hAnsi="Inter" w:cs="Inter"/>
          <w:b w:val="0"/>
          <w:i w:val="0"/>
          <w:color w:val="2D2D2D"/>
          <w:sz w:val="22"/>
        </w:rPr>
        <w:t>[ ] Current BDP (2nd BDP 2023-2028) used, not the previous plan</w:t>
      </w:r>
    </w:p>
    <w:p>
      <w:pPr>
        <w:pStyle w:val="ListBullet"/>
      </w:pPr>
      <w:r>
        <w:rPr>
          <w:rFonts w:ascii="Inter" w:hAnsi="Inter" w:cs="Inter"/>
          <w:b w:val="0"/>
          <w:i w:val="0"/>
          <w:color w:val="2D2D2D"/>
          <w:sz w:val="22"/>
        </w:rPr>
        <w:t>[ ] Contribution statements are specific to this MOA --- not interchangeable with another MOA</w:t>
      </w:r>
    </w:p>
    <w:p>
      <w:pPr>
        <w:pStyle w:val="ListBullet"/>
      </w:pPr>
      <w:r>
        <w:rPr>
          <w:rFonts w:ascii="Inter" w:hAnsi="Inter" w:cs="Inter"/>
          <w:b w:val="0"/>
          <w:i w:val="0"/>
          <w:color w:val="2D2D2D"/>
          <w:sz w:val="22"/>
        </w:rPr>
        <w:t>[ ] Primary alignment is consistent with planned budget allocation and program design</w:t>
      </w:r>
    </w:p>
    <w:p>
      <w:pPr>
        <w:pStyle w:val="ListBullet"/>
      </w:pPr>
      <w:r>
        <w:rPr>
          <w:rFonts w:ascii="Inter" w:hAnsi="Inter" w:cs="Inter"/>
          <w:b w:val="0"/>
          <w:i w:val="0"/>
          <w:color w:val="2D2D2D"/>
          <w:sz w:val="22"/>
        </w:rPr>
        <w:t>[ ] At least one contribution statement references the specific BAA or legal provision from Chapter 2</w:t>
      </w:r>
    </w:p>
    <w:p>
      <w:pPr>
        <w:spacing w:after="120" w:line="276" w:lineRule="auto"/>
      </w:pPr>
      <w:r>
        <w:rPr>
          <w:rFonts w:ascii="Inter" w:hAnsi="Inter" w:cs="Inter"/>
          <w:b w:val="0"/>
          <w:i w:val="0"/>
          <w:color w:val="2D2D2D"/>
          <w:sz w:val="22"/>
        </w:rPr>
        <w:t>[^1]: 2nd Bangsamoro Development Plan 2023-2028, Chapter 4: Bangsamoro Development Framework 2023-2028.</w:t>
      </w:r>
    </w:p>
    <w:p>
      <w:pPr>
        <w:spacing w:after="120" w:line="276" w:lineRule="auto"/>
      </w:pPr>
      <w:r>
        <w:rPr>
          <w:rFonts w:ascii="Inter" w:hAnsi="Inter" w:cs="Inter"/>
          <w:b w:val="0"/>
          <w:i w:val="0"/>
          <w:color w:val="2D2D2D"/>
          <w:sz w:val="22"/>
        </w:rPr>
        <w:t>[^2]: 2nd Bangsamoro Development Plan 2023-2028, Chapter 4 (Development Goals, Goal 1). See also Chapter 5: Governance and Institutional Development.</w:t>
      </w:r>
    </w:p>
    <w:p>
      <w:pPr>
        <w:spacing w:after="120" w:line="276" w:lineRule="auto"/>
      </w:pPr>
      <w:r>
        <w:rPr>
          <w:rFonts w:ascii="Inter" w:hAnsi="Inter" w:cs="Inter"/>
          <w:b w:val="0"/>
          <w:i w:val="0"/>
          <w:color w:val="2D2D2D"/>
          <w:sz w:val="22"/>
        </w:rPr>
        <w:t>[^3]: 2nd Bangsamoro Development Plan 2023-2028, Chapter 4 (Development Goals, Goal 2). See also Chapter 7: Economic Development.</w:t>
      </w:r>
    </w:p>
    <w:p>
      <w:pPr>
        <w:spacing w:after="120" w:line="276" w:lineRule="auto"/>
      </w:pPr>
      <w:r>
        <w:rPr>
          <w:rFonts w:ascii="Inter" w:hAnsi="Inter" w:cs="Inter"/>
          <w:b w:val="0"/>
          <w:i w:val="0"/>
          <w:color w:val="2D2D2D"/>
          <w:sz w:val="22"/>
        </w:rPr>
        <w:t>[^4]: 2nd Bangsamoro Development Plan 2023-2028, Chapter 4 (Development Goals, Goal 3). See also Chapter 10: Peace and Security.</w:t>
      </w:r>
    </w:p>
    <w:p>
      <w:pPr>
        <w:spacing w:after="120" w:line="276" w:lineRule="auto"/>
      </w:pPr>
      <w:r>
        <w:rPr>
          <w:rFonts w:ascii="Inter" w:hAnsi="Inter" w:cs="Inter"/>
          <w:b w:val="0"/>
          <w:i w:val="0"/>
          <w:color w:val="2D2D2D"/>
          <w:sz w:val="22"/>
        </w:rPr>
        <w:t>[^5]: 2nd Bangsamoro Development Plan 2023-2028, Chapter 4 (Development Goals, Goal 4). See also Chapter 9: Social Services.</w:t>
      </w:r>
    </w:p>
    <w:p>
      <w:pPr>
        <w:spacing w:after="120" w:line="276" w:lineRule="auto"/>
      </w:pPr>
      <w:r>
        <w:rPr>
          <w:rFonts w:ascii="Inter" w:hAnsi="Inter" w:cs="Inter"/>
          <w:b w:val="0"/>
          <w:i w:val="0"/>
          <w:color w:val="2D2D2D"/>
          <w:sz w:val="22"/>
        </w:rPr>
        <w:t>[^6]: 2nd Bangsamoro Development Plan 2023-2028, Chapter 4 (Development Goals, Goal 5); Republic Act No. 11054, Article IX, Section 24.</w:t>
      </w:r>
    </w:p>
    <w:p>
      <w:pPr>
        <w:spacing w:after="120" w:line="276" w:lineRule="auto"/>
      </w:pPr>
      <w:r>
        <w:rPr>
          <w:rFonts w:ascii="Inter" w:hAnsi="Inter" w:cs="Inter"/>
          <w:b w:val="0"/>
          <w:i w:val="0"/>
          <w:color w:val="2D2D2D"/>
          <w:sz w:val="22"/>
        </w:rPr>
        <w:t>[^7]: 2nd Bangsamoro Development Plan 2023-2028, Chapter 4 (Development Goals, Goal 6). See also Chapter 11: Infrastructure Development.</w:t>
      </w:r>
    </w:p>
    <w:p>
      <w:pPr>
        <w:spacing w:after="120" w:line="276" w:lineRule="auto"/>
      </w:pPr>
      <w:r>
        <w:rPr>
          <w:rFonts w:ascii="Inter" w:hAnsi="Inter" w:cs="Inter"/>
          <w:b w:val="0"/>
          <w:i w:val="0"/>
          <w:color w:val="2D2D2D"/>
          <w:sz w:val="22"/>
        </w:rPr>
        <w:t>[^8]: 2nd Bangsamoro Development Plan 2023-2028, Chapter 4 (Development Strategies).</w:t>
      </w:r>
    </w:p>
    <w:p>
      <w:pPr>
        <w:spacing w:after="120" w:line="276" w:lineRule="auto"/>
      </w:pPr>
      <w:r>
        <w:rPr>
          <w:rFonts w:ascii="Inter" w:hAnsi="Inter" w:cs="Inter"/>
          <w:b w:val="0"/>
          <w:i w:val="0"/>
          <w:color w:val="2D2D2D"/>
          <w:sz w:val="22"/>
        </w:rPr>
        <w:t>[^9]: 2nd Bangsamoro Development Plan 2023-2028, Chapter 4, Section on Horizontal Alignment. The BDP aligns with the Enhanced 12-Point Priority Agenda of BARMM, the Bangsamoro Development Investment Program (BDIP), and the Annual Investment Program (AIP).</w:t>
      </w:r>
    </w:p>
    <w:p>
      <w:pPr>
        <w:spacing w:after="120" w:line="276" w:lineRule="auto"/>
      </w:pPr>
      <w:r>
        <w:rPr>
          <w:rFonts w:ascii="Inter" w:hAnsi="Inter" w:cs="Inter"/>
          <w:b w:val="0"/>
          <w:i w:val="0"/>
          <w:color w:val="2D2D2D"/>
          <w:sz w:val="22"/>
        </w:rPr>
        <w:t>[^10]: 2nd Bangsamoro Development Plan 2023-2028, Chapter 4 (Pillars of Moral Governance). The 12 Pillars are: Integrity, Accountability, Transparency and Honesty, Sense of Patriotism, Striving for Excellence, Cultural Understanding and Tolerance, Unwavering Loyalty to God, Justice, Inclusivity, Objectivity, Dialogue and Meaningful Engagement, and Balance between Practical Life and the Moral Side.</w:t>
      </w:r>
    </w:p>
    <w:p>
      <w:pPr>
        <w:spacing w:after="120" w:line="276" w:lineRule="auto"/>
      </w:pPr>
      <w:r>
        <w:rPr>
          <w:rFonts w:ascii="Inter" w:hAnsi="Inter" w:cs="Inter"/>
          <w:b w:val="0"/>
          <w:i w:val="0"/>
          <w:color w:val="2D2D2D"/>
          <w:sz w:val="22"/>
        </w:rPr>
        <w:t>[^11]: 2nd Bangsamoro Development Plan 2023-2028, Chapter 4 (Development Goals, Goal 2).</w:t>
      </w:r>
    </w:p>
    <w:p>
      <w:pPr>
        <w:spacing w:after="120" w:line="276" w:lineRule="auto"/>
      </w:pPr>
      <w:r>
        <w:rPr>
          <w:rFonts w:ascii="Inter" w:hAnsi="Inter" w:cs="Inter"/>
          <w:b w:val="0"/>
          <w:i w:val="0"/>
          <w:color w:val="2D2D2D"/>
          <w:sz w:val="22"/>
        </w:rPr>
        <w:t>[^12]: Republic Act No. 11054, Article VI, Section 12.</w:t>
      </w:r>
    </w:p>
    <w:p>
      <w:pPr>
        <w:spacing w:after="120" w:line="276" w:lineRule="auto"/>
      </w:pPr>
      <w:r>
        <w:rPr>
          <w:rFonts w:ascii="Inter" w:hAnsi="Inter" w:cs="Inter"/>
          <w:b w:val="0"/>
          <w:i w:val="0"/>
          <w:color w:val="2D2D2D"/>
          <w:sz w:val="22"/>
        </w:rPr>
        <w:t>[^13]: Derived from BOL Article VI, Section 12 and BAA No. 13, Book IV (Office of the Chief Minister). OOBC's specific functions are operationalized through its organizational structure under the OCM.</w:t>
      </w:r>
    </w:p>
    <w:p>
      <w:pPr>
        <w:spacing w:after="120" w:line="276" w:lineRule="auto"/>
      </w:pPr>
      <w:r>
        <w:rPr>
          <w:rFonts w:ascii="Inter" w:hAnsi="Inter" w:cs="Inter"/>
          <w:b w:val="0"/>
          <w:i w:val="0"/>
          <w:color w:val="2D2D2D"/>
          <w:sz w:val="22"/>
        </w:rPr>
        <w:t>[^14]: 2nd Bangsamoro Development Plan 2023-2028, Chapter 4 (Development Strategies). Strategy S1 is mapped to Goal 1 in the BDP's vertical alignment table.</w:t>
      </w:r>
    </w:p>
    <w:p>
      <w:pPr>
        <w:pageBreakBefore/>
      </w:pPr>
    </w:p>
    <w:p>
      <w:pPr>
        <w:pStyle w:val="Heading1"/>
      </w:pPr>
      <w:r>
        <w:rPr>
          <w:rFonts w:ascii="Inter" w:hAnsi="Inter" w:cs="Inter"/>
          <w:b/>
          <w:i w:val="0"/>
          <w:color w:val="1B365D"/>
          <w:sz w:val="44"/>
        </w:rPr>
        <w:t>Chapter 4: Mapping to the Priority Agenda</w:t>
      </w:r>
    </w:p>
    <w:p>
      <w:pPr>
        <w:spacing w:after="120" w:line="276" w:lineRule="auto"/>
      </w:pPr>
      <w:r>
        <w:rPr>
          <w:rFonts w:ascii="Inter" w:hAnsi="Inter" w:cs="Inter"/>
          <w:b w:val="0"/>
          <w:i w:val="0"/>
          <w:color w:val="2D2D2D"/>
          <w:sz w:val="22"/>
        </w:rPr>
        <w:t>Chapters 2 and 3 established your MOA's legal authority and connected that authority to the Bangsamoro Development Plan's six goals. Both of those exercises are grounded in long-term frameworks --- laws that persist across administrations, and a six-year development plan that outlasts any single Chief Minister's term. This chapter works differently.</w:t>
      </w:r>
    </w:p>
    <w:p>
      <w:pPr>
        <w:spacing w:after="120" w:line="276" w:lineRule="auto"/>
      </w:pPr>
      <w:r>
        <w:rPr>
          <w:rFonts w:ascii="Inter" w:hAnsi="Inter" w:cs="Inter"/>
          <w:b w:val="0"/>
          <w:i w:val="0"/>
          <w:color w:val="2D2D2D"/>
          <w:sz w:val="22"/>
        </w:rPr>
        <w:t>The Chief Minister's 12-Point Enhanced Priority Agenda is the current administration's political commitment. It is not a law and not a multi-decade development framework. It is a declaration of what this administration intends to accomplish during its term. That distinction matters: BDP alignment asks how your MOA contributes to the region's long-term development trajectory. Priority Agenda alignment asks how your MOA contributes to *what this administration is trying to do right now*.</w:t>
      </w:r>
    </w:p>
    <w:p>
      <w:pPr>
        <w:spacing w:after="120" w:line="276" w:lineRule="auto"/>
      </w:pPr>
      <w:r>
        <w:rPr>
          <w:rFonts w:ascii="Inter" w:hAnsi="Inter" w:cs="Inter"/>
          <w:b w:val="0"/>
          <w:i w:val="0"/>
          <w:color w:val="2D2D2D"/>
          <w:sz w:val="22"/>
        </w:rPr>
        <w:t>These are related but different questions. A ministry that provides primary healthcare contributes to BDP Goal 4 (inclusive, responsive, and quality social services) under any administration. But whether it contributes to the current administration's Priority Agenda depends on which priorities the Chief Minister has elevated, whether social services is among them, and whether the ministry's specific programs serve the agenda's stated focus areas.</w:t>
      </w:r>
    </w:p>
    <w:p>
      <w:pPr>
        <w:spacing w:after="120" w:line="276" w:lineRule="auto"/>
      </w:pPr>
      <w:r>
        <w:rPr>
          <w:rFonts w:ascii="Inter" w:hAnsi="Inter" w:cs="Inter"/>
          <w:b w:val="0"/>
          <w:i w:val="0"/>
          <w:color w:val="2D2D2D"/>
          <w:sz w:val="22"/>
        </w:rPr>
        <w:t>Both alignments matter. BPDA reviewers expect BDP alignment because the BDP is the regional planning framework. Political leadership expects Priority Agenda alignment because the agenda is the administration's mandate to the region. A strategic plan that ignores the Priority Agenda signals that an MOA is operating independently of the administration's direction --- a signal that invites scrutiny.</w:t>
      </w:r>
    </w:p>
    <w:p>
      <w:pPr>
        <w:pStyle w:val="Heading2"/>
      </w:pPr>
      <w:r>
        <w:rPr>
          <w:rFonts w:ascii="Inter" w:hAnsi="Inter" w:cs="Inter"/>
          <w:b/>
          <w:i w:val="0"/>
          <w:color w:val="1B365D"/>
          <w:sz w:val="32"/>
        </w:rPr>
        <w:t>4.1 Purpose</w:t>
      </w:r>
    </w:p>
    <w:p>
      <w:pPr>
        <w:spacing w:after="120" w:line="276" w:lineRule="auto"/>
      </w:pPr>
      <w:r>
        <w:rPr>
          <w:rFonts w:ascii="Inter" w:hAnsi="Inter" w:cs="Inter"/>
          <w:b w:val="0"/>
          <w:i w:val="0"/>
          <w:color w:val="2D2D2D"/>
          <w:sz w:val="22"/>
        </w:rPr>
        <w:t>The purpose of Priority Agenda alignment is to make explicit how your MOA's planned work contributes to the Chief Minister's 12-Point Enhanced Priority Agenda.</w:t>
      </w:r>
    </w:p>
    <w:p>
      <w:pPr>
        <w:spacing w:after="120" w:line="276" w:lineRule="auto"/>
      </w:pPr>
      <w:r>
        <w:rPr>
          <w:rFonts w:ascii="Inter" w:hAnsi="Inter" w:cs="Inter"/>
          <w:b w:val="0"/>
          <w:i w:val="0"/>
          <w:color w:val="2D2D2D"/>
          <w:sz w:val="22"/>
        </w:rPr>
        <w:t>This is not about proving loyalty to the administration. It is about demonstrating that your MOA understands the political priorities it operates within and has designed its programs accordingly. When your strategic plan shows clear, specific contributions to the Priority Agenda, it does three things:</w:t>
      </w:r>
    </w:p>
    <w:p>
      <w:pPr>
        <w:pStyle w:val="ListNumber"/>
      </w:pPr>
      <w:r>
        <w:rPr>
          <w:rFonts w:ascii="Inter" w:hAnsi="Inter" w:cs="Inter"/>
          <w:b w:val="0"/>
          <w:i w:val="0"/>
          <w:color w:val="2D2D2D"/>
          <w:sz w:val="22"/>
        </w:rPr>
      </w:r>
      <w:r>
        <w:rPr>
          <w:rFonts w:ascii="Inter" w:hAnsi="Inter" w:cs="Inter"/>
          <w:b/>
          <w:i w:val="0"/>
          <w:color w:val="2D2D2D"/>
          <w:sz w:val="22"/>
        </w:rPr>
        <w:t>Policy coherence.</w:t>
      </w:r>
      <w:r>
        <w:rPr>
          <w:rFonts w:ascii="Inter" w:hAnsi="Inter" w:cs="Inter"/>
          <w:b w:val="0"/>
          <w:i w:val="0"/>
          <w:color w:val="2D2D2D"/>
          <w:sz w:val="22"/>
        </w:rPr>
        <w:t xml:space="preserve"> It demonstrates that your MOA's work is coordinated with government-wide direction rather than siloed. The Chief Minister's agenda is the integrating framework that should tie together the work of all ministries, offices, and agencies. When your plan maps to it, BPDA and the Chief Minister's office can see the collective pattern of implementation.</w:t>
      </w:r>
    </w:p>
    <w:p>
      <w:pPr>
        <w:pStyle w:val="ListNumber"/>
      </w:pPr>
      <w:r>
        <w:rPr>
          <w:rFonts w:ascii="Inter" w:hAnsi="Inter" w:cs="Inter"/>
          <w:b w:val="0"/>
          <w:i w:val="0"/>
          <w:color w:val="2D2D2D"/>
          <w:sz w:val="22"/>
        </w:rPr>
      </w:r>
      <w:r>
        <w:rPr>
          <w:rFonts w:ascii="Inter" w:hAnsi="Inter" w:cs="Inter"/>
          <w:b/>
          <w:i w:val="0"/>
          <w:color w:val="2D2D2D"/>
          <w:sz w:val="22"/>
        </w:rPr>
        <w:t>Budget credibility.</w:t>
      </w:r>
      <w:r>
        <w:rPr>
          <w:rFonts w:ascii="Inter" w:hAnsi="Inter" w:cs="Inter"/>
          <w:b w:val="0"/>
          <w:i w:val="0"/>
          <w:color w:val="2D2D2D"/>
          <w:sz w:val="22"/>
        </w:rPr>
        <w:t xml:space="preserve"> Budget proposals that can be directly connected to Priority Agenda items are easier to defend. When Parliament asks why your MOA is requesting funds for a particular program, "this implements Priority 4 (Economic Development and Job Creation) by..." is a more durable answer than a general development rationale.</w:t>
      </w:r>
    </w:p>
    <w:p>
      <w:pPr>
        <w:pStyle w:val="ListNumber"/>
      </w:pPr>
      <w:r>
        <w:rPr>
          <w:rFonts w:ascii="Inter" w:hAnsi="Inter" w:cs="Inter"/>
          <w:b w:val="0"/>
          <w:i w:val="0"/>
          <w:color w:val="2D2D2D"/>
          <w:sz w:val="22"/>
        </w:rPr>
      </w:r>
      <w:r>
        <w:rPr>
          <w:rFonts w:ascii="Inter" w:hAnsi="Inter" w:cs="Inter"/>
          <w:b/>
          <w:i w:val="0"/>
          <w:color w:val="2D2D2D"/>
          <w:sz w:val="22"/>
        </w:rPr>
        <w:t>Accountability for results.</w:t>
      </w:r>
      <w:r>
        <w:rPr>
          <w:rFonts w:ascii="Inter" w:hAnsi="Inter" w:cs="Inter"/>
          <w:b w:val="0"/>
          <w:i w:val="0"/>
          <w:color w:val="2D2D2D"/>
          <w:sz w:val="22"/>
        </w:rPr>
        <w:t xml:space="preserve"> Priority Agenda items carry political weight. If your MOA claims to contribute to a priority, you will be measured against it. Claiming alignment honestly --- and with appropriate specificity about what your MOA actually contributes --- sets realistic expectations that you can meet.</w:t>
      </w:r>
    </w:p>
    <w:p>
      <w:pPr>
        <w:spacing w:after="120" w:line="276" w:lineRule="auto"/>
      </w:pPr>
      <w:r>
        <w:rPr>
          <w:rFonts w:ascii="Inter" w:hAnsi="Inter" w:cs="Inter"/>
          <w:b w:val="0"/>
          <w:i w:val="0"/>
          <w:color w:val="2D2D2D"/>
          <w:sz w:val="22"/>
        </w:rPr>
        <w:t>Priority Agenda alignment differs from BDP alignment in one critical respect: the agenda will change. When a new administration takes office, or when the Chief Minister revises the agenda mid-term, your Priority Agenda alignment section must be updated. Your BDP alignment, by contrast, is stable for the duration of the plan period. This chapter accounts for that difference by building in a review and update process.</w:t>
      </w:r>
    </w:p>
    <w:p>
      <w:pPr>
        <w:pStyle w:val="Heading2"/>
      </w:pPr>
      <w:r>
        <w:rPr>
          <w:rFonts w:ascii="Inter" w:hAnsi="Inter" w:cs="Inter"/>
          <w:b/>
          <w:i w:val="0"/>
          <w:color w:val="1B365D"/>
          <w:sz w:val="32"/>
        </w:rPr>
        <w:t>4.2 Key Concepts</w:t>
      </w:r>
    </w:p>
    <w:p>
      <w:pPr>
        <w:pStyle w:val="Heading3"/>
      </w:pPr>
      <w:r>
        <w:rPr>
          <w:rFonts w:ascii="Inter" w:hAnsi="Inter" w:cs="Inter"/>
          <w:b/>
          <w:i w:val="0"/>
          <w:color w:val="2C5F7C"/>
          <w:sz w:val="26"/>
        </w:rPr>
        <w:t>The 12-Point Enhanced Priority Agenda</w:t>
      </w:r>
    </w:p>
    <w:p>
      <w:pPr>
        <w:spacing w:after="120" w:line="276" w:lineRule="auto"/>
      </w:pPr>
      <w:r>
        <w:rPr>
          <w:rFonts w:ascii="Inter" w:hAnsi="Inter" w:cs="Inter"/>
          <w:b w:val="0"/>
          <w:i w:val="0"/>
          <w:color w:val="2D2D2D"/>
          <w:sz w:val="22"/>
        </w:rPr>
        <w:t>The Chief Minister's 12-Point Enhanced Priority Agenda organizes the administration's commitments into twelve areas. Each area carries a title and a set of key focus areas that describe what the administration intends to pursue under that heading.</w:t>
      </w:r>
    </w:p>
    <w:p>
      <w:pPr>
        <w:spacing w:after="120" w:line="276" w:lineRule="auto"/>
      </w:pPr>
      <w:r>
        <w:rPr>
          <w:rFonts w:ascii="Inter" w:hAnsi="Inter" w:cs="Inter"/>
          <w:b w:val="0"/>
          <w:i w:val="0"/>
          <w:color w:val="2D2D2D"/>
          <w:sz w:val="22"/>
        </w:rPr>
      </w:r>
      <w:r>
        <w:rPr>
          <w:rFonts w:ascii="Inter" w:hAnsi="Inter" w:cs="Inter"/>
          <w:b/>
          <w:i w:val="0"/>
          <w:color w:val="2D2D2D"/>
          <w:sz w:val="22"/>
        </w:rPr>
        <w:t>Priority 1: Moral Governance.</w:t>
      </w:r>
      <w:r>
        <w:rPr>
          <w:rFonts w:ascii="Inter" w:hAnsi="Inter" w:cs="Inter"/>
          <w:b w:val="0"/>
          <w:i w:val="0"/>
          <w:color w:val="2D2D2D"/>
          <w:sz w:val="22"/>
        </w:rPr>
        <w:t xml:space="preserve"> Ethics, anti-corruption, and transparency in government. This priority elevates the 12 Pillars of Moral Governance as the foundation of Bangsamoro governance --- not as a compliance requirement but as the operating standard for all MOAs. Key focus areas include institutional integrity, transparent decision-making, accountability for public resources, and the development of a moral governance culture in the civil service.[^1]</w:t>
      </w:r>
    </w:p>
    <w:p>
      <w:pPr>
        <w:spacing w:after="120" w:line="276" w:lineRule="auto"/>
      </w:pPr>
      <w:r>
        <w:rPr>
          <w:rFonts w:ascii="Inter" w:hAnsi="Inter" w:cs="Inter"/>
          <w:b w:val="0"/>
          <w:i w:val="0"/>
          <w:color w:val="2D2D2D"/>
          <w:sz w:val="22"/>
        </w:rPr>
      </w:r>
      <w:r>
        <w:rPr>
          <w:rFonts w:ascii="Inter" w:hAnsi="Inter" w:cs="Inter"/>
          <w:b/>
          <w:i w:val="0"/>
          <w:color w:val="2D2D2D"/>
          <w:sz w:val="22"/>
        </w:rPr>
        <w:t>Priority 2: Sustaining Peace.</w:t>
      </w:r>
      <w:r>
        <w:rPr>
          <w:rFonts w:ascii="Inter" w:hAnsi="Inter" w:cs="Inter"/>
          <w:b w:val="0"/>
          <w:i w:val="0"/>
          <w:color w:val="2D2D2D"/>
          <w:sz w:val="22"/>
        </w:rPr>
        <w:t xml:space="preserve"> Normalization, conflict resolution, and peace consolidation. This priority addresses the unfinished work of the Bangsamoro peace process --- decommissioning, transitional justice, the socioeconomic reintegration of former combatants, and the building of stable, peaceful communities. It also addresses ongoing conflict prevention, intercommunal dialogue, and the resolution of land and resource disputes that fuel local conflict.[^2]</w:t>
      </w:r>
    </w:p>
    <w:p>
      <w:pPr>
        <w:spacing w:after="120" w:line="276" w:lineRule="auto"/>
      </w:pPr>
      <w:r>
        <w:rPr>
          <w:rFonts w:ascii="Inter" w:hAnsi="Inter" w:cs="Inter"/>
          <w:b w:val="0"/>
          <w:i w:val="0"/>
          <w:color w:val="2D2D2D"/>
          <w:sz w:val="22"/>
        </w:rPr>
      </w:r>
      <w:r>
        <w:rPr>
          <w:rFonts w:ascii="Inter" w:hAnsi="Inter" w:cs="Inter"/>
          <w:b/>
          <w:i w:val="0"/>
          <w:color w:val="2D2D2D"/>
          <w:sz w:val="22"/>
        </w:rPr>
        <w:t>Priority 3: Good Governance and Institutional Development.</w:t>
      </w:r>
      <w:r>
        <w:rPr>
          <w:rFonts w:ascii="Inter" w:hAnsi="Inter" w:cs="Inter"/>
          <w:b w:val="0"/>
          <w:i w:val="0"/>
          <w:color w:val="2D2D2D"/>
          <w:sz w:val="22"/>
        </w:rPr>
        <w:t xml:space="preserve"> Systems, capacity building, and institutional strengthening across the Bangsamoro Government. This priority recognizes that the Bangsamoro Government is still young and its institutions still maturing. Key focus areas include streamlining government systems and processes, building the technical capacity of the civil service, developing institutional frameworks for Bangsamoro autonomous governance, and strengthening inter-agency coordination.</w:t>
      </w:r>
    </w:p>
    <w:p>
      <w:pPr>
        <w:spacing w:after="120" w:line="276" w:lineRule="auto"/>
      </w:pPr>
      <w:r>
        <w:rPr>
          <w:rFonts w:ascii="Inter" w:hAnsi="Inter" w:cs="Inter"/>
          <w:b w:val="0"/>
          <w:i w:val="0"/>
          <w:color w:val="2D2D2D"/>
          <w:sz w:val="22"/>
        </w:rPr>
      </w:r>
      <w:r>
        <w:rPr>
          <w:rFonts w:ascii="Inter" w:hAnsi="Inter" w:cs="Inter"/>
          <w:b/>
          <w:i w:val="0"/>
          <w:color w:val="2D2D2D"/>
          <w:sz w:val="22"/>
        </w:rPr>
        <w:t>Priority 4: Economic Development and Job Creation.</w:t>
      </w:r>
      <w:r>
        <w:rPr>
          <w:rFonts w:ascii="Inter" w:hAnsi="Inter" w:cs="Inter"/>
          <w:b w:val="0"/>
          <w:i w:val="0"/>
          <w:color w:val="2D2D2D"/>
          <w:sz w:val="22"/>
        </w:rPr>
        <w:t xml:space="preserve"> Investment attraction, employment generation, and MSME development. This priority focuses on growing the Bangsamoro economy in ways that produce jobs and livelihoods for ordinary people. Key focus areas include investment promotion and incentives, support for micro, small, and medium enterprises (MSMEs), development of priority industries, workforce skills development, and creation of economic corridors.</w:t>
      </w:r>
    </w:p>
    <w:p>
      <w:pPr>
        <w:spacing w:after="120" w:line="276" w:lineRule="auto"/>
      </w:pPr>
      <w:r>
        <w:rPr>
          <w:rFonts w:ascii="Inter" w:hAnsi="Inter" w:cs="Inter"/>
          <w:b w:val="0"/>
          <w:i w:val="0"/>
          <w:color w:val="2D2D2D"/>
          <w:sz w:val="22"/>
        </w:rPr>
      </w:r>
      <w:r>
        <w:rPr>
          <w:rFonts w:ascii="Inter" w:hAnsi="Inter" w:cs="Inter"/>
          <w:b/>
          <w:i w:val="0"/>
          <w:color w:val="2D2D2D"/>
          <w:sz w:val="22"/>
        </w:rPr>
        <w:t>Priority 5: Social Services.</w:t>
      </w:r>
      <w:r>
        <w:rPr>
          <w:rFonts w:ascii="Inter" w:hAnsi="Inter" w:cs="Inter"/>
          <w:b w:val="0"/>
          <w:i w:val="0"/>
          <w:color w:val="2D2D2D"/>
          <w:sz w:val="22"/>
        </w:rPr>
        <w:t xml:space="preserve"> Health, education, and social protection. This priority encompasses the full range of services that government delivers to people --- primary and specialized healthcare, basic and higher education, social protection programs for the poor and vulnerable, and child and youth welfare. The emphasis is on coverage, equity, and quality: social services that reach all Bangsamoro people, including those in remote and conflict-affected areas.</w:t>
      </w:r>
    </w:p>
    <w:p>
      <w:pPr>
        <w:spacing w:after="120" w:line="276" w:lineRule="auto"/>
      </w:pPr>
      <w:r>
        <w:rPr>
          <w:rFonts w:ascii="Inter" w:hAnsi="Inter" w:cs="Inter"/>
          <w:b w:val="0"/>
          <w:i w:val="0"/>
          <w:color w:val="2D2D2D"/>
          <w:sz w:val="22"/>
        </w:rPr>
      </w:r>
      <w:r>
        <w:rPr>
          <w:rFonts w:ascii="Inter" w:hAnsi="Inter" w:cs="Inter"/>
          <w:b/>
          <w:i w:val="0"/>
          <w:color w:val="2D2D2D"/>
          <w:sz w:val="22"/>
        </w:rPr>
        <w:t>Priority 6: Resource Mobilization.</w:t>
      </w:r>
      <w:r>
        <w:rPr>
          <w:rFonts w:ascii="Inter" w:hAnsi="Inter" w:cs="Inter"/>
          <w:b w:val="0"/>
          <w:i w:val="0"/>
          <w:color w:val="2D2D2D"/>
          <w:sz w:val="22"/>
        </w:rPr>
        <w:t xml:space="preserve"> Revenue generation, fiscal sustainability, and financial management. The Bangsamoro Government depends heavily on block grants from the national government. This priority focuses on expanding own-source revenues, improving tax administration, developing the region's fiscal capacity, and ensuring that government resources are managed efficiently and with full accountability.</w:t>
      </w:r>
    </w:p>
    <w:p>
      <w:pPr>
        <w:spacing w:after="120" w:line="276" w:lineRule="auto"/>
      </w:pPr>
      <w:r>
        <w:rPr>
          <w:rFonts w:ascii="Inter" w:hAnsi="Inter" w:cs="Inter"/>
          <w:b w:val="0"/>
          <w:i w:val="0"/>
          <w:color w:val="2D2D2D"/>
          <w:sz w:val="22"/>
        </w:rPr>
      </w:r>
      <w:r>
        <w:rPr>
          <w:rFonts w:ascii="Inter" w:hAnsi="Inter" w:cs="Inter"/>
          <w:b/>
          <w:i w:val="0"/>
          <w:color w:val="2D2D2D"/>
          <w:sz w:val="22"/>
        </w:rPr>
        <w:t>Priority 7: Infrastructure Development.</w:t>
      </w:r>
      <w:r>
        <w:rPr>
          <w:rFonts w:ascii="Inter" w:hAnsi="Inter" w:cs="Inter"/>
          <w:b w:val="0"/>
          <w:i w:val="0"/>
          <w:color w:val="2D2D2D"/>
          <w:sz w:val="22"/>
        </w:rPr>
        <w:t xml:space="preserve"> Roads, public facilities, utilities, and connectivity. This priority addresses the infrastructure gaps that constrain development across the region --- road networks that isolate communities from markets and services, water and sanitation facilities that are absent or inadequate, public buildings that cannot support government functions, and connectivity infrastructure that excludes communities from the digital economy.</w:t>
      </w:r>
    </w:p>
    <w:p>
      <w:pPr>
        <w:spacing w:after="120" w:line="276" w:lineRule="auto"/>
      </w:pPr>
      <w:r>
        <w:rPr>
          <w:rFonts w:ascii="Inter" w:hAnsi="Inter" w:cs="Inter"/>
          <w:b w:val="0"/>
          <w:i w:val="0"/>
          <w:color w:val="2D2D2D"/>
          <w:sz w:val="22"/>
        </w:rPr>
      </w:r>
      <w:r>
        <w:rPr>
          <w:rFonts w:ascii="Inter" w:hAnsi="Inter" w:cs="Inter"/>
          <w:b/>
          <w:i w:val="0"/>
          <w:color w:val="2D2D2D"/>
          <w:sz w:val="22"/>
        </w:rPr>
        <w:t>Priority 8: Environmental Protection.</w:t>
      </w:r>
      <w:r>
        <w:rPr>
          <w:rFonts w:ascii="Inter" w:hAnsi="Inter" w:cs="Inter"/>
          <w:b w:val="0"/>
          <w:i w:val="0"/>
          <w:color w:val="2D2D2D"/>
          <w:sz w:val="22"/>
        </w:rPr>
        <w:t xml:space="preserve"> Conservation, environmental management, and climate resilience. This priority treats the region's natural environment not only as a resource base but as a foundation for long-term development. Key focus areas include forest protection, watershed management, marine and coastal conservation, pollution control, environmental enforcement, and building the region's capacity to adapt to climate change impacts.</w:t>
      </w:r>
    </w:p>
    <w:p>
      <w:pPr>
        <w:spacing w:after="120" w:line="276" w:lineRule="auto"/>
      </w:pPr>
      <w:r>
        <w:rPr>
          <w:rFonts w:ascii="Inter" w:hAnsi="Inter" w:cs="Inter"/>
          <w:b w:val="0"/>
          <w:i w:val="0"/>
          <w:color w:val="2D2D2D"/>
          <w:sz w:val="22"/>
        </w:rPr>
      </w:r>
      <w:r>
        <w:rPr>
          <w:rFonts w:ascii="Inter" w:hAnsi="Inter" w:cs="Inter"/>
          <w:b/>
          <w:i w:val="0"/>
          <w:color w:val="2D2D2D"/>
          <w:sz w:val="22"/>
        </w:rPr>
        <w:t>Priority 9: Food Security and Agriculture.</w:t>
      </w:r>
      <w:r>
        <w:rPr>
          <w:rFonts w:ascii="Inter" w:hAnsi="Inter" w:cs="Inter"/>
          <w:b w:val="0"/>
          <w:i w:val="0"/>
          <w:color w:val="2D2D2D"/>
          <w:sz w:val="22"/>
        </w:rPr>
        <w:t xml:space="preserve"> Farming, fisheries, and food systems. This priority addresses the agricultural character of the Bangsamoro economy and the food security dimensions of rural poverty. Key focus areas include support for smallholder farmers and fisherfolk, agricultural productivity and technology, post-harvest facilities, market linkages, irrigation, and the development of high-value crops and aquaculture.</w:t>
      </w:r>
    </w:p>
    <w:p>
      <w:pPr>
        <w:spacing w:after="120" w:line="276" w:lineRule="auto"/>
      </w:pPr>
      <w:r>
        <w:rPr>
          <w:rFonts w:ascii="Inter" w:hAnsi="Inter" w:cs="Inter"/>
          <w:b w:val="0"/>
          <w:i w:val="0"/>
          <w:color w:val="2D2D2D"/>
          <w:sz w:val="22"/>
        </w:rPr>
      </w:r>
      <w:r>
        <w:rPr>
          <w:rFonts w:ascii="Inter" w:hAnsi="Inter" w:cs="Inter"/>
          <w:b/>
          <w:i w:val="0"/>
          <w:color w:val="2D2D2D"/>
          <w:sz w:val="22"/>
        </w:rPr>
        <w:t>Priority 10: Youth Development.</w:t>
      </w:r>
      <w:r>
        <w:rPr>
          <w:rFonts w:ascii="Inter" w:hAnsi="Inter" w:cs="Inter"/>
          <w:b w:val="0"/>
          <w:i w:val="0"/>
          <w:color w:val="2D2D2D"/>
          <w:sz w:val="22"/>
        </w:rPr>
        <w:t xml:space="preserve"> Skills, employment, and civic participation for young Bangsamoro people. This priority recognizes that a large and growing youth population is both a challenge and an opportunity. Key focus areas include technical and vocational education, youth entrepreneurship, leadership development, civic engagement, sports and culture programs, and programs that connect young people to economic opportunity.</w:t>
      </w:r>
    </w:p>
    <w:p>
      <w:pPr>
        <w:spacing w:after="120" w:line="276" w:lineRule="auto"/>
      </w:pPr>
      <w:r>
        <w:rPr>
          <w:rFonts w:ascii="Inter" w:hAnsi="Inter" w:cs="Inter"/>
          <w:b w:val="0"/>
          <w:i w:val="0"/>
          <w:color w:val="2D2D2D"/>
          <w:sz w:val="22"/>
        </w:rPr>
      </w:r>
      <w:r>
        <w:rPr>
          <w:rFonts w:ascii="Inter" w:hAnsi="Inter" w:cs="Inter"/>
          <w:b/>
          <w:i w:val="0"/>
          <w:color w:val="2D2D2D"/>
          <w:sz w:val="22"/>
        </w:rPr>
        <w:t>Priority 11: Women Empowerment.</w:t>
      </w:r>
      <w:r>
        <w:rPr>
          <w:rFonts w:ascii="Inter" w:hAnsi="Inter" w:cs="Inter"/>
          <w:b w:val="0"/>
          <w:i w:val="0"/>
          <w:color w:val="2D2D2D"/>
          <w:sz w:val="22"/>
        </w:rPr>
        <w:t xml:space="preserve"> Gender equality, women's rights, and programs that expand opportunity for Bangsamoro women. This priority addresses the structural barriers that limit women's participation in government, the economy, and public life. Key focus areas include women's economic empowerment, protection from gender-based violence, women's political participation, maternal and reproductive health, and the integration of gender perspectives across government programs.</w:t>
      </w:r>
    </w:p>
    <w:p>
      <w:pPr>
        <w:spacing w:after="120" w:line="276" w:lineRule="auto"/>
      </w:pPr>
      <w:r>
        <w:rPr>
          <w:rFonts w:ascii="Inter" w:hAnsi="Inter" w:cs="Inter"/>
          <w:b w:val="0"/>
          <w:i w:val="0"/>
          <w:color w:val="2D2D2D"/>
          <w:sz w:val="22"/>
        </w:rPr>
      </w:r>
      <w:r>
        <w:rPr>
          <w:rFonts w:ascii="Inter" w:hAnsi="Inter" w:cs="Inter"/>
          <w:b/>
          <w:i w:val="0"/>
          <w:color w:val="2D2D2D"/>
          <w:sz w:val="22"/>
        </w:rPr>
        <w:t>Priority 12: Inter-governmental Relations.</w:t>
      </w:r>
      <w:r>
        <w:rPr>
          <w:rFonts w:ascii="Inter" w:hAnsi="Inter" w:cs="Inter"/>
          <w:b w:val="0"/>
          <w:i w:val="0"/>
          <w:color w:val="2D2D2D"/>
          <w:sz w:val="22"/>
        </w:rPr>
        <w:t xml:space="preserve"> National-regional coordination, relations with local government units (LGUs), and engagement with international partners and development organizations. This priority addresses the complex intergovernmental relationships the Bangsamoro Government must manage --- with the national government in Manila, with LGUs within and adjacent to the region, and with development partners whose programs must align with Bangsamoro priorities.</w:t>
      </w:r>
    </w:p>
    <w:p>
      <w:pPr>
        <w:pStyle w:val="Heading3"/>
      </w:pPr>
      <w:r>
        <w:rPr>
          <w:rFonts w:ascii="Inter" w:hAnsi="Inter" w:cs="Inter"/>
          <w:b/>
          <w:i w:val="0"/>
          <w:color w:val="2C5F7C"/>
          <w:sz w:val="26"/>
        </w:rPr>
        <w:t>The Difference Between BDP Alignment and Priority Agenda Alignment</w:t>
      </w:r>
    </w:p>
    <w:p>
      <w:pPr>
        <w:spacing w:after="120" w:line="276" w:lineRule="auto"/>
      </w:pPr>
      <w:r>
        <w:rPr>
          <w:rFonts w:ascii="Inter" w:hAnsi="Inter" w:cs="Inter"/>
          <w:b w:val="0"/>
          <w:i w:val="0"/>
          <w:color w:val="2D2D2D"/>
          <w:sz w:val="22"/>
        </w:rPr>
        <w:t>These two alignment exercises are complementary but distinct. Understanding the difference prevents confusion and helps you write sharper alignment statements.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Dimension</w:t>
            </w:r>
          </w:p>
        </w:tc>
        <w:tc>
          <w:tcPr>
            <w:tcW w:type="dxa" w:w="3120"/>
            <w:shd w:fill="1B365D"/>
          </w:tcPr>
          <w:p>
            <w:r/>
            <w:r>
              <w:rPr>
                <w:rFonts w:ascii="Inter" w:hAnsi="Inter" w:cs="Inter"/>
                <w:b/>
                <w:i w:val="0"/>
                <w:color w:val="FFFFFF"/>
                <w:sz w:val="19"/>
              </w:rPr>
              <w:t>BDP Alignment</w:t>
            </w:r>
          </w:p>
        </w:tc>
        <w:tc>
          <w:tcPr>
            <w:tcW w:type="dxa" w:w="3120"/>
            <w:shd w:fill="1B365D"/>
          </w:tcPr>
          <w:p>
            <w:r/>
            <w:r>
              <w:rPr>
                <w:rFonts w:ascii="Inter" w:hAnsi="Inter" w:cs="Inter"/>
                <w:b/>
                <w:i w:val="0"/>
                <w:color w:val="FFFFFF"/>
                <w:sz w:val="19"/>
              </w:rPr>
              <w:t>Priority Agenda Alignment</w:t>
            </w:r>
          </w:p>
        </w:tc>
      </w:tr>
      <w:tr>
        <w:tc>
          <w:tcPr>
            <w:tcW w:type="dxa" w:w="3120"/>
          </w:tcPr>
          <w:p>
            <w:r/>
            <w:r>
              <w:rPr>
                <w:rFonts w:ascii="Inter" w:hAnsi="Inter" w:cs="Inter"/>
                <w:b w:val="0"/>
                <w:i w:val="0"/>
                <w:color w:val="2D2D2D"/>
                <w:sz w:val="19"/>
              </w:rPr>
              <w:t>**Time horizon**</w:t>
            </w:r>
          </w:p>
        </w:tc>
        <w:tc>
          <w:tcPr>
            <w:tcW w:type="dxa" w:w="3120"/>
          </w:tcPr>
          <w:p>
            <w:r/>
            <w:r>
              <w:rPr>
                <w:rFonts w:ascii="Inter" w:hAnsi="Inter" w:cs="Inter"/>
                <w:b w:val="0"/>
                <w:i w:val="0"/>
                <w:color w:val="2D2D2D"/>
                <w:sz w:val="19"/>
              </w:rPr>
              <w:t>Long-term (2023-2028 plan period)</w:t>
            </w:r>
          </w:p>
        </w:tc>
        <w:tc>
          <w:tcPr>
            <w:tcW w:type="dxa" w:w="3120"/>
          </w:tcPr>
          <w:p>
            <w:r/>
            <w:r>
              <w:rPr>
                <w:rFonts w:ascii="Inter" w:hAnsi="Inter" w:cs="Inter"/>
                <w:b w:val="0"/>
                <w:i w:val="0"/>
                <w:color w:val="2D2D2D"/>
                <w:sz w:val="19"/>
              </w:rPr>
              <w:t>Current administration term</w:t>
            </w:r>
          </w:p>
        </w:tc>
      </w:tr>
      <w:tr>
        <w:tc>
          <w:tcPr>
            <w:tcW w:type="dxa" w:w="3120"/>
            <w:shd w:fill="F0F3F6"/>
          </w:tcPr>
          <w:p>
            <w:r/>
            <w:r>
              <w:rPr>
                <w:rFonts w:ascii="Inter" w:hAnsi="Inter" w:cs="Inter"/>
                <w:b w:val="0"/>
                <w:i w:val="0"/>
                <w:color w:val="2D2D2D"/>
                <w:sz w:val="19"/>
              </w:rPr>
              <w:t>**Stability**</w:t>
            </w:r>
          </w:p>
        </w:tc>
        <w:tc>
          <w:tcPr>
            <w:tcW w:type="dxa" w:w="3120"/>
            <w:shd w:fill="F0F3F6"/>
          </w:tcPr>
          <w:p>
            <w:r/>
            <w:r>
              <w:rPr>
                <w:rFonts w:ascii="Inter" w:hAnsi="Inter" w:cs="Inter"/>
                <w:b w:val="0"/>
                <w:i w:val="0"/>
                <w:color w:val="2D2D2D"/>
                <w:sz w:val="19"/>
              </w:rPr>
              <w:t>Stable for six years</w:t>
            </w:r>
          </w:p>
        </w:tc>
        <w:tc>
          <w:tcPr>
            <w:tcW w:type="dxa" w:w="3120"/>
            <w:shd w:fill="F0F3F6"/>
          </w:tcPr>
          <w:p>
            <w:r/>
            <w:r>
              <w:rPr>
                <w:rFonts w:ascii="Inter" w:hAnsi="Inter" w:cs="Inter"/>
                <w:b w:val="0"/>
                <w:i w:val="0"/>
                <w:color w:val="2D2D2D"/>
                <w:sz w:val="19"/>
              </w:rPr>
              <w:t>Can change with administration or revision</w:t>
            </w:r>
          </w:p>
        </w:tc>
      </w:tr>
      <w:tr>
        <w:tc>
          <w:tcPr>
            <w:tcW w:type="dxa" w:w="3120"/>
          </w:tcPr>
          <w:p>
            <w:r/>
            <w:r>
              <w:rPr>
                <w:rFonts w:ascii="Inter" w:hAnsi="Inter" w:cs="Inter"/>
                <w:b w:val="0"/>
                <w:i w:val="0"/>
                <w:color w:val="2D2D2D"/>
                <w:sz w:val="19"/>
              </w:rPr>
              <w:t>**Authority**</w:t>
            </w:r>
          </w:p>
        </w:tc>
        <w:tc>
          <w:tcPr>
            <w:tcW w:type="dxa" w:w="3120"/>
          </w:tcPr>
          <w:p>
            <w:r/>
            <w:r>
              <w:rPr>
                <w:rFonts w:ascii="Inter" w:hAnsi="Inter" w:cs="Inter"/>
                <w:b w:val="0"/>
                <w:i w:val="0"/>
                <w:color w:val="2D2D2D"/>
                <w:sz w:val="19"/>
              </w:rPr>
              <w:t>BEDC-approved planning framework</w:t>
            </w:r>
          </w:p>
        </w:tc>
        <w:tc>
          <w:tcPr>
            <w:tcW w:type="dxa" w:w="3120"/>
          </w:tcPr>
          <w:p>
            <w:r/>
            <w:r>
              <w:rPr>
                <w:rFonts w:ascii="Inter" w:hAnsi="Inter" w:cs="Inter"/>
                <w:b w:val="0"/>
                <w:i w:val="0"/>
                <w:color w:val="2D2D2D"/>
                <w:sz w:val="19"/>
              </w:rPr>
              <w:t>Chief Minister's political mandate</w:t>
            </w:r>
          </w:p>
        </w:tc>
      </w:tr>
      <w:tr>
        <w:tc>
          <w:tcPr>
            <w:tcW w:type="dxa" w:w="3120"/>
            <w:shd w:fill="F0F3F6"/>
          </w:tcPr>
          <w:p>
            <w:r/>
            <w:r>
              <w:rPr>
                <w:rFonts w:ascii="Inter" w:hAnsi="Inter" w:cs="Inter"/>
                <w:b w:val="0"/>
                <w:i w:val="0"/>
                <w:color w:val="2D2D2D"/>
                <w:sz w:val="19"/>
              </w:rPr>
              <w:t>**Structure**</w:t>
            </w:r>
          </w:p>
        </w:tc>
        <w:tc>
          <w:tcPr>
            <w:tcW w:type="dxa" w:w="3120"/>
            <w:shd w:fill="F0F3F6"/>
          </w:tcPr>
          <w:p>
            <w:r/>
            <w:r>
              <w:rPr>
                <w:rFonts w:ascii="Inter" w:hAnsi="Inter" w:cs="Inter"/>
                <w:b w:val="0"/>
                <w:i w:val="0"/>
                <w:color w:val="2D2D2D"/>
                <w:sz w:val="19"/>
              </w:rPr>
              <w:t>6 goals, 8 strategies</w:t>
            </w:r>
          </w:p>
        </w:tc>
        <w:tc>
          <w:tcPr>
            <w:tcW w:type="dxa" w:w="3120"/>
            <w:shd w:fill="F0F3F6"/>
          </w:tcPr>
          <w:p>
            <w:r/>
            <w:r>
              <w:rPr>
                <w:rFonts w:ascii="Inter" w:hAnsi="Inter" w:cs="Inter"/>
                <w:b w:val="0"/>
                <w:i w:val="0"/>
                <w:color w:val="2D2D2D"/>
                <w:sz w:val="19"/>
              </w:rPr>
              <w:t>12 priority areas</w:t>
            </w:r>
          </w:p>
        </w:tc>
      </w:tr>
      <w:tr>
        <w:tc>
          <w:tcPr>
            <w:tcW w:type="dxa" w:w="3120"/>
          </w:tcPr>
          <w:p>
            <w:r/>
            <w:r>
              <w:rPr>
                <w:rFonts w:ascii="Inter" w:hAnsi="Inter" w:cs="Inter"/>
                <w:b w:val="0"/>
                <w:i w:val="0"/>
                <w:color w:val="2D2D2D"/>
                <w:sz w:val="19"/>
              </w:rPr>
              <w:t>**Primary audience**</w:t>
            </w:r>
          </w:p>
        </w:tc>
        <w:tc>
          <w:tcPr>
            <w:tcW w:type="dxa" w:w="3120"/>
          </w:tcPr>
          <w:p>
            <w:r/>
            <w:r>
              <w:rPr>
                <w:rFonts w:ascii="Inter" w:hAnsi="Inter" w:cs="Inter"/>
                <w:b w:val="0"/>
                <w:i w:val="0"/>
                <w:color w:val="2D2D2D"/>
                <w:sz w:val="19"/>
              </w:rPr>
              <w:t>BPDA planners, budget reviewers</w:t>
            </w:r>
          </w:p>
        </w:tc>
        <w:tc>
          <w:tcPr>
            <w:tcW w:type="dxa" w:w="3120"/>
          </w:tcPr>
          <w:p>
            <w:r/>
            <w:r>
              <w:rPr>
                <w:rFonts w:ascii="Inter" w:hAnsi="Inter" w:cs="Inter"/>
                <w:b w:val="0"/>
                <w:i w:val="0"/>
                <w:color w:val="2D2D2D"/>
                <w:sz w:val="19"/>
              </w:rPr>
              <w:t>Chief Minister's office, political leadership</w:t>
            </w:r>
          </w:p>
        </w:tc>
      </w:tr>
      <w:tr>
        <w:tc>
          <w:tcPr>
            <w:tcW w:type="dxa" w:w="3120"/>
            <w:shd w:fill="F0F3F6"/>
          </w:tcPr>
          <w:p>
            <w:r/>
            <w:r>
              <w:rPr>
                <w:rFonts w:ascii="Inter" w:hAnsi="Inter" w:cs="Inter"/>
                <w:b w:val="0"/>
                <w:i w:val="0"/>
                <w:color w:val="2D2D2D"/>
                <w:sz w:val="19"/>
              </w:rPr>
              <w:t>**Nature**</w:t>
            </w:r>
          </w:p>
        </w:tc>
        <w:tc>
          <w:tcPr>
            <w:tcW w:type="dxa" w:w="3120"/>
            <w:shd w:fill="F0F3F6"/>
          </w:tcPr>
          <w:p>
            <w:r/>
            <w:r>
              <w:rPr>
                <w:rFonts w:ascii="Inter" w:hAnsi="Inter" w:cs="Inter"/>
                <w:b w:val="0"/>
                <w:i w:val="0"/>
                <w:color w:val="2D2D2D"/>
                <w:sz w:val="19"/>
              </w:rPr>
              <w:t>Technocratic, framework-based</w:t>
            </w:r>
          </w:p>
        </w:tc>
        <w:tc>
          <w:tcPr>
            <w:tcW w:type="dxa" w:w="3120"/>
            <w:shd w:fill="F0F3F6"/>
          </w:tcPr>
          <w:p>
            <w:r/>
            <w:r>
              <w:rPr>
                <w:rFonts w:ascii="Inter" w:hAnsi="Inter" w:cs="Inter"/>
                <w:b w:val="0"/>
                <w:i w:val="0"/>
                <w:color w:val="2D2D2D"/>
                <w:sz w:val="19"/>
              </w:rPr>
              <w:t>Political, agenda-based</w:t>
            </w:r>
          </w:p>
        </w:tc>
      </w:tr>
      <w:tr>
        <w:tc>
          <w:tcPr>
            <w:tcW w:type="dxa" w:w="3120"/>
          </w:tcPr>
          <w:p>
            <w:r/>
            <w:r>
              <w:rPr>
                <w:rFonts w:ascii="Inter" w:hAnsi="Inter" w:cs="Inter"/>
                <w:b w:val="0"/>
                <w:i w:val="0"/>
                <w:color w:val="2D2D2D"/>
                <w:sz w:val="19"/>
              </w:rPr>
              <w:t>**Update cycle**</w:t>
            </w:r>
          </w:p>
        </w:tc>
        <w:tc>
          <w:tcPr>
            <w:tcW w:type="dxa" w:w="3120"/>
          </w:tcPr>
          <w:p>
            <w:r/>
            <w:r>
              <w:rPr>
                <w:rFonts w:ascii="Inter" w:hAnsi="Inter" w:cs="Inter"/>
                <w:b w:val="0"/>
                <w:i w:val="0"/>
                <w:color w:val="2D2D2D"/>
                <w:sz w:val="19"/>
              </w:rPr>
              <w:t>At the start of each planning cycle</w:t>
            </w:r>
          </w:p>
        </w:tc>
        <w:tc>
          <w:tcPr>
            <w:tcW w:type="dxa" w:w="3120"/>
          </w:tcPr>
          <w:p>
            <w:r/>
            <w:r>
              <w:rPr>
                <w:rFonts w:ascii="Inter" w:hAnsi="Inter" w:cs="Inter"/>
                <w:b w:val="0"/>
                <w:i w:val="0"/>
                <w:color w:val="2D2D2D"/>
                <w:sz w:val="19"/>
              </w:rPr>
              <w:t>When Priority Agenda is revised</w:t>
            </w:r>
          </w:p>
        </w:tc>
      </w:tr>
    </w:tbl>
    <w:p/>
    <w:p>
      <w:pPr>
        <w:spacing w:after="120" w:line="276" w:lineRule="auto"/>
      </w:pPr>
      <w:r>
        <w:rPr>
          <w:rFonts w:ascii="Inter" w:hAnsi="Inter" w:cs="Inter"/>
          <w:b w:val="0"/>
          <w:i w:val="0"/>
          <w:color w:val="2D2D2D"/>
          <w:sz w:val="22"/>
        </w:rPr>
        <w:t>In practice, there is significant overlap. BDP Goal 1 (stable, just, and accountable government) aligns closely with Priority Agenda items 1 (Moral Governance), 3 (Good Governance), and 12 (Inter-governmental Relations). BDP Goal 2 (equitable, competitive economy) aligns with Priority 4 (Economic Development) and Priority 9 (Food Security). The difference is that BDP alignment uses a technical framework developed through a planning process, while Priority Agenda alignment uses the political language of the administration's commitments.</w:t>
      </w:r>
    </w:p>
    <w:p>
      <w:pPr>
        <w:spacing w:after="120" w:line="276" w:lineRule="auto"/>
      </w:pPr>
      <w:r>
        <w:rPr>
          <w:rFonts w:ascii="Inter" w:hAnsi="Inter" w:cs="Inter"/>
          <w:b w:val="0"/>
          <w:i w:val="0"/>
          <w:color w:val="2D2D2D"/>
          <w:sz w:val="22"/>
        </w:rPr>
        <w:t>Your strategic plan needs both. BPDA evaluates BDP alignment. Political leadership reads Priority Agenda alignment. Do not collapse them into a single section.</w:t>
      </w:r>
    </w:p>
    <w:p>
      <w:pPr>
        <w:pStyle w:val="Heading3"/>
      </w:pPr>
      <w:r>
        <w:rPr>
          <w:rFonts w:ascii="Inter" w:hAnsi="Inter" w:cs="Inter"/>
          <w:b/>
          <w:i w:val="0"/>
          <w:color w:val="2C5F7C"/>
          <w:sz w:val="26"/>
        </w:rPr>
        <w:t>Direct vs. Enabling Contributions</w:t>
      </w:r>
    </w:p>
    <w:p>
      <w:pPr>
        <w:spacing w:after="120" w:line="276" w:lineRule="auto"/>
      </w:pPr>
      <w:r>
        <w:rPr>
          <w:rFonts w:ascii="Inter" w:hAnsi="Inter" w:cs="Inter"/>
          <w:b w:val="0"/>
          <w:i w:val="0"/>
          <w:color w:val="2D2D2D"/>
          <w:sz w:val="22"/>
        </w:rPr>
        <w:t>When you map your MOA to the Priority Agenda, every alignment falls into one of two categories:</w:t>
      </w:r>
    </w:p>
    <w:p>
      <w:pPr>
        <w:spacing w:after="120" w:line="276" w:lineRule="auto"/>
      </w:pPr>
      <w:r>
        <w:rPr>
          <w:rFonts w:ascii="Inter" w:hAnsi="Inter" w:cs="Inter"/>
          <w:b w:val="0"/>
          <w:i w:val="0"/>
          <w:color w:val="2D2D2D"/>
          <w:sz w:val="22"/>
        </w:rPr>
      </w:r>
      <w:r>
        <w:rPr>
          <w:rFonts w:ascii="Inter" w:hAnsi="Inter" w:cs="Inter"/>
          <w:b/>
          <w:i w:val="0"/>
          <w:color w:val="2D2D2D"/>
          <w:sz w:val="22"/>
        </w:rPr>
        <w:t>Direct contributions</w:t>
      </w:r>
      <w:r>
        <w:rPr>
          <w:rFonts w:ascii="Inter" w:hAnsi="Inter" w:cs="Inter"/>
          <w:b w:val="0"/>
          <w:i w:val="0"/>
          <w:color w:val="2D2D2D"/>
          <w:sz w:val="22"/>
        </w:rPr>
        <w:t xml:space="preserve"> occur when your MOA is a lead implementor of a priority. Your MOA's programs, services, or regulatory functions are a primary mechanism through which the priority is advanced. If Priority 12 (Inter-governmental Relations) did not have OOBC's involvement, the coordination between the Bangsamoro Government and LGUs hosting Other Bangsamoro Communities would not happen --- that is a direct contribution.</w:t>
      </w:r>
    </w:p>
    <w:p>
      <w:pPr>
        <w:spacing w:after="120" w:line="276" w:lineRule="auto"/>
      </w:pPr>
      <w:r>
        <w:rPr>
          <w:rFonts w:ascii="Inter" w:hAnsi="Inter" w:cs="Inter"/>
          <w:b w:val="0"/>
          <w:i w:val="0"/>
          <w:color w:val="2D2D2D"/>
          <w:sz w:val="22"/>
        </w:rPr>
      </w:r>
      <w:r>
        <w:rPr>
          <w:rFonts w:ascii="Inter" w:hAnsi="Inter" w:cs="Inter"/>
          <w:b/>
          <w:i w:val="0"/>
          <w:color w:val="2D2D2D"/>
          <w:sz w:val="22"/>
        </w:rPr>
        <w:t>Enabling contributions</w:t>
      </w:r>
      <w:r>
        <w:rPr>
          <w:rFonts w:ascii="Inter" w:hAnsi="Inter" w:cs="Inter"/>
          <w:b w:val="0"/>
          <w:i w:val="0"/>
          <w:color w:val="2D2D2D"/>
          <w:sz w:val="22"/>
        </w:rPr>
        <w:t xml:space="preserve"> occur when your MOA's work creates conditions, systems, or inputs that allow other MOAs or actors to pursue a priority. Your MOA is not the lead, but without your contribution, implementation would be harder. A Ministry of Finance that maintains the fiscal system enabling other ministries to fund their programs makes an enabling contribution to every spending-dependent priority.</w:t>
      </w:r>
    </w:p>
    <w:p>
      <w:pPr>
        <w:spacing w:after="120" w:line="276" w:lineRule="auto"/>
      </w:pPr>
      <w:r>
        <w:rPr>
          <w:rFonts w:ascii="Inter" w:hAnsi="Inter" w:cs="Inter"/>
          <w:b w:val="0"/>
          <w:i w:val="0"/>
          <w:color w:val="2D2D2D"/>
          <w:sz w:val="22"/>
        </w:rPr>
        <w:t>Both types of contribution are real and should be documented. The distinction matters for two reasons:</w:t>
      </w:r>
    </w:p>
    <w:p>
      <w:pPr>
        <w:pStyle w:val="ListNumber"/>
      </w:pPr>
      <w:r>
        <w:rPr>
          <w:rFonts w:ascii="Inter" w:hAnsi="Inter" w:cs="Inter"/>
          <w:b w:val="0"/>
          <w:i w:val="0"/>
          <w:color w:val="2D2D2D"/>
          <w:sz w:val="22"/>
        </w:rPr>
      </w:r>
      <w:r>
        <w:rPr>
          <w:rFonts w:ascii="Inter" w:hAnsi="Inter" w:cs="Inter"/>
          <w:b/>
          <w:i w:val="0"/>
          <w:color w:val="2D2D2D"/>
          <w:sz w:val="22"/>
        </w:rPr>
        <w:t>Accountability.</w:t>
      </w:r>
      <w:r>
        <w:rPr>
          <w:rFonts w:ascii="Inter" w:hAnsi="Inter" w:cs="Inter"/>
          <w:b w:val="0"/>
          <w:i w:val="0"/>
          <w:color w:val="2D2D2D"/>
          <w:sz w:val="22"/>
        </w:rPr>
        <w:t xml:space="preserve"> Direct contributions carry direct accountability. If you claim a direct contribution to Priority 4 (Economic Development) and the economic indicators do not improve, your MOA's programs will be examined. Enabling contributions carry shared accountability.</w:t>
      </w:r>
    </w:p>
    <w:p>
      <w:pPr>
        <w:pStyle w:val="ListNumber"/>
      </w:pPr>
      <w:r>
        <w:rPr>
          <w:rFonts w:ascii="Inter" w:hAnsi="Inter" w:cs="Inter"/>
          <w:b w:val="0"/>
          <w:i w:val="0"/>
          <w:color w:val="2D2D2D"/>
          <w:sz w:val="22"/>
        </w:rPr>
      </w:r>
      <w:r>
        <w:rPr>
          <w:rFonts w:ascii="Inter" w:hAnsi="Inter" w:cs="Inter"/>
          <w:b/>
          <w:i w:val="0"/>
          <w:color w:val="2D2D2D"/>
          <w:sz w:val="22"/>
        </w:rPr>
        <w:t>Credibility.</w:t>
      </w:r>
      <w:r>
        <w:rPr>
          <w:rFonts w:ascii="Inter" w:hAnsi="Inter" w:cs="Inter"/>
          <w:b w:val="0"/>
          <w:i w:val="0"/>
          <w:color w:val="2D2D2D"/>
          <w:sz w:val="22"/>
        </w:rPr>
        <w:t xml:space="preserve"> A strategic plan that claims only direct contributions to twelve priorities will not be believed. Most MOAs have direct contributions to two to four priorities and enabling contributions to several others. Accurately classifying your role makes your alignment credible.</w:t>
      </w:r>
    </w:p>
    <w:p>
      <w:pPr>
        <w:pStyle w:val="Heading3"/>
      </w:pPr>
      <w:r>
        <w:rPr>
          <w:rFonts w:ascii="Inter" w:hAnsi="Inter" w:cs="Inter"/>
          <w:b/>
          <w:i w:val="0"/>
          <w:color w:val="2C5F7C"/>
          <w:sz w:val="26"/>
        </w:rPr>
        <w:t>The Principle: Not Every Priority Requires a Contribution</w:t>
      </w:r>
    </w:p>
    <w:p>
      <w:pPr>
        <w:spacing w:after="120" w:line="276" w:lineRule="auto"/>
      </w:pPr>
      <w:r>
        <w:rPr>
          <w:rFonts w:ascii="Inter" w:hAnsi="Inter" w:cs="Inter"/>
          <w:b w:val="0"/>
          <w:i w:val="0"/>
          <w:color w:val="2D2D2D"/>
          <w:sz w:val="22"/>
        </w:rPr>
        <w:t>Every MOA should map to *at least one* priority. But not every MOA should map to every priority. The 12-Point Priority Agenda covers the full scope of government --- education, health, peace, infrastructure, agriculture, environment, women, youth, and governance. No single MOA can be a central contributor to all twelve.</w:t>
      </w:r>
    </w:p>
    <w:p>
      <w:pPr>
        <w:spacing w:after="120" w:line="276" w:lineRule="auto"/>
      </w:pPr>
      <w:r>
        <w:rPr>
          <w:rFonts w:ascii="Inter" w:hAnsi="Inter" w:cs="Inter"/>
          <w:b w:val="0"/>
          <w:i w:val="0"/>
          <w:color w:val="2D2D2D"/>
          <w:sz w:val="22"/>
        </w:rPr>
        <w:t>Claiming alignment with every priority is the most common credibility problem in strategic planning. When an office for coordinating with outside communities claims it directly contributes to environmental protection, infrastructure development, economic development, sustaining peace, and resource mobilization --- in addition to its core inter-governmental coordination mandate --- the claims become implausible. BPDA reviewers and political leadership will discount all of the alignments, including the genuine ones.</w:t>
      </w:r>
    </w:p>
    <w:p>
      <w:pPr>
        <w:spacing w:after="120" w:line="276" w:lineRule="auto"/>
      </w:pPr>
      <w:r>
        <w:rPr>
          <w:rFonts w:ascii="Inter" w:hAnsi="Inter" w:cs="Inter"/>
          <w:b w:val="0"/>
          <w:i w:val="0"/>
          <w:color w:val="2D2D2D"/>
          <w:sz w:val="22"/>
        </w:rPr>
        <w:t>The discipline of Priority Agenda alignment is *selection*. Identify the priorities your MOA genuinely serves. Be specific about how. Leave the others unclaimed.</w:t>
      </w:r>
    </w:p>
    <w:p>
      <w:pPr>
        <w:pStyle w:val="Heading3"/>
      </w:pPr>
      <w:r>
        <w:rPr>
          <w:rFonts w:ascii="Inter" w:hAnsi="Inter" w:cs="Inter"/>
          <w:b/>
          <w:i w:val="0"/>
          <w:color w:val="2C5F7C"/>
          <w:sz w:val="26"/>
        </w:rPr>
        <w:t>Gap Analysis</w:t>
      </w:r>
    </w:p>
    <w:p>
      <w:pPr>
        <w:spacing w:after="120" w:line="276" w:lineRule="auto"/>
      </w:pPr>
      <w:r>
        <w:rPr>
          <w:rFonts w:ascii="Inter" w:hAnsi="Inter" w:cs="Inter"/>
          <w:b w:val="0"/>
          <w:i w:val="0"/>
          <w:color w:val="2D2D2D"/>
          <w:sz w:val="22"/>
        </w:rPr>
        <w:t>Gap analysis asks a different question than alignment analysis. Alignment analysis asks: *What priorities does my MOA currently contribute to?* Gap analysis asks: *Are there priorities my MOA *should* contribute to but currently does not?*</w:t>
      </w:r>
    </w:p>
    <w:p>
      <w:pPr>
        <w:spacing w:after="120" w:line="276" w:lineRule="auto"/>
      </w:pPr>
      <w:r>
        <w:rPr>
          <w:rFonts w:ascii="Inter" w:hAnsi="Inter" w:cs="Inter"/>
          <w:b w:val="0"/>
          <w:i w:val="0"/>
          <w:color w:val="2D2D2D"/>
          <w:sz w:val="22"/>
        </w:rPr>
        <w:t>Gap analysis serves two purposes:</w:t>
      </w:r>
    </w:p>
    <w:p>
      <w:pPr>
        <w:pStyle w:val="ListNumber"/>
      </w:pPr>
      <w:r>
        <w:rPr>
          <w:rFonts w:ascii="Inter" w:hAnsi="Inter" w:cs="Inter"/>
          <w:b w:val="0"/>
          <w:i w:val="0"/>
          <w:color w:val="2D2D2D"/>
          <w:sz w:val="22"/>
        </w:rPr>
      </w:r>
      <w:r>
        <w:rPr>
          <w:rFonts w:ascii="Inter" w:hAnsi="Inter" w:cs="Inter"/>
          <w:b/>
          <w:i w:val="0"/>
          <w:color w:val="2D2D2D"/>
          <w:sz w:val="22"/>
        </w:rPr>
        <w:t>Internal planning.</w:t>
      </w:r>
      <w:r>
        <w:rPr>
          <w:rFonts w:ascii="Inter" w:hAnsi="Inter" w:cs="Inter"/>
          <w:b w:val="0"/>
          <w:i w:val="0"/>
          <w:color w:val="2D2D2D"/>
          <w:sz w:val="22"/>
        </w:rPr>
        <w:t xml:space="preserve"> If there is a priority that your MOA has a mandate to address but your current programs do not cover, you may have a planning gap. Gap analysis surfaces that gap so you can decide whether to add programs, strengthen existing ones, or explicitly acknowledge the limitation.</w:t>
      </w:r>
    </w:p>
    <w:p>
      <w:pPr>
        <w:pStyle w:val="ListNumber"/>
      </w:pPr>
      <w:r>
        <w:rPr>
          <w:rFonts w:ascii="Inter" w:hAnsi="Inter" w:cs="Inter"/>
          <w:b w:val="0"/>
          <w:i w:val="0"/>
          <w:color w:val="2D2D2D"/>
          <w:sz w:val="22"/>
        </w:rPr>
      </w:r>
      <w:r>
        <w:rPr>
          <w:rFonts w:ascii="Inter" w:hAnsi="Inter" w:cs="Inter"/>
          <w:b/>
          <w:i w:val="0"/>
          <w:color w:val="2D2D2D"/>
          <w:sz w:val="22"/>
        </w:rPr>
        <w:t>Coordination.</w:t>
      </w:r>
      <w:r>
        <w:rPr>
          <w:rFonts w:ascii="Inter" w:hAnsi="Inter" w:cs="Inter"/>
          <w:b w:val="0"/>
          <w:i w:val="0"/>
          <w:color w:val="2D2D2D"/>
          <w:sz w:val="22"/>
        </w:rPr>
        <w:t xml:space="preserve"> If a priority is under-represented across all MOAs --- if no ministry, office, or agency is claiming responsibility for advancing it --- that is a government-wide gap that the Chief Minister's office and BPDA need to know about. Your gap analysis may trigger coordination conversations that result in clearer ownership.</w:t>
      </w:r>
    </w:p>
    <w:p>
      <w:pPr>
        <w:pStyle w:val="Heading2"/>
      </w:pPr>
      <w:r>
        <w:rPr>
          <w:rFonts w:ascii="Inter" w:hAnsi="Inter" w:cs="Inter"/>
          <w:b/>
          <w:i w:val="0"/>
          <w:color w:val="1B365D"/>
          <w:sz w:val="32"/>
        </w:rPr>
        <w:t>4.3 Step-by-Step Instructions</w:t>
      </w:r>
    </w:p>
    <w:p>
      <w:pPr>
        <w:pStyle w:val="Heading3"/>
      </w:pPr>
      <w:r>
        <w:rPr>
          <w:rFonts w:ascii="Inter" w:hAnsi="Inter" w:cs="Inter"/>
          <w:b/>
          <w:i w:val="0"/>
          <w:color w:val="2C5F7C"/>
          <w:sz w:val="26"/>
        </w:rPr>
        <w:t>Step 1: Review All 12 Priorities</w:t>
      </w:r>
    </w:p>
    <w:p>
      <w:pPr>
        <w:spacing w:after="120" w:line="276" w:lineRule="auto"/>
      </w:pPr>
      <w:r>
        <w:rPr>
          <w:rFonts w:ascii="Inter" w:hAnsi="Inter" w:cs="Inter"/>
          <w:b w:val="0"/>
          <w:i w:val="0"/>
          <w:color w:val="2D2D2D"/>
          <w:sz w:val="22"/>
        </w:rPr>
        <w:t>Before you begin mapping, read the full description of all twelve Priority Agenda items. Use the Priority Agenda Quick Reference in Appendix C of this guidebook.</w:t>
      </w:r>
    </w:p>
    <w:p>
      <w:pPr>
        <w:spacing w:after="120" w:line="276" w:lineRule="auto"/>
      </w:pPr>
      <w:r>
        <w:rPr>
          <w:rFonts w:ascii="Inter" w:hAnsi="Inter" w:cs="Inter"/>
          <w:b w:val="0"/>
          <w:i w:val="0"/>
          <w:color w:val="2D2D2D"/>
          <w:sz w:val="22"/>
        </w:rPr>
        <w:t>Pay attention to the *key focus areas* within each priority, not just the titles. Priority 3 is titled "Good Governance and Institutional Development" --- that sounds relevant to almost any MOA. But if you read the key focus areas (systems, capacity building, institutional strengthening), you will find that it points most directly to MOAs whose *core function* is building government capacity, not MOAs that incidentally have internal capacity-building activities.</w:t>
      </w:r>
    </w:p>
    <w:p>
      <w:pPr>
        <w:pStyle w:val="Heading3"/>
      </w:pPr>
      <w:r>
        <w:rPr>
          <w:rFonts w:ascii="Inter" w:hAnsi="Inter" w:cs="Inter"/>
          <w:b/>
          <w:i w:val="0"/>
          <w:color w:val="2C5F7C"/>
          <w:sz w:val="26"/>
        </w:rPr>
        <w:t>Step 2: Assess Your Mandate and Capacity for Each Priority</w:t>
      </w:r>
    </w:p>
    <w:p>
      <w:pPr>
        <w:spacing w:after="120" w:line="276" w:lineRule="auto"/>
      </w:pPr>
      <w:r>
        <w:rPr>
          <w:rFonts w:ascii="Inter" w:hAnsi="Inter" w:cs="Inter"/>
          <w:b w:val="0"/>
          <w:i w:val="0"/>
          <w:color w:val="2D2D2D"/>
          <w:sz w:val="22"/>
        </w:rPr>
        <w:t>Pull out the Legal Mandate Matrix from Chapter 2. For each of the twelve priorities, ask two questions:</w:t>
      </w:r>
    </w:p>
    <w:p>
      <w:pPr>
        <w:pStyle w:val="ListNumber"/>
      </w:pPr>
      <w:r>
        <w:rPr>
          <w:rFonts w:ascii="Inter" w:hAnsi="Inter" w:cs="Inter"/>
          <w:b w:val="0"/>
          <w:i w:val="0"/>
          <w:color w:val="2D2D2D"/>
          <w:sz w:val="22"/>
        </w:rPr>
      </w:r>
      <w:r>
        <w:rPr>
          <w:rFonts w:ascii="Inter" w:hAnsi="Inter" w:cs="Inter"/>
          <w:b/>
          <w:i w:val="0"/>
          <w:color w:val="2D2D2D"/>
          <w:sz w:val="22"/>
        </w:rPr>
        <w:t>Mandate question:</w:t>
      </w:r>
      <w:r>
        <w:rPr>
          <w:rFonts w:ascii="Inter" w:hAnsi="Inter" w:cs="Inter"/>
          <w:b w:val="0"/>
          <w:i w:val="0"/>
          <w:color w:val="2D2D2D"/>
          <w:sz w:val="22"/>
        </w:rPr>
        <w:t xml:space="preserve"> Does your MOA have a legal mandate that authorizes you to implement programs or take actions that advance this priority? If there is no mandate, there is no basis for alignment.</w:t>
      </w:r>
    </w:p>
    <w:p>
      <w:pPr>
        <w:pStyle w:val="ListNumber"/>
      </w:pPr>
      <w:r>
        <w:rPr>
          <w:rFonts w:ascii="Inter" w:hAnsi="Inter" w:cs="Inter"/>
          <w:b w:val="0"/>
          <w:i w:val="0"/>
          <w:color w:val="2D2D2D"/>
          <w:sz w:val="22"/>
        </w:rPr>
      </w:r>
      <w:r>
        <w:rPr>
          <w:rFonts w:ascii="Inter" w:hAnsi="Inter" w:cs="Inter"/>
          <w:b/>
          <w:i w:val="0"/>
          <w:color w:val="2D2D2D"/>
          <w:sz w:val="22"/>
        </w:rPr>
        <w:t>Capacity question:</w:t>
      </w:r>
      <w:r>
        <w:rPr>
          <w:rFonts w:ascii="Inter" w:hAnsi="Inter" w:cs="Inter"/>
          <w:b w:val="0"/>
          <w:i w:val="0"/>
          <w:color w:val="2D2D2D"/>
          <w:sz w:val="22"/>
        </w:rPr>
        <w:t xml:space="preserve"> Does your MOA have the organizational capacity --- personnel, budget, programs, systems --- to actually implement activities that advance this priority? A mandate without capacity produces aspirational alignment that cannot be implemented.</w:t>
      </w:r>
    </w:p>
    <w:p>
      <w:pPr>
        <w:spacing w:after="120" w:line="276" w:lineRule="auto"/>
      </w:pPr>
      <w:r>
        <w:rPr>
          <w:rFonts w:ascii="Inter" w:hAnsi="Inter" w:cs="Inter"/>
          <w:b w:val="0"/>
          <w:i w:val="0"/>
          <w:color w:val="2D2D2D"/>
          <w:sz w:val="22"/>
        </w:rPr>
        <w:t>Both questions must be answered affirmatively before you claim alignment. A mandate without capacity is an unfunded commitment. Capacity without a mandate is unauthorized activity.</w:t>
      </w:r>
    </w:p>
    <w:p>
      <w:pPr>
        <w:pStyle w:val="Heading3"/>
      </w:pPr>
      <w:r>
        <w:rPr>
          <w:rFonts w:ascii="Inter" w:hAnsi="Inter" w:cs="Inter"/>
          <w:b/>
          <w:i w:val="0"/>
          <w:color w:val="2C5F7C"/>
          <w:sz w:val="26"/>
        </w:rPr>
        <w:t>Step 3: Classify Your Contribution Type</w:t>
      </w:r>
    </w:p>
    <w:p>
      <w:pPr>
        <w:spacing w:after="120" w:line="276" w:lineRule="auto"/>
      </w:pPr>
      <w:r>
        <w:rPr>
          <w:rFonts w:ascii="Inter" w:hAnsi="Inter" w:cs="Inter"/>
          <w:b w:val="0"/>
          <w:i w:val="0"/>
          <w:color w:val="2D2D2D"/>
          <w:sz w:val="22"/>
        </w:rPr>
        <w:t>For each priority where you have answered yes to both questions in Step 2, classify your contribution:</w:t>
      </w:r>
    </w:p>
    <w:p>
      <w:pPr>
        <w:pStyle w:val="ListBullet"/>
      </w:pPr>
      <w:r>
        <w:rPr>
          <w:rFonts w:ascii="Inter" w:hAnsi="Inter" w:cs="Inter"/>
          <w:b w:val="0"/>
          <w:i w:val="0"/>
          <w:color w:val="2D2D2D"/>
          <w:sz w:val="22"/>
        </w:rPr>
      </w:r>
      <w:r>
        <w:rPr>
          <w:rFonts w:ascii="Inter" w:hAnsi="Inter" w:cs="Inter"/>
          <w:b/>
          <w:i w:val="0"/>
          <w:color w:val="2D2D2D"/>
          <w:sz w:val="22"/>
        </w:rPr>
        <w:t>Direct:</w:t>
      </w:r>
      <w:r>
        <w:rPr>
          <w:rFonts w:ascii="Inter" w:hAnsi="Inter" w:cs="Inter"/>
          <w:b w:val="0"/>
          <w:i w:val="0"/>
          <w:color w:val="2D2D2D"/>
          <w:sz w:val="22"/>
        </w:rPr>
        <w:t xml:space="preserve"> Your MOA is a primary implementor. Your programs are a central mechanism through which this priority advances. If your MOA's programs were removed, the priority would not be achieved.</w:t>
      </w:r>
    </w:p>
    <w:p>
      <w:pPr>
        <w:pStyle w:val="ListBullet"/>
      </w:pPr>
      <w:r>
        <w:rPr>
          <w:rFonts w:ascii="Inter" w:hAnsi="Inter" w:cs="Inter"/>
          <w:b w:val="0"/>
          <w:i w:val="0"/>
          <w:color w:val="2D2D2D"/>
          <w:sz w:val="22"/>
        </w:rPr>
      </w:r>
      <w:r>
        <w:rPr>
          <w:rFonts w:ascii="Inter" w:hAnsi="Inter" w:cs="Inter"/>
          <w:b/>
          <w:i w:val="0"/>
          <w:color w:val="2D2D2D"/>
          <w:sz w:val="22"/>
        </w:rPr>
        <w:t>Enabling:</w:t>
      </w:r>
      <w:r>
        <w:rPr>
          <w:rFonts w:ascii="Inter" w:hAnsi="Inter" w:cs="Inter"/>
          <w:b w:val="0"/>
          <w:i w:val="0"/>
          <w:color w:val="2D2D2D"/>
          <w:sz w:val="22"/>
        </w:rPr>
        <w:t xml:space="preserve"> Your MOA creates conditions, systems, or inputs that support other implementors. Your removal would make implementation harder but not impossible on its own.</w:t>
      </w:r>
    </w:p>
    <w:p>
      <w:pPr>
        <w:spacing w:after="120" w:line="276" w:lineRule="auto"/>
      </w:pPr>
      <w:r>
        <w:rPr>
          <w:rFonts w:ascii="Inter" w:hAnsi="Inter" w:cs="Inter"/>
          <w:b w:val="0"/>
          <w:i w:val="0"/>
          <w:color w:val="2D2D2D"/>
          <w:sz w:val="22"/>
        </w:rPr>
        <w:t>Be conservative with "Direct." Most MOAs will have two to four direct contributions and several enabling contributions. If you find yourself classifying more than four or five contributions as Direct, revisit your classifications.</w:t>
      </w:r>
    </w:p>
    <w:p>
      <w:pPr>
        <w:pStyle w:val="Heading3"/>
      </w:pPr>
      <w:r>
        <w:rPr>
          <w:rFonts w:ascii="Inter" w:hAnsi="Inter" w:cs="Inter"/>
          <w:b/>
          <w:i w:val="0"/>
          <w:color w:val="2C5F7C"/>
          <w:sz w:val="26"/>
        </w:rPr>
        <w:t>Step 4: Write a Specific Contribution Description</w:t>
      </w:r>
    </w:p>
    <w:p>
      <w:pPr>
        <w:spacing w:after="120" w:line="276" w:lineRule="auto"/>
      </w:pPr>
      <w:r>
        <w:rPr>
          <w:rFonts w:ascii="Inter" w:hAnsi="Inter" w:cs="Inter"/>
          <w:b w:val="0"/>
          <w:i w:val="0"/>
          <w:color w:val="2D2D2D"/>
          <w:sz w:val="22"/>
        </w:rPr>
        <w:t>For each priority you have identified --- direct and enabling --- write a contribution description. The description should answer: *What specifically does your MOA do, and through what mechanism, that advances this priority?*</w:t>
      </w:r>
    </w:p>
    <w:p>
      <w:pPr>
        <w:spacing w:after="120" w:line="276" w:lineRule="auto"/>
      </w:pPr>
      <w:r>
        <w:rPr>
          <w:rFonts w:ascii="Inter" w:hAnsi="Inter" w:cs="Inter"/>
          <w:b w:val="0"/>
          <w:i w:val="0"/>
          <w:color w:val="2D2D2D"/>
          <w:sz w:val="22"/>
        </w:rPr>
        <w:t>A strong contribution description:</w:t>
      </w:r>
    </w:p>
    <w:p>
      <w:pPr>
        <w:pStyle w:val="ListBullet"/>
      </w:pPr>
      <w:r>
        <w:rPr>
          <w:rFonts w:ascii="Inter" w:hAnsi="Inter" w:cs="Inter"/>
          <w:b w:val="0"/>
          <w:i w:val="0"/>
          <w:color w:val="2D2D2D"/>
          <w:sz w:val="22"/>
        </w:rPr>
        <w:t>References a specific mandate provision (by BAA number, section, or authority)</w:t>
      </w:r>
    </w:p>
    <w:p>
      <w:pPr>
        <w:pStyle w:val="ListBullet"/>
      </w:pPr>
      <w:r>
        <w:rPr>
          <w:rFonts w:ascii="Inter" w:hAnsi="Inter" w:cs="Inter"/>
          <w:b w:val="0"/>
          <w:i w:val="0"/>
          <w:color w:val="2D2D2D"/>
          <w:sz w:val="22"/>
        </w:rPr>
        <w:t>Identifies a specific program, function, or activity your MOA carries out</w:t>
      </w:r>
    </w:p>
    <w:p>
      <w:pPr>
        <w:pStyle w:val="ListBullet"/>
      </w:pPr>
      <w:r>
        <w:rPr>
          <w:rFonts w:ascii="Inter" w:hAnsi="Inter" w:cs="Inter"/>
          <w:b w:val="0"/>
          <w:i w:val="0"/>
          <w:color w:val="2D2D2D"/>
          <w:sz w:val="22"/>
        </w:rPr>
        <w:t>Explains the mechanism by which that activity advances the priority</w:t>
      </w:r>
    </w:p>
    <w:p>
      <w:pPr>
        <w:pStyle w:val="ListBullet"/>
      </w:pPr>
      <w:r>
        <w:rPr>
          <w:rFonts w:ascii="Inter" w:hAnsi="Inter" w:cs="Inter"/>
          <w:b w:val="0"/>
          <w:i w:val="0"/>
          <w:color w:val="2D2D2D"/>
          <w:sz w:val="22"/>
        </w:rPr>
        <w:t>Is specific enough that it could not apply to any other MOA</w:t>
      </w:r>
    </w:p>
    <w:p>
      <w:pPr>
        <w:spacing w:after="120" w:line="276" w:lineRule="auto"/>
      </w:pPr>
      <w:r>
        <w:rPr>
          <w:rFonts w:ascii="Inter" w:hAnsi="Inter" w:cs="Inter"/>
          <w:b w:val="0"/>
          <w:i w:val="0"/>
          <w:color w:val="2D2D2D"/>
          <w:sz w:val="22"/>
        </w:rPr>
        <w:t>A weak contribution description says: "The MOA contributes to this priority through its programs and activities." That is not a contribution description --- it is a placeholder. Replace it with substance before the plan is finalized.</w:t>
      </w:r>
    </w:p>
    <w:p>
      <w:pPr>
        <w:pStyle w:val="Heading3"/>
      </w:pPr>
      <w:r>
        <w:rPr>
          <w:rFonts w:ascii="Inter" w:hAnsi="Inter" w:cs="Inter"/>
          <w:b/>
          <w:i w:val="0"/>
          <w:color w:val="2C5F7C"/>
          <w:sz w:val="26"/>
        </w:rPr>
        <w:t>Step 5: Conduct Gap Analysis</w:t>
      </w:r>
    </w:p>
    <w:p>
      <w:pPr>
        <w:spacing w:after="120" w:line="276" w:lineRule="auto"/>
      </w:pPr>
      <w:r>
        <w:rPr>
          <w:rFonts w:ascii="Inter" w:hAnsi="Inter" w:cs="Inter"/>
          <w:b w:val="0"/>
          <w:i w:val="0"/>
          <w:color w:val="2D2D2D"/>
          <w:sz w:val="22"/>
        </w:rPr>
        <w:t>Once you have completed your alignment mapping, turn the exercise around. Review all twelve priorities and ask:</w:t>
      </w:r>
    </w:p>
    <w:p>
      <w:pPr>
        <w:pStyle w:val="ListBullet"/>
      </w:pPr>
      <w:r>
        <w:rPr>
          <w:rFonts w:ascii="Inter" w:hAnsi="Inter" w:cs="Inter"/>
          <w:b w:val="0"/>
          <w:i w:val="0"/>
          <w:color w:val="2D2D2D"/>
          <w:sz w:val="22"/>
        </w:rPr>
      </w:r>
      <w:r>
        <w:rPr>
          <w:rFonts w:ascii="Inter" w:hAnsi="Inter" w:cs="Inter"/>
          <w:b/>
          <w:i w:val="0"/>
          <w:color w:val="2D2D2D"/>
          <w:sz w:val="22"/>
        </w:rPr>
        <w:t>Are there priorities your MOA has a mandate to address but currently does not?</w:t>
      </w:r>
      <w:r>
        <w:rPr>
          <w:rFonts w:ascii="Inter" w:hAnsi="Inter" w:cs="Inter"/>
          <w:b w:val="0"/>
          <w:i w:val="0"/>
          <w:color w:val="2D2D2D"/>
          <w:sz w:val="22"/>
        </w:rPr>
        <w:t xml:space="preserve"> If yes, this is an internal gap. Consider whether existing programs should be reoriented, new programs developed, or the gap acknowledged and explained.</w:t>
      </w:r>
    </w:p>
    <w:p>
      <w:pPr>
        <w:pStyle w:val="ListBullet"/>
      </w:pPr>
      <w:r>
        <w:rPr>
          <w:rFonts w:ascii="Inter" w:hAnsi="Inter" w:cs="Inter"/>
          <w:b w:val="0"/>
          <w:i w:val="0"/>
          <w:color w:val="2D2D2D"/>
          <w:sz w:val="22"/>
        </w:rPr>
      </w:r>
      <w:r>
        <w:rPr>
          <w:rFonts w:ascii="Inter" w:hAnsi="Inter" w:cs="Inter"/>
          <w:b/>
          <w:i w:val="0"/>
          <w:color w:val="2D2D2D"/>
          <w:sz w:val="22"/>
        </w:rPr>
        <w:t>Are there priorities where your MOA's mandate gives you a unique capacity that no other MOA has?</w:t>
      </w:r>
      <w:r>
        <w:rPr>
          <w:rFonts w:ascii="Inter" w:hAnsi="Inter" w:cs="Inter"/>
          <w:b w:val="0"/>
          <w:i w:val="0"/>
          <w:color w:val="2D2D2D"/>
          <w:sz w:val="22"/>
        </w:rPr>
        <w:t xml:space="preserve"> If a priority is under-represented across the government and your MOA has relevant authority, that is a coordination signal worth raising with BPDA.</w:t>
      </w:r>
    </w:p>
    <w:p>
      <w:pPr>
        <w:pStyle w:val="ListBullet"/>
      </w:pPr>
      <w:r>
        <w:rPr>
          <w:rFonts w:ascii="Inter" w:hAnsi="Inter" w:cs="Inter"/>
          <w:b w:val="0"/>
          <w:i w:val="0"/>
          <w:color w:val="2D2D2D"/>
          <w:sz w:val="22"/>
        </w:rPr>
      </w:r>
      <w:r>
        <w:rPr>
          <w:rFonts w:ascii="Inter" w:hAnsi="Inter" w:cs="Inter"/>
          <w:b/>
          <w:i w:val="0"/>
          <w:color w:val="2D2D2D"/>
          <w:sz w:val="22"/>
        </w:rPr>
        <w:t>Are there priorities you were tempted to claim but cannot justify with mandate and capacity?</w:t>
      </w:r>
      <w:r>
        <w:rPr>
          <w:rFonts w:ascii="Inter" w:hAnsi="Inter" w:cs="Inter"/>
          <w:b w:val="0"/>
          <w:i w:val="0"/>
          <w:color w:val="2D2D2D"/>
          <w:sz w:val="22"/>
        </w:rPr>
        <w:t xml:space="preserve"> If yes, leave them unclaimed and note that they are outside your MOA's scope.</w:t>
      </w:r>
    </w:p>
    <w:p>
      <w:pPr>
        <w:spacing w:after="120" w:line="276" w:lineRule="auto"/>
      </w:pPr>
      <w:r>
        <w:rPr>
          <w:rFonts w:ascii="Inter" w:hAnsi="Inter" w:cs="Inter"/>
          <w:b w:val="0"/>
          <w:i w:val="0"/>
          <w:color w:val="2D2D2D"/>
          <w:sz w:val="22"/>
        </w:rPr>
        <w:t>Document your gap analysis findings in writing. Even if your gaps do not result in new programs, the analysis demonstrates that you have thought systematically about your MOA's positioning within the broader Priority Agenda.</w:t>
      </w:r>
    </w:p>
    <w:p>
      <w:pPr>
        <w:pStyle w:val="Heading3"/>
      </w:pPr>
      <w:r>
        <w:rPr>
          <w:rFonts w:ascii="Inter" w:hAnsi="Inter" w:cs="Inter"/>
          <w:b/>
          <w:i w:val="0"/>
          <w:color w:val="2C5F7C"/>
          <w:sz w:val="26"/>
        </w:rPr>
        <w:t>Step 6: Complete the Priority Agenda Alignment Sheet</w:t>
      </w:r>
    </w:p>
    <w:p>
      <w:pPr>
        <w:spacing w:after="120" w:line="276" w:lineRule="auto"/>
      </w:pPr>
      <w:r>
        <w:rPr>
          <w:rFonts w:ascii="Inter" w:hAnsi="Inter" w:cs="Inter"/>
          <w:b w:val="0"/>
          <w:i w:val="0"/>
          <w:color w:val="2D2D2D"/>
          <w:sz w:val="22"/>
        </w:rPr>
        <w:t>Use the template in Section 4.7 to consolidate your findings. Complete one row for each priority your MOA contributes to --- direct and enabling. Leave priorities you do not contribute to blank. Do not add rows claiming alignment you cannot justify.</w:t>
      </w:r>
    </w:p>
    <w:p>
      <w:pPr>
        <w:spacing w:after="120" w:line="276" w:lineRule="auto"/>
      </w:pPr>
      <w:r>
        <w:rPr>
          <w:rFonts w:ascii="Inter" w:hAnsi="Inter" w:cs="Inter"/>
          <w:b w:val="0"/>
          <w:i w:val="0"/>
          <w:color w:val="2D2D2D"/>
          <w:sz w:val="22"/>
        </w:rPr>
        <w:t>After completing the sheet, review it as a whole: Do your claimed alignments form a coherent picture of your MOA's priorities? Do the contribution types (direct vs. enabling) make sense given your MOA's mandate? Are the descriptions specific enough to survive a line-by-line BPDA review?</w:t>
      </w:r>
    </w:p>
    <w:p>
      <w:pPr>
        <w:pStyle w:val="Heading2"/>
      </w:pPr>
      <w:r>
        <w:rPr>
          <w:rFonts w:ascii="Inter" w:hAnsi="Inter" w:cs="Inter"/>
          <w:b/>
          <w:i w:val="0"/>
          <w:color w:val="1B365D"/>
          <w:sz w:val="32"/>
        </w:rPr>
        <w:t>4.4 Worked Example: Office for Other Bangsamoro Communities (OOBC)</w:t>
      </w:r>
    </w:p>
    <w:p>
      <w:pPr>
        <w:spacing w:after="120" w:line="276" w:lineRule="auto"/>
      </w:pPr>
      <w:r>
        <w:rPr>
          <w:rFonts w:ascii="Inter" w:hAnsi="Inter" w:cs="Inter"/>
          <w:b w:val="0"/>
          <w:i w:val="0"/>
          <w:color w:val="2D2D2D"/>
          <w:sz w:val="22"/>
        </w:rPr>
        <w:t>Continuing with OOBC from Chapters 2 and 3, here is how Priority Agenda alignment works in practice.</w:t>
      </w:r>
    </w:p>
    <w:p>
      <w:pPr>
        <w:pStyle w:val="Heading3"/>
      </w:pPr>
      <w:r>
        <w:rPr>
          <w:rFonts w:ascii="Inter" w:hAnsi="Inter" w:cs="Inter"/>
          <w:b/>
          <w:i w:val="0"/>
          <w:color w:val="2C5F7C"/>
          <w:sz w:val="26"/>
        </w:rPr>
        <w:t>OOBC's Mandate and Relevant Priorities</w:t>
      </w:r>
    </w:p>
    <w:p>
      <w:pPr>
        <w:spacing w:after="120" w:line="276" w:lineRule="auto"/>
      </w:pPr>
      <w:r>
        <w:rPr>
          <w:rFonts w:ascii="Inter" w:hAnsi="Inter" w:cs="Inter"/>
          <w:b w:val="0"/>
          <w:i w:val="0"/>
          <w:color w:val="2D2D2D"/>
          <w:sz w:val="22"/>
        </w:rPr>
        <w:t>OOBC's mandate under the BOL (Article VI, Section 12) centers on ensuring equitable access to government services for Bangsamoro communities residing outside the BARMM core territory. OOBC is an Office attached to the Office of the Chief Minister (OCM), operating from Cotabato City with field presence in Davao, Sultan Kudarat, and Pagadian. Applying the two-question test from Step 2:</w:t>
      </w:r>
    </w:p>
    <w:p>
      <w:pPr>
        <w:spacing w:after="120" w:line="276" w:lineRule="auto"/>
      </w:pPr>
      <w:r>
        <w:rPr>
          <w:rFonts w:ascii="Inter" w:hAnsi="Inter" w:cs="Inter"/>
          <w:b w:val="0"/>
          <w:i w:val="0"/>
          <w:color w:val="2D2D2D"/>
          <w:sz w:val="22"/>
        </w:rPr>
        <w:t>OOBC has a clear mandate *and* operational capacity for the following priorities:</w:t>
      </w:r>
    </w:p>
    <w:p>
      <w:pPr>
        <w:pStyle w:val="ListBullet"/>
      </w:pPr>
      <w:r>
        <w:rPr>
          <w:rFonts w:ascii="Inter" w:hAnsi="Inter" w:cs="Inter"/>
          <w:b w:val="0"/>
          <w:i w:val="0"/>
          <w:color w:val="2D2D2D"/>
          <w:sz w:val="22"/>
        </w:rPr>
      </w:r>
      <w:r>
        <w:rPr>
          <w:rFonts w:ascii="Inter" w:hAnsi="Inter" w:cs="Inter"/>
          <w:b/>
          <w:i w:val="0"/>
          <w:color w:val="2D2D2D"/>
          <w:sz w:val="22"/>
        </w:rPr>
        <w:t>Priority 12 (Inter-governmental Relations):</w:t>
      </w:r>
      <w:r>
        <w:rPr>
          <w:rFonts w:ascii="Inter" w:hAnsi="Inter" w:cs="Inter"/>
          <w:b w:val="0"/>
          <w:i w:val="0"/>
          <w:color w:val="2D2D2D"/>
          <w:sz w:val="22"/>
        </w:rPr>
        <w:t xml:space="preserve"> OOBC's core institutional function is inter-governmental coordination. The office serves as the bridge between the Bangsamoro Government and LGUs nationwide --- provinces, cities, and municipalities where Other Bangsamoro Communities (OBCs) reside. OOBC coordinates with national government agencies (particularly DILG) and maintains linkages with LGUs across Caraga, Region 10, Palawan, and various Mindanao provinces. This is OOBC's primary mandate.</w:t>
      </w:r>
    </w:p>
    <w:p>
      <w:pPr>
        <w:pStyle w:val="ListBullet"/>
      </w:pPr>
      <w:r>
        <w:rPr>
          <w:rFonts w:ascii="Inter" w:hAnsi="Inter" w:cs="Inter"/>
          <w:b w:val="0"/>
          <w:i w:val="0"/>
          <w:color w:val="2D2D2D"/>
          <w:sz w:val="22"/>
        </w:rPr>
      </w:r>
      <w:r>
        <w:rPr>
          <w:rFonts w:ascii="Inter" w:hAnsi="Inter" w:cs="Inter"/>
          <w:b/>
          <w:i w:val="0"/>
          <w:color w:val="2D2D2D"/>
          <w:sz w:val="22"/>
        </w:rPr>
        <w:t>Priority 5 (Social Services):</w:t>
      </w:r>
      <w:r>
        <w:rPr>
          <w:rFonts w:ascii="Inter" w:hAnsi="Inter" w:cs="Inter"/>
          <w:b w:val="0"/>
          <w:i w:val="0"/>
          <w:color w:val="2D2D2D"/>
          <w:sz w:val="22"/>
        </w:rPr>
        <w:t xml:space="preserve"> OOBC facilitates access to social services --- health, education, social protection --- for Bangsamoro communities outside BARMM. These communities often fall through the cracks of both BARMM and host-region service delivery systems. OOBC coordinates with MSSD, MBHTE, and other service-delivery ministries to extend coverage beyond BARMM's territorial boundaries.</w:t>
      </w:r>
    </w:p>
    <w:p>
      <w:pPr>
        <w:pStyle w:val="ListBullet"/>
      </w:pPr>
      <w:r>
        <w:rPr>
          <w:rFonts w:ascii="Inter" w:hAnsi="Inter" w:cs="Inter"/>
          <w:b w:val="0"/>
          <w:i w:val="0"/>
          <w:color w:val="2D2D2D"/>
          <w:sz w:val="22"/>
        </w:rPr>
      </w:r>
      <w:r>
        <w:rPr>
          <w:rFonts w:ascii="Inter" w:hAnsi="Inter" w:cs="Inter"/>
          <w:b/>
          <w:i w:val="0"/>
          <w:color w:val="2D2D2D"/>
          <w:sz w:val="22"/>
        </w:rPr>
        <w:t>Priority 3 (Good Governance and Institutional Development):</w:t>
      </w:r>
      <w:r>
        <w:rPr>
          <w:rFonts w:ascii="Inter" w:hAnsi="Inter" w:cs="Inter"/>
          <w:b w:val="0"/>
          <w:i w:val="0"/>
          <w:color w:val="2D2D2D"/>
          <w:sz w:val="22"/>
        </w:rPr>
        <w:t xml:space="preserve"> OOBC contributes directly to institutional strengthening by building coordination mechanisms that connect a young Bangsamoro Government to its constituents outside the core territory. This includes developing data systems for community profiling, establishing coordination protocols with LGUs and NGAs, and strengthening OOBC's own institutional capacity as a still-maturing office with approximately 25 staff.</w:t>
      </w:r>
    </w:p>
    <w:p>
      <w:pPr>
        <w:pStyle w:val="ListBullet"/>
      </w:pPr>
      <w:r>
        <w:rPr>
          <w:rFonts w:ascii="Inter" w:hAnsi="Inter" w:cs="Inter"/>
          <w:b w:val="0"/>
          <w:i w:val="0"/>
          <w:color w:val="2D2D2D"/>
          <w:sz w:val="22"/>
        </w:rPr>
      </w:r>
      <w:r>
        <w:rPr>
          <w:rFonts w:ascii="Inter" w:hAnsi="Inter" w:cs="Inter"/>
          <w:b/>
          <w:i w:val="0"/>
          <w:color w:val="2D2D2D"/>
          <w:sz w:val="22"/>
        </w:rPr>
        <w:t>Priority 1 (Moral Governance):</w:t>
      </w:r>
      <w:r>
        <w:rPr>
          <w:rFonts w:ascii="Inter" w:hAnsi="Inter" w:cs="Inter"/>
          <w:b w:val="0"/>
          <w:i w:val="0"/>
          <w:color w:val="2D2D2D"/>
          <w:sz w:val="22"/>
        </w:rPr>
        <w:t xml:space="preserve"> OOBC contributes in an enabling role by promoting inclusive governance that does not abandon communities simply because they live beyond BARMM's geographic boundaries. Ensuring equitable treatment of dispersed communities reflects the moral governance principle that the Bangsamoro Government serves all Bangsamoro people, not only those within the core territory.</w:t>
      </w:r>
    </w:p>
    <w:p>
      <w:pPr>
        <w:pStyle w:val="ListBullet"/>
      </w:pPr>
      <w:r>
        <w:rPr>
          <w:rFonts w:ascii="Inter" w:hAnsi="Inter" w:cs="Inter"/>
          <w:b w:val="0"/>
          <w:i w:val="0"/>
          <w:color w:val="2D2D2D"/>
          <w:sz w:val="22"/>
        </w:rPr>
      </w:r>
      <w:r>
        <w:rPr>
          <w:rFonts w:ascii="Inter" w:hAnsi="Inter" w:cs="Inter"/>
          <w:b/>
          <w:i w:val="0"/>
          <w:color w:val="2D2D2D"/>
          <w:sz w:val="22"/>
        </w:rPr>
        <w:t>Priority 10 (Youth Development):</w:t>
      </w:r>
      <w:r>
        <w:rPr>
          <w:rFonts w:ascii="Inter" w:hAnsi="Inter" w:cs="Inter"/>
          <w:b w:val="0"/>
          <w:i w:val="0"/>
          <w:color w:val="2D2D2D"/>
          <w:sz w:val="22"/>
        </w:rPr>
        <w:t xml:space="preserve"> OOBC contributes in an enabling role through youth programs targeting OBC communities. Young Bangsamoro people in Caraga, Palawan, or Davao often have limited connection to BARMM's youth development programs. OOBC's community profiling and capacity-building activities create pathways for these youth to access opportunities.</w:t>
      </w:r>
    </w:p>
    <w:p>
      <w:pPr>
        <w:pStyle w:val="ListBullet"/>
      </w:pPr>
      <w:r>
        <w:rPr>
          <w:rFonts w:ascii="Inter" w:hAnsi="Inter" w:cs="Inter"/>
          <w:b w:val="0"/>
          <w:i w:val="0"/>
          <w:color w:val="2D2D2D"/>
          <w:sz w:val="22"/>
        </w:rPr>
      </w:r>
      <w:r>
        <w:rPr>
          <w:rFonts w:ascii="Inter" w:hAnsi="Inter" w:cs="Inter"/>
          <w:b/>
          <w:i w:val="0"/>
          <w:color w:val="2D2D2D"/>
          <w:sz w:val="22"/>
        </w:rPr>
        <w:t>Priority 11 (Women Empowerment):</w:t>
      </w:r>
      <w:r>
        <w:rPr>
          <w:rFonts w:ascii="Inter" w:hAnsi="Inter" w:cs="Inter"/>
          <w:b w:val="0"/>
          <w:i w:val="0"/>
          <w:color w:val="2D2D2D"/>
          <w:sz w:val="22"/>
        </w:rPr>
        <w:t xml:space="preserve"> OOBC contributes in an enabling role through its vulnerable sector support programs, which include women in OBC communities. Women in dispersed Bangsamoro communities face compounded marginalization --- geographic isolation from BARMM services combined with gender-based barriers. OOBC's coordination work creates access points for women's programs delivered by MSSD and other ministries.</w:t>
      </w:r>
    </w:p>
    <w:p>
      <w:pPr>
        <w:pStyle w:val="Heading3"/>
      </w:pPr>
      <w:r>
        <w:rPr>
          <w:rFonts w:ascii="Inter" w:hAnsi="Inter" w:cs="Inter"/>
          <w:b/>
          <w:i w:val="0"/>
          <w:color w:val="2C5F7C"/>
          <w:sz w:val="26"/>
        </w:rPr>
        <w:t>Priorities OOBC Does Not Contribute To</w:t>
      </w:r>
    </w:p>
    <w:p>
      <w:pPr>
        <w:spacing w:after="120" w:line="276" w:lineRule="auto"/>
      </w:pPr>
      <w:r>
        <w:rPr>
          <w:rFonts w:ascii="Inter" w:hAnsi="Inter" w:cs="Inter"/>
          <w:b w:val="0"/>
          <w:i w:val="0"/>
          <w:color w:val="2D2D2D"/>
          <w:sz w:val="22"/>
        </w:rPr>
        <w:t>Several priorities fall outside OOBC's mandate and capacity. OOBC does not manage natural resources (Priority 8), does not build physical infrastructure (Priority 7), does not regulate economic activity or attract investment (Priority 4), and does not manage government revenue systems (Priority 6). OOBC's mandate is coordination and access facilitation for communities outside BARMM --- it does not directly implement the substantive programs of sector ministries.</w:t>
      </w:r>
    </w:p>
    <w:p>
      <w:pPr>
        <w:spacing w:after="120" w:line="276" w:lineRule="auto"/>
      </w:pPr>
      <w:r>
        <w:rPr>
          <w:rFonts w:ascii="Inter" w:hAnsi="Inter" w:cs="Inter"/>
          <w:b w:val="0"/>
          <w:i w:val="0"/>
          <w:color w:val="2D2D2D"/>
          <w:sz w:val="22"/>
        </w:rPr>
        <w:t>Claiming alignment with these priorities without mandate or capacity would not be credible. OOBC's plan is stronger for acknowledging that it is a coordination office, not a service-delivery ministry.</w:t>
      </w:r>
    </w:p>
    <w:p>
      <w:pPr>
        <w:pStyle w:val="Heading3"/>
      </w:pPr>
      <w:r>
        <w:rPr>
          <w:rFonts w:ascii="Inter" w:hAnsi="Inter" w:cs="Inter"/>
          <w:b/>
          <w:i w:val="0"/>
          <w:color w:val="2C5F7C"/>
          <w:sz w:val="26"/>
        </w:rPr>
        <w:t>Gap Analysis for OOBC</w:t>
      </w:r>
    </w:p>
    <w:p>
      <w:pPr>
        <w:spacing w:after="120" w:line="276" w:lineRule="auto"/>
      </w:pPr>
      <w:r>
        <w:rPr>
          <w:rFonts w:ascii="Inter" w:hAnsi="Inter" w:cs="Inter"/>
          <w:b w:val="0"/>
          <w:i w:val="0"/>
          <w:color w:val="2D2D2D"/>
          <w:sz w:val="22"/>
        </w:rPr>
        <w:t>The gap analysis reveals one important consideration: Priority 9 (Food Security and Agriculture). Many OBC communities, particularly in Mindanao provinces and Caraga, include farming and fishing households. OOBC has no direct agricultural mandate, but its community profiling data could identify food-insecure OBC communities and its coordination mechanisms could link those communities to MAFAR programs. Currently, OOBC does not explicitly frame any of its coordination activities as food security contributions.</w:t>
      </w:r>
    </w:p>
    <w:p>
      <w:pPr>
        <w:spacing w:after="120" w:line="276" w:lineRule="auto"/>
      </w:pPr>
      <w:r>
        <w:rPr>
          <w:rFonts w:ascii="Inter" w:hAnsi="Inter" w:cs="Inter"/>
          <w:b w:val="0"/>
          <w:i w:val="0"/>
          <w:color w:val="2D2D2D"/>
          <w:sz w:val="22"/>
        </w:rPr>
        <w:t>The gap analysis finding is: OOBC's community profiling and inter-governmental coordination functions could serve as a bridge connecting OBC farming and fishing communities to MAFAR's agricultural support programs, but this linkage has not been formalized. The recommendation is not to create a new agricultural program --- OOBC lacks the mandate and capacity for that --- but to include food security as a coordination agenda item when OOBC engages with MAFAR and with LGUs in areas where OBC communities depend on farming and fisheries.</w:t>
      </w:r>
    </w:p>
    <w:p>
      <w:pPr>
        <w:pStyle w:val="Heading3"/>
      </w:pPr>
      <w:r>
        <w:rPr>
          <w:rFonts w:ascii="Inter" w:hAnsi="Inter" w:cs="Inter"/>
          <w:b/>
          <w:i w:val="0"/>
          <w:color w:val="2C5F7C"/>
          <w:sz w:val="26"/>
        </w:rPr>
        <w:t>Contribution Descriptions</w:t>
      </w:r>
    </w:p>
    <w:p>
      <w:pPr>
        <w:spacing w:after="120" w:line="276" w:lineRule="auto"/>
      </w:pPr>
      <w:r>
        <w:rPr>
          <w:rFonts w:ascii="Inter" w:hAnsi="Inter" w:cs="Inter"/>
          <w:b w:val="0"/>
          <w:i w:val="0"/>
          <w:color w:val="2D2D2D"/>
          <w:sz w:val="22"/>
        </w:rPr>
      </w:r>
      <w:r>
        <w:rPr>
          <w:rFonts w:ascii="Inter" w:hAnsi="Inter" w:cs="Inter"/>
          <w:b/>
          <w:i w:val="0"/>
          <w:color w:val="2D2D2D"/>
          <w:sz w:val="22"/>
        </w:rPr>
        <w:t>Priority 12 — Direct: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"Through its mandate to ensure equitable access for Bangsamoro communities outside the BARMM core territory (BOL, Article VI, Section 12), OOBC directly implements Priority 12 (Inter-governmental Relations) by maintaining coordination linkages with LGUs nationwide where OBCs reside, coordinating with national government agencies (particularly DILG) on matters affecting Bangsamoro communities in their jurisdictions, and serving as the institutional bridge between the Bangsamoro Government and host local governments across Caraga, Region 10, Palawan, and various Mindanao provinces."</w:t>
      </w:r>
    </w:p>
    <w:p>
      <w:pPr>
        <w:spacing w:after="120" w:line="276" w:lineRule="auto"/>
      </w:pPr>
      <w:r>
        <w:rPr>
          <w:rFonts w:ascii="Inter" w:hAnsi="Inter" w:cs="Inter"/>
          <w:b w:val="0"/>
          <w:i w:val="0"/>
          <w:color w:val="2D2D2D"/>
          <w:sz w:val="22"/>
        </w:rPr>
      </w:r>
      <w:r>
        <w:rPr>
          <w:rFonts w:ascii="Inter" w:hAnsi="Inter" w:cs="Inter"/>
          <w:b/>
          <w:i w:val="0"/>
          <w:color w:val="2D2D2D"/>
          <w:sz w:val="22"/>
        </w:rPr>
        <w:t>Priority 5 — Direct: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"Through its mandate to facilitate access to government services for Bangsamoro people outside BARMM (BOL, Article VI, Section 12), OOBC directly implements Priority 5 (Social Services) by coordinating with MSSD, MBHTE, and other service-delivery ministries to extend social service coverage to OBC communities that fall outside BARMM's territorial service delivery systems, and by identifying underserved populations through community profiling and assessment activities."</w:t>
      </w:r>
    </w:p>
    <w:p>
      <w:pPr>
        <w:spacing w:after="120" w:line="276" w:lineRule="auto"/>
      </w:pPr>
      <w:r>
        <w:rPr>
          <w:rFonts w:ascii="Inter" w:hAnsi="Inter" w:cs="Inter"/>
          <w:b w:val="0"/>
          <w:i w:val="0"/>
          <w:color w:val="2D2D2D"/>
          <w:sz w:val="22"/>
        </w:rPr>
      </w:r>
      <w:r>
        <w:rPr>
          <w:rFonts w:ascii="Inter" w:hAnsi="Inter" w:cs="Inter"/>
          <w:b/>
          <w:i w:val="0"/>
          <w:color w:val="2D2D2D"/>
          <w:sz w:val="22"/>
        </w:rPr>
        <w:t>Priority 3 — Direct:</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"Through its institutional development activities (BOL, Article VI, Section 12), OOBC directly contributes to Priority 3 (Good Governance and Institutional Development) by building and maintaining data systems for community profiling, establishing coordination protocols between the Bangsamoro Government and host LGUs/NGAs, and strengthening institutional capacity for governance that reaches beyond the BARMM core territory."</w:t>
      </w:r>
    </w:p>
    <w:p>
      <w:pPr>
        <w:spacing w:after="120" w:line="276" w:lineRule="auto"/>
      </w:pPr>
      <w:r>
        <w:rPr>
          <w:rFonts w:ascii="Inter" w:hAnsi="Inter" w:cs="Inter"/>
          <w:b w:val="0"/>
          <w:i w:val="0"/>
          <w:color w:val="2D2D2D"/>
          <w:sz w:val="22"/>
        </w:rPr>
      </w:r>
      <w:r>
        <w:rPr>
          <w:rFonts w:ascii="Inter" w:hAnsi="Inter" w:cs="Inter"/>
          <w:b/>
          <w:i w:val="0"/>
          <w:color w:val="2D2D2D"/>
          <w:sz w:val="22"/>
        </w:rPr>
        <w:t>Priority 1 — Enabling:</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"Through its mandate to serve dispersed Bangsamoro communities (BOL, Article VI, Section 12), OOBC contributes in an enabling role to Priority 1 (Moral Governance) by ensuring that the Bangsamoro Government's commitment to inclusive governance extends to communities outside the core territory --- demonstrating that moral governance means no Bangsamoro community is left behind regardless of geographic location."</w:t>
      </w:r>
    </w:p>
    <w:p>
      <w:pPr>
        <w:spacing w:after="120" w:line="276" w:lineRule="auto"/>
      </w:pPr>
      <w:r>
        <w:rPr>
          <w:rFonts w:ascii="Inter" w:hAnsi="Inter" w:cs="Inter"/>
          <w:b w:val="0"/>
          <w:i w:val="0"/>
          <w:color w:val="2D2D2D"/>
          <w:sz w:val="22"/>
        </w:rPr>
      </w:r>
      <w:r>
        <w:rPr>
          <w:rFonts w:ascii="Inter" w:hAnsi="Inter" w:cs="Inter"/>
          <w:b/>
          <w:i w:val="0"/>
          <w:color w:val="2D2D2D"/>
          <w:sz w:val="22"/>
        </w:rPr>
        <w:t>Priority 10 — Enabling:</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"Through its community programs and coordination mechanisms (BOL, Article VI, Section 12), OOBC contributes in an enabling role to Priority 10 (Youth Development) by creating pathways for young Bangsamoro people in OBC communities to access BARMM youth development programs, and by including youth-specific activities in its community capacity-building work."</w:t>
      </w:r>
    </w:p>
    <w:p>
      <w:pPr>
        <w:spacing w:after="120" w:line="276" w:lineRule="auto"/>
      </w:pPr>
      <w:r>
        <w:rPr>
          <w:rFonts w:ascii="Inter" w:hAnsi="Inter" w:cs="Inter"/>
          <w:b w:val="0"/>
          <w:i w:val="0"/>
          <w:color w:val="2D2D2D"/>
          <w:sz w:val="22"/>
        </w:rPr>
      </w:r>
      <w:r>
        <w:rPr>
          <w:rFonts w:ascii="Inter" w:hAnsi="Inter" w:cs="Inter"/>
          <w:b/>
          <w:i w:val="0"/>
          <w:color w:val="2D2D2D"/>
          <w:sz w:val="22"/>
        </w:rPr>
        <w:t>Priority 11 — Enabling:</w:t>
      </w:r>
      <w:r>
        <w:rPr>
          <w:rFonts w:ascii="Inter" w:hAnsi="Inter" w:cs="Inter"/>
          <w:b w:val="0"/>
          <w:i w:val="0"/>
          <w:color w:val="2D2D2D"/>
          <w:sz w:val="22"/>
        </w:rPr>
      </w:r>
    </w:p>
    <w:p>
      <w:pPr>
        <w:spacing w:after="120" w:line="276" w:lineRule="auto"/>
        <w:ind w:left="850"/>
      </w:pPr>
      <w:r>
        <w:rPr>
          <w:rFonts w:ascii="Inter" w:hAnsi="Inter" w:cs="Inter"/>
          <w:b w:val="0"/>
          <w:i/>
          <w:color w:val="2D2D2D"/>
          <w:sz w:val="22"/>
        </w:rPr>
        <w:t>"Through its vulnerable sector support programs (BOL, Article VI, Section 12), OOBC contributes in an enabling role to Priority 11 (Women Empowerment) by facilitating access for women in OBC communities to gender-responsive programs delivered by MSSD and other ministries, and by ensuring that OOBC's community profiling captures sex-disaggregated data that makes women's needs visible in program planning."</w:t>
      </w:r>
    </w:p>
    <w:p>
      <w:pPr>
        <w:pStyle w:val="Heading3"/>
      </w:pPr>
      <w:r>
        <w:rPr>
          <w:rFonts w:ascii="Inter" w:hAnsi="Inter" w:cs="Inter"/>
          <w:b/>
          <w:i w:val="0"/>
          <w:color w:val="2C5F7C"/>
          <w:sz w:val="26"/>
        </w:rPr>
        <w:t>Partial Priority Agenda Alignment Sheet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Priority #</w:t>
            </w:r>
          </w:p>
        </w:tc>
        <w:tc>
          <w:tcPr>
            <w:tcW w:type="dxa" w:w="1560"/>
            <w:shd w:fill="1B365D"/>
          </w:tcPr>
          <w:p>
            <w:r/>
            <w:r>
              <w:rPr>
                <w:rFonts w:ascii="Inter" w:hAnsi="Inter" w:cs="Inter"/>
                <w:b/>
                <w:i w:val="0"/>
                <w:color w:val="FFFFFF"/>
                <w:sz w:val="19"/>
              </w:rPr>
              <w:t>Priority Description</w:t>
            </w:r>
          </w:p>
        </w:tc>
        <w:tc>
          <w:tcPr>
            <w:tcW w:type="dxa" w:w="1560"/>
            <w:shd w:fill="1B365D"/>
          </w:tcPr>
          <w:p>
            <w:r/>
            <w:r>
              <w:rPr>
                <w:rFonts w:ascii="Inter" w:hAnsi="Inter" w:cs="Inter"/>
                <w:b/>
                <w:i w:val="0"/>
                <w:color w:val="FFFFFF"/>
                <w:sz w:val="19"/>
              </w:rPr>
              <w:t>MOA Contribution</w:t>
            </w:r>
          </w:p>
        </w:tc>
        <w:tc>
          <w:tcPr>
            <w:tcW w:type="dxa" w:w="1560"/>
            <w:shd w:fill="1B365D"/>
          </w:tcPr>
          <w:p>
            <w:r/>
            <w:r>
              <w:rPr>
                <w:rFonts w:ascii="Inter" w:hAnsi="Inter" w:cs="Inter"/>
                <w:b/>
                <w:i w:val="0"/>
                <w:color w:val="FFFFFF"/>
                <w:sz w:val="19"/>
              </w:rPr>
              <w:t>Contribution Type</w:t>
            </w:r>
          </w:p>
        </w:tc>
        <w:tc>
          <w:tcPr>
            <w:tcW w:type="dxa" w:w="1560"/>
            <w:shd w:fill="1B365D"/>
          </w:tcPr>
          <w:p>
            <w:r/>
            <w:r>
              <w:rPr>
                <w:rFonts w:ascii="Inter" w:hAnsi="Inter" w:cs="Inter"/>
                <w:b/>
                <w:i w:val="0"/>
                <w:color w:val="FFFFFF"/>
                <w:sz w:val="19"/>
              </w:rPr>
              <w:t>Supporting Mandate</w:t>
            </w:r>
          </w:p>
        </w:tc>
        <w:tc>
          <w:tcPr>
            <w:tcW w:type="dxa" w:w="1560"/>
            <w:shd w:fill="1B365D"/>
          </w:tcPr>
          <w:p>
            <w:r/>
            <w:r>
              <w:rPr>
                <w:rFonts w:ascii="Inter" w:hAnsi="Inter" w:cs="Inter"/>
                <w:b/>
                <w:i w:val="0"/>
                <w:color w:val="FFFFFF"/>
                <w:sz w:val="19"/>
              </w:rPr>
              <w:t>Status</w:t>
            </w:r>
          </w:p>
        </w:tc>
      </w:tr>
      <w:tr>
        <w:tc>
          <w:tcPr>
            <w:tcW w:type="dxa" w:w="1560"/>
          </w:tcPr>
          <w:p>
            <w:r/>
            <w:r>
              <w:rPr>
                <w:rFonts w:ascii="Inter" w:hAnsi="Inter" w:cs="Inter"/>
                <w:b w:val="0"/>
                <w:i w:val="0"/>
                <w:color w:val="2D2D2D"/>
                <w:sz w:val="19"/>
              </w:rPr>
              <w:t>1</w:t>
            </w:r>
          </w:p>
        </w:tc>
        <w:tc>
          <w:tcPr>
            <w:tcW w:type="dxa" w:w="1560"/>
          </w:tcPr>
          <w:p>
            <w:r/>
            <w:r>
              <w:rPr>
                <w:rFonts w:ascii="Inter" w:hAnsi="Inter" w:cs="Inter"/>
                <w:b w:val="0"/>
                <w:i w:val="0"/>
                <w:color w:val="2D2D2D"/>
                <w:sz w:val="19"/>
              </w:rPr>
              <w:t>Moral Governance</w:t>
            </w:r>
          </w:p>
        </w:tc>
        <w:tc>
          <w:tcPr>
            <w:tcW w:type="dxa" w:w="1560"/>
          </w:tcPr>
          <w:p>
            <w:r/>
            <w:r>
              <w:rPr>
                <w:rFonts w:ascii="Inter" w:hAnsi="Inter" w:cs="Inter"/>
                <w:b w:val="0"/>
                <w:i w:val="0"/>
                <w:color w:val="2D2D2D"/>
                <w:sz w:val="19"/>
              </w:rPr>
              <w:t>Ensures inclusive governance reaches Bangsamoro communities beyond BARMM's core territory --- demonstrating that moral governance means no community is abandoned based on geography</w:t>
            </w:r>
          </w:p>
        </w:tc>
        <w:tc>
          <w:tcPr>
            <w:tcW w:type="dxa" w:w="1560"/>
          </w:tcPr>
          <w:p>
            <w:r/>
            <w:r>
              <w:rPr>
                <w:rFonts w:ascii="Inter" w:hAnsi="Inter" w:cs="Inter"/>
                <w:b w:val="0"/>
                <w:i w:val="0"/>
                <w:color w:val="2D2D2D"/>
                <w:sz w:val="19"/>
              </w:rPr>
              <w:t>Enabling</w:t>
            </w:r>
          </w:p>
        </w:tc>
        <w:tc>
          <w:tcPr>
            <w:tcW w:type="dxa" w:w="1560"/>
          </w:tcPr>
          <w:p>
            <w:r/>
            <w:r>
              <w:rPr>
                <w:rFonts w:ascii="Inter" w:hAnsi="Inter" w:cs="Inter"/>
                <w:b w:val="0"/>
                <w:i w:val="0"/>
                <w:color w:val="2D2D2D"/>
                <w:sz w:val="19"/>
              </w:rPr>
              <w:t>BOL, Art. VI, Sec. 12</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3</w:t>
            </w:r>
          </w:p>
        </w:tc>
        <w:tc>
          <w:tcPr>
            <w:tcW w:type="dxa" w:w="1560"/>
            <w:shd w:fill="F0F3F6"/>
          </w:tcPr>
          <w:p>
            <w:r/>
            <w:r>
              <w:rPr>
                <w:rFonts w:ascii="Inter" w:hAnsi="Inter" w:cs="Inter"/>
                <w:b w:val="0"/>
                <w:i w:val="0"/>
                <w:color w:val="2D2D2D"/>
                <w:sz w:val="19"/>
              </w:rPr>
              <w:t>Good Governance &amp; Institutional Development</w:t>
            </w:r>
          </w:p>
        </w:tc>
        <w:tc>
          <w:tcPr>
            <w:tcW w:type="dxa" w:w="1560"/>
            <w:shd w:fill="F0F3F6"/>
          </w:tcPr>
          <w:p>
            <w:r/>
            <w:r>
              <w:rPr>
                <w:rFonts w:ascii="Inter" w:hAnsi="Inter" w:cs="Inter"/>
                <w:b w:val="0"/>
                <w:i w:val="0"/>
                <w:color w:val="2D2D2D"/>
                <w:sz w:val="19"/>
              </w:rPr>
              <w:t>Builds coordination mechanisms, community profiling data systems, and institutional protocols connecting the Bangsamoro Government to OBC host LGUs and NGAs</w:t>
            </w:r>
          </w:p>
        </w:tc>
        <w:tc>
          <w:tcPr>
            <w:tcW w:type="dxa" w:w="1560"/>
            <w:shd w:fill="F0F3F6"/>
          </w:tcPr>
          <w:p>
            <w:r/>
            <w:r>
              <w:rPr>
                <w:rFonts w:ascii="Inter" w:hAnsi="Inter" w:cs="Inter"/>
                <w:b w:val="0"/>
                <w:i w:val="0"/>
                <w:color w:val="2D2D2D"/>
                <w:sz w:val="19"/>
              </w:rPr>
              <w:t>Direct</w:t>
            </w:r>
          </w:p>
        </w:tc>
        <w:tc>
          <w:tcPr>
            <w:tcW w:type="dxa" w:w="1560"/>
            <w:shd w:fill="F0F3F6"/>
          </w:tcPr>
          <w:p>
            <w:r/>
            <w:r>
              <w:rPr>
                <w:rFonts w:ascii="Inter" w:hAnsi="Inter" w:cs="Inter"/>
                <w:b w:val="0"/>
                <w:i w:val="0"/>
                <w:color w:val="2D2D2D"/>
                <w:sz w:val="19"/>
              </w:rPr>
              <w:t>BOL, Art. VI, Sec. 12</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5</w:t>
            </w:r>
          </w:p>
        </w:tc>
        <w:tc>
          <w:tcPr>
            <w:tcW w:type="dxa" w:w="1560"/>
          </w:tcPr>
          <w:p>
            <w:r/>
            <w:r>
              <w:rPr>
                <w:rFonts w:ascii="Inter" w:hAnsi="Inter" w:cs="Inter"/>
                <w:b w:val="0"/>
                <w:i w:val="0"/>
                <w:color w:val="2D2D2D"/>
                <w:sz w:val="19"/>
              </w:rPr>
              <w:t>Social Services</w:t>
            </w:r>
          </w:p>
        </w:tc>
        <w:tc>
          <w:tcPr>
            <w:tcW w:type="dxa" w:w="1560"/>
          </w:tcPr>
          <w:p>
            <w:r/>
            <w:r>
              <w:rPr>
                <w:rFonts w:ascii="Inter" w:hAnsi="Inter" w:cs="Inter"/>
                <w:b w:val="0"/>
                <w:i w:val="0"/>
                <w:color w:val="2D2D2D"/>
                <w:sz w:val="19"/>
              </w:rPr>
              <w:t>Coordinates with MSSD, MBHTE, and other ministries to extend social service coverage to OBC communities that fall outside BARMM's territorial delivery systems</w:t>
            </w:r>
          </w:p>
        </w:tc>
        <w:tc>
          <w:tcPr>
            <w:tcW w:type="dxa" w:w="1560"/>
          </w:tcPr>
          <w:p>
            <w:r/>
            <w:r>
              <w:rPr>
                <w:rFonts w:ascii="Inter" w:hAnsi="Inter" w:cs="Inter"/>
                <w:b w:val="0"/>
                <w:i w:val="0"/>
                <w:color w:val="2D2D2D"/>
                <w:sz w:val="19"/>
              </w:rPr>
              <w:t>Direct</w:t>
            </w:r>
          </w:p>
        </w:tc>
        <w:tc>
          <w:tcPr>
            <w:tcW w:type="dxa" w:w="1560"/>
          </w:tcPr>
          <w:p>
            <w:r/>
            <w:r>
              <w:rPr>
                <w:rFonts w:ascii="Inter" w:hAnsi="Inter" w:cs="Inter"/>
                <w:b w:val="0"/>
                <w:i w:val="0"/>
                <w:color w:val="2D2D2D"/>
                <w:sz w:val="19"/>
              </w:rPr>
              <w:t>BOL, Art. VI, Sec. 12</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10</w:t>
            </w:r>
          </w:p>
        </w:tc>
        <w:tc>
          <w:tcPr>
            <w:tcW w:type="dxa" w:w="1560"/>
            <w:shd w:fill="F0F3F6"/>
          </w:tcPr>
          <w:p>
            <w:r/>
            <w:r>
              <w:rPr>
                <w:rFonts w:ascii="Inter" w:hAnsi="Inter" w:cs="Inter"/>
                <w:b w:val="0"/>
                <w:i w:val="0"/>
                <w:color w:val="2D2D2D"/>
                <w:sz w:val="19"/>
              </w:rPr>
              <w:t>Youth Development</w:t>
            </w:r>
          </w:p>
        </w:tc>
        <w:tc>
          <w:tcPr>
            <w:tcW w:type="dxa" w:w="1560"/>
            <w:shd w:fill="F0F3F6"/>
          </w:tcPr>
          <w:p>
            <w:r/>
            <w:r>
              <w:rPr>
                <w:rFonts w:ascii="Inter" w:hAnsi="Inter" w:cs="Inter"/>
                <w:b w:val="0"/>
                <w:i w:val="0"/>
                <w:color w:val="2D2D2D"/>
                <w:sz w:val="19"/>
              </w:rPr>
              <w:t>Creates pathways for OBC youth to access BARMM youth development programs through community capacity-building and coordination with host LGUs</w:t>
            </w:r>
          </w:p>
        </w:tc>
        <w:tc>
          <w:tcPr>
            <w:tcW w:type="dxa" w:w="1560"/>
            <w:shd w:fill="F0F3F6"/>
          </w:tcPr>
          <w:p>
            <w:r/>
            <w:r>
              <w:rPr>
                <w:rFonts w:ascii="Inter" w:hAnsi="Inter" w:cs="Inter"/>
                <w:b w:val="0"/>
                <w:i w:val="0"/>
                <w:color w:val="2D2D2D"/>
                <w:sz w:val="19"/>
              </w:rPr>
              <w:t>Enabling</w:t>
            </w:r>
          </w:p>
        </w:tc>
        <w:tc>
          <w:tcPr>
            <w:tcW w:type="dxa" w:w="1560"/>
            <w:shd w:fill="F0F3F6"/>
          </w:tcPr>
          <w:p>
            <w:r/>
            <w:r>
              <w:rPr>
                <w:rFonts w:ascii="Inter" w:hAnsi="Inter" w:cs="Inter"/>
                <w:b w:val="0"/>
                <w:i w:val="0"/>
                <w:color w:val="2D2D2D"/>
                <w:sz w:val="19"/>
              </w:rPr>
              <w:t>BOL, Art. VI, Sec. 12</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11</w:t>
            </w:r>
          </w:p>
        </w:tc>
        <w:tc>
          <w:tcPr>
            <w:tcW w:type="dxa" w:w="1560"/>
          </w:tcPr>
          <w:p>
            <w:r/>
            <w:r>
              <w:rPr>
                <w:rFonts w:ascii="Inter" w:hAnsi="Inter" w:cs="Inter"/>
                <w:b w:val="0"/>
                <w:i w:val="0"/>
                <w:color w:val="2D2D2D"/>
                <w:sz w:val="19"/>
              </w:rPr>
              <w:t>Women Empowerment</w:t>
            </w:r>
          </w:p>
        </w:tc>
        <w:tc>
          <w:tcPr>
            <w:tcW w:type="dxa" w:w="1560"/>
          </w:tcPr>
          <w:p>
            <w:r/>
            <w:r>
              <w:rPr>
                <w:rFonts w:ascii="Inter" w:hAnsi="Inter" w:cs="Inter"/>
                <w:b w:val="0"/>
                <w:i w:val="0"/>
                <w:color w:val="2D2D2D"/>
                <w:sz w:val="19"/>
              </w:rPr>
              <w:t>Facilitates access for women in OBC communities to MSSD and other ministry gender-responsive programs; captures sex-disaggregated data in community profiling</w:t>
            </w:r>
          </w:p>
        </w:tc>
        <w:tc>
          <w:tcPr>
            <w:tcW w:type="dxa" w:w="1560"/>
          </w:tcPr>
          <w:p>
            <w:r/>
            <w:r>
              <w:rPr>
                <w:rFonts w:ascii="Inter" w:hAnsi="Inter" w:cs="Inter"/>
                <w:b w:val="0"/>
                <w:i w:val="0"/>
                <w:color w:val="2D2D2D"/>
                <w:sz w:val="19"/>
              </w:rPr>
              <w:t>Enabling</w:t>
            </w:r>
          </w:p>
        </w:tc>
        <w:tc>
          <w:tcPr>
            <w:tcW w:type="dxa" w:w="1560"/>
          </w:tcPr>
          <w:p>
            <w:r/>
            <w:r>
              <w:rPr>
                <w:rFonts w:ascii="Inter" w:hAnsi="Inter" w:cs="Inter"/>
                <w:b w:val="0"/>
                <w:i w:val="0"/>
                <w:color w:val="2D2D2D"/>
                <w:sz w:val="19"/>
              </w:rPr>
              <w:t>BOL, Art. VI, Sec. 12</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12</w:t>
            </w:r>
          </w:p>
        </w:tc>
        <w:tc>
          <w:tcPr>
            <w:tcW w:type="dxa" w:w="1560"/>
            <w:shd w:fill="F0F3F6"/>
          </w:tcPr>
          <w:p>
            <w:r/>
            <w:r>
              <w:rPr>
                <w:rFonts w:ascii="Inter" w:hAnsi="Inter" w:cs="Inter"/>
                <w:b w:val="0"/>
                <w:i w:val="0"/>
                <w:color w:val="2D2D2D"/>
                <w:sz w:val="19"/>
              </w:rPr>
              <w:t>Inter-governmental Relations</w:t>
            </w:r>
          </w:p>
        </w:tc>
        <w:tc>
          <w:tcPr>
            <w:tcW w:type="dxa" w:w="1560"/>
            <w:shd w:fill="F0F3F6"/>
          </w:tcPr>
          <w:p>
            <w:r/>
            <w:r>
              <w:rPr>
                <w:rFonts w:ascii="Inter" w:hAnsi="Inter" w:cs="Inter"/>
                <w:b w:val="0"/>
                <w:i w:val="0"/>
                <w:color w:val="2D2D2D"/>
                <w:sz w:val="19"/>
              </w:rPr>
              <w:t>Maintains coordination linkages with LGUs nationwide, coordinates with DILG and NGAs, and serves as the institutional bridge between the Bangsamoro Government and host local governments --- OOBC's core mandate</w:t>
            </w:r>
          </w:p>
        </w:tc>
        <w:tc>
          <w:tcPr>
            <w:tcW w:type="dxa" w:w="1560"/>
            <w:shd w:fill="F0F3F6"/>
          </w:tcPr>
          <w:p>
            <w:r/>
            <w:r>
              <w:rPr>
                <w:rFonts w:ascii="Inter" w:hAnsi="Inter" w:cs="Inter"/>
                <w:b w:val="0"/>
                <w:i w:val="0"/>
                <w:color w:val="2D2D2D"/>
                <w:sz w:val="19"/>
              </w:rPr>
              <w:t>Direct</w:t>
            </w:r>
          </w:p>
        </w:tc>
        <w:tc>
          <w:tcPr>
            <w:tcW w:type="dxa" w:w="1560"/>
            <w:shd w:fill="F0F3F6"/>
          </w:tcPr>
          <w:p>
            <w:r/>
            <w:r>
              <w:rPr>
                <w:rFonts w:ascii="Inter" w:hAnsi="Inter" w:cs="Inter"/>
                <w:b w:val="0"/>
                <w:i w:val="0"/>
                <w:color w:val="2D2D2D"/>
                <w:sz w:val="19"/>
              </w:rPr>
              <w:t>BOL, Art. VI, Sec. 12</w:t>
            </w:r>
          </w:p>
        </w:tc>
        <w:tc>
          <w:tcPr>
            <w:tcW w:type="dxa" w:w="1560"/>
            <w:shd w:fill="F0F3F6"/>
          </w:tcPr>
          <w:p>
            <w:r/>
            <w:r>
              <w:rPr>
                <w:rFonts w:ascii="Inter" w:hAnsi="Inter" w:cs="Inter"/>
                <w:b w:val="0"/>
                <w:i w:val="0"/>
                <w:color w:val="2D2D2D"/>
                <w:sz w:val="19"/>
              </w:rPr>
              <w:t>Active</w:t>
            </w:r>
          </w:p>
        </w:tc>
      </w:tr>
    </w:tbl>
    <w:p/>
    <w:p>
      <w:pPr>
        <w:pStyle w:val="Heading2"/>
      </w:pPr>
      <w:r>
        <w:rPr>
          <w:rFonts w:ascii="Inter" w:hAnsi="Inter" w:cs="Inter"/>
          <w:b/>
          <w:i w:val="0"/>
          <w:color w:val="1B365D"/>
          <w:sz w:val="32"/>
        </w:rPr>
        <w:t>4.5 For Decision-Makers</w:t>
      </w:r>
    </w:p>
    <w:p>
      <w:pPr>
        <w:spacing w:after="120" w:line="276" w:lineRule="auto"/>
        <w:ind w:left="850"/>
      </w:pPr>
      <w:r>
        <w:rPr>
          <w:rFonts w:ascii="Inter" w:hAnsi="Inter" w:cs="Inter"/>
          <w:b w:val="0"/>
          <w:i/>
          <w:color w:val="2D2D2D"/>
          <w:sz w:val="22"/>
        </w:rPr>
      </w:r>
      <w:r>
        <w:rPr>
          <w:rFonts w:ascii="Inter" w:hAnsi="Inter" w:cs="Inter"/>
          <w:b/>
          <w:i w:val="0"/>
          <w:color w:val="2D2D2D"/>
          <w:sz w:val="22"/>
        </w:rPr>
        <w:t>Review checkpoint.</w:t>
      </w:r>
      <w:r>
        <w:rPr>
          <w:rFonts w:ascii="Inter" w:hAnsi="Inter" w:cs="Inter"/>
          <w:b w:val="0"/>
          <w:i/>
          <w:color w:val="2D2D2D"/>
          <w:sz w:val="22"/>
        </w:rPr>
        <w:t xml:space="preserve"> Before approving your MOA's Priority Agenda alignment, verify the following: </w:t>
      </w:r>
      <w:r>
        <w:rPr>
          <w:rFonts w:ascii="Inter" w:hAnsi="Inter" w:cs="Inter"/>
          <w:b/>
          <w:i w:val="0"/>
          <w:color w:val="2D2D2D"/>
          <w:sz w:val="22"/>
        </w:rPr>
        <w:t>Is the alignment politically defensible?</w:t>
      </w:r>
      <w:r>
        <w:rPr>
          <w:rFonts w:ascii="Inter" w:hAnsi="Inter" w:cs="Inter"/>
          <w:b w:val="0"/>
          <w:i/>
          <w:color w:val="2D2D2D"/>
          <w:sz w:val="22"/>
        </w:rPr>
        <w:t xml:space="preserve"> The Priority Agenda is the Chief Minister's commitment to the people of the Bangsamoro. When your MOA claims to contribute to a priority, it is implicitly promising to perform. If your MOA's programs do not actually advance the priority --- if the claimed contribution is aspirational rather than operational --- the alignment is a political liability, not an asset. Remove claims you cannot operationalize. </w:t>
      </w:r>
      <w:r>
        <w:rPr>
          <w:rFonts w:ascii="Inter" w:hAnsi="Inter" w:cs="Inter"/>
          <w:b/>
          <w:i w:val="0"/>
          <w:color w:val="2D2D2D"/>
          <w:sz w:val="22"/>
        </w:rPr>
        <w:t>Is the alignment honest about contribution type?</w:t>
      </w:r>
      <w:r>
        <w:rPr>
          <w:rFonts w:ascii="Inter" w:hAnsi="Inter" w:cs="Inter"/>
          <w:b w:val="0"/>
          <w:i/>
          <w:color w:val="2D2D2D"/>
          <w:sz w:val="22"/>
        </w:rPr>
        <w:t xml:space="preserve"> Check the balance of direct and enabling contributions. If your plan claims direct contributions to more than four or five priorities, it is likely overstating its role in several of them. An MOA that claims to be a direct implementor of Priority 2 (Sustaining Peace), Priority 4 (Economic Development), Priority 5 (Social Services), Priority 7 (Infrastructure), Priority 8 (Environmental Protection), and Priority 9 (Food Security) simultaneously is not making credible claims. Each direct contribution claim carries an accountability burden --- your leadership should be prepared to answer for each one. </w:t>
      </w:r>
      <w:r>
        <w:rPr>
          <w:rFonts w:ascii="Inter" w:hAnsi="Inter" w:cs="Inter"/>
          <w:b/>
          <w:i w:val="0"/>
          <w:color w:val="2D2D2D"/>
          <w:sz w:val="22"/>
        </w:rPr>
        <w:t>Have under-aligned priorities been considered?</w:t>
      </w:r>
      <w:r>
        <w:rPr>
          <w:rFonts w:ascii="Inter" w:hAnsi="Inter" w:cs="Inter"/>
          <w:b w:val="0"/>
          <w:i/>
          <w:color w:val="2D2D2D"/>
          <w:sz w:val="22"/>
        </w:rPr>
        <w:t xml:space="preserve"> Ask your planning team to show you the gap analysis. Are there priorities that are clearly within your MOA's mandate but are missing from the alignment sheet? Under-claiming is preferable to over-claiming, but unintentional gaps are different from deliberate choices. Make sure every omission is a choice, not an oversight. </w:t>
      </w:r>
      <w:r>
        <w:rPr>
          <w:rFonts w:ascii="Inter" w:hAnsi="Inter" w:cs="Inter"/>
          <w:b/>
          <w:i w:val="0"/>
          <w:color w:val="2D2D2D"/>
          <w:sz w:val="22"/>
        </w:rPr>
        <w:t>Are contribution descriptions specific enough?</w:t>
      </w:r>
      <w:r>
        <w:rPr>
          <w:rFonts w:ascii="Inter" w:hAnsi="Inter" w:cs="Inter"/>
          <w:b w:val="0"/>
          <w:i/>
          <w:color w:val="2D2D2D"/>
          <w:sz w:val="22"/>
        </w:rPr>
        <w:t xml:space="preserve"> Read each contribution description and ask: Could this description apply to any other MOA in the Bangsamoro Government? If yes, it needs to be rewritten with specifics --- the mandate provision, the program, the population served, the mechanism. Generic descriptions are not alignment; they are noise. </w:t>
      </w:r>
      <w:r>
        <w:rPr>
          <w:rFonts w:ascii="Inter" w:hAnsi="Inter" w:cs="Inter"/>
          <w:b/>
          <w:i w:val="0"/>
          <w:color w:val="2D2D2D"/>
          <w:sz w:val="22"/>
        </w:rPr>
        <w:t>Is the alignment section flagged for update?</w:t>
      </w:r>
      <w:r>
        <w:rPr>
          <w:rFonts w:ascii="Inter" w:hAnsi="Inter" w:cs="Inter"/>
          <w:b w:val="0"/>
          <w:i/>
          <w:color w:val="2D2D2D"/>
          <w:sz w:val="22"/>
        </w:rPr>
        <w:t xml:space="preserve"> Priority Agenda alignment must be reviewed when the Priority Agenda changes. If your strategic plan will span more than one year, ensure that the planning process includes a mechanism for updating this section when the administration revises its priorities.</w:t>
      </w:r>
    </w:p>
    <w:p>
      <w:pPr>
        <w:pStyle w:val="Heading2"/>
      </w:pPr>
      <w:r>
        <w:rPr>
          <w:rFonts w:ascii="Inter" w:hAnsi="Inter" w:cs="Inter"/>
          <w:b/>
          <w:i w:val="0"/>
          <w:color w:val="1B365D"/>
          <w:sz w:val="32"/>
        </w:rPr>
        <w:t>4.6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Claiming alignment with every priority.</w:t>
      </w:r>
      <w:r>
        <w:rPr>
          <w:rFonts w:ascii="Inter" w:hAnsi="Inter" w:cs="Inter"/>
          <w:b w:val="0"/>
          <w:i w:val="0"/>
          <w:color w:val="2D2D2D"/>
          <w:sz w:val="22"/>
        </w:rPr>
        <w:t xml:space="preserve"> This is the most damaging mistake in Priority Agenda alignment. When an MOA claims to contribute to all twelve priorities, reviewers --- both technical reviewers at BPDA and political readers in the Chief Minister's office --- immediately discount the claims. Twelve priorities claimed by every MOA produces noise, not signal. Choose the priorities your MOA genuinely serves and leave the rest unclaimed.</w:t>
      </w:r>
    </w:p>
    <w:p>
      <w:pPr>
        <w:spacing w:after="120" w:line="276" w:lineRule="auto"/>
      </w:pPr>
      <w:r>
        <w:rPr>
          <w:rFonts w:ascii="Inter" w:hAnsi="Inter" w:cs="Inter"/>
          <w:b w:val="0"/>
          <w:i w:val="0"/>
          <w:color w:val="2D2D2D"/>
          <w:sz w:val="22"/>
        </w:rPr>
      </w:r>
      <w:r>
        <w:rPr>
          <w:rFonts w:ascii="Inter" w:hAnsi="Inter" w:cs="Inter"/>
          <w:b/>
          <w:i w:val="0"/>
          <w:color w:val="2D2D2D"/>
          <w:sz w:val="22"/>
        </w:rPr>
        <w:t>Conflating aspiration with capacity.</w:t>
      </w:r>
      <w:r>
        <w:rPr>
          <w:rFonts w:ascii="Inter" w:hAnsi="Inter" w:cs="Inter"/>
          <w:b w:val="0"/>
          <w:i w:val="0"/>
          <w:color w:val="2D2D2D"/>
          <w:sz w:val="22"/>
        </w:rPr>
        <w:t xml:space="preserve"> "We want to contribute to youth development" is not alignment. "Through our mandate to manage forest resources, we provide livelihood training for young people in upland communities (BAA No. 13, Title III, Sec. 3(p))" is alignment --- if the program exists and has a budget. The test is not *whether you want to contribute* but *whether you currently have a program running that does so*. Aspirational alignment does not survive a BPDA review.</w:t>
      </w:r>
    </w:p>
    <w:p>
      <w:pPr>
        <w:spacing w:after="120" w:line="276" w:lineRule="auto"/>
      </w:pPr>
      <w:r>
        <w:rPr>
          <w:rFonts w:ascii="Inter" w:hAnsi="Inter" w:cs="Inter"/>
          <w:b w:val="0"/>
          <w:i w:val="0"/>
          <w:color w:val="2D2D2D"/>
          <w:sz w:val="22"/>
        </w:rPr>
      </w:r>
      <w:r>
        <w:rPr>
          <w:rFonts w:ascii="Inter" w:hAnsi="Inter" w:cs="Inter"/>
          <w:b/>
          <w:i w:val="0"/>
          <w:color w:val="2D2D2D"/>
          <w:sz w:val="22"/>
        </w:rPr>
        <w:t>Ignoring the Priority Agenda entirely.</w:t>
      </w:r>
      <w:r>
        <w:rPr>
          <w:rFonts w:ascii="Inter" w:hAnsi="Inter" w:cs="Inter"/>
          <w:b w:val="0"/>
          <w:i w:val="0"/>
          <w:color w:val="2D2D2D"/>
          <w:sz w:val="22"/>
        </w:rPr>
        <w:t xml:space="preserve"> Some planning teams, particularly those focused primarily on BDP alignment, skip the Priority Agenda or treat it as a separate political document that planners do not need to address. This is a mistake. Strategic plans that do not reflect the administration's agenda signal institutional disconnection. Even if your MOA's work is technically sound and BDP-aligned, failure to engage with the Priority Agenda creates a perception problem with political leadership.</w:t>
      </w:r>
    </w:p>
    <w:p>
      <w:pPr>
        <w:spacing w:after="120" w:line="276" w:lineRule="auto"/>
      </w:pPr>
      <w:r>
        <w:rPr>
          <w:rFonts w:ascii="Inter" w:hAnsi="Inter" w:cs="Inter"/>
          <w:b w:val="0"/>
          <w:i w:val="0"/>
          <w:color w:val="2D2D2D"/>
          <w:sz w:val="22"/>
        </w:rPr>
      </w:r>
      <w:r>
        <w:rPr>
          <w:rFonts w:ascii="Inter" w:hAnsi="Inter" w:cs="Inter"/>
          <w:b/>
          <w:i w:val="0"/>
          <w:color w:val="2D2D2D"/>
          <w:sz w:val="22"/>
        </w:rPr>
        <w:t>Not distinguishing direct from enabling contributions.</w:t>
      </w:r>
      <w:r>
        <w:rPr>
          <w:rFonts w:ascii="Inter" w:hAnsi="Inter" w:cs="Inter"/>
          <w:b w:val="0"/>
          <w:i w:val="0"/>
          <w:color w:val="2D2D2D"/>
          <w:sz w:val="22"/>
        </w:rPr>
        <w:t xml:space="preserve"> When every contribution is labeled "direct," the classification loses meaning. More importantly, overstating your role as a lead implementor for priorities where you are actually an enabler creates mismatched expectations. If your MOA is an enabling contributor to economic development --- not the lead --- and economic indicators deteriorate, you do not want your plan on record claiming direct responsibility for economic outcomes.</w:t>
      </w:r>
    </w:p>
    <w:p>
      <w:pPr>
        <w:spacing w:after="120" w:line="276" w:lineRule="auto"/>
      </w:pPr>
      <w:r>
        <w:rPr>
          <w:rFonts w:ascii="Inter" w:hAnsi="Inter" w:cs="Inter"/>
          <w:b w:val="0"/>
          <w:i w:val="0"/>
          <w:color w:val="2D2D2D"/>
          <w:sz w:val="22"/>
        </w:rPr>
      </w:r>
      <w:r>
        <w:rPr>
          <w:rFonts w:ascii="Inter" w:hAnsi="Inter" w:cs="Inter"/>
          <w:b/>
          <w:i w:val="0"/>
          <w:color w:val="2D2D2D"/>
          <w:sz w:val="22"/>
        </w:rPr>
        <w:t>Using generic descriptions.</w:t>
      </w:r>
      <w:r>
        <w:rPr>
          <w:rFonts w:ascii="Inter" w:hAnsi="Inter" w:cs="Inter"/>
          <w:b w:val="0"/>
          <w:i w:val="0"/>
          <w:color w:val="2D2D2D"/>
          <w:sz w:val="22"/>
        </w:rPr>
        <w:t xml:space="preserve"> Descriptions like "OOBC contributes to this priority through its programs" are not contribution descriptions. They are placeholders that planners use when they cannot articulate the actual contribution. If you cannot describe the specific mechanism, program, and population through which your MOA contributes, revisit whether the alignment is genuine. The discipline of writing specific descriptions often reveals that a claimed alignment is not as clear as it seemed.</w:t>
      </w:r>
    </w:p>
    <w:p>
      <w:pPr>
        <w:spacing w:after="120" w:line="276" w:lineRule="auto"/>
      </w:pPr>
      <w:r>
        <w:rPr>
          <w:rFonts w:ascii="Inter" w:hAnsi="Inter" w:cs="Inter"/>
          <w:b w:val="0"/>
          <w:i w:val="0"/>
          <w:color w:val="2D2D2D"/>
          <w:sz w:val="22"/>
        </w:rPr>
      </w:r>
      <w:r>
        <w:rPr>
          <w:rFonts w:ascii="Inter" w:hAnsi="Inter" w:cs="Inter"/>
          <w:b/>
          <w:i w:val="0"/>
          <w:color w:val="2D2D2D"/>
          <w:sz w:val="22"/>
        </w:rPr>
        <w:t>Not updating when the Priority Agenda is revised.</w:t>
      </w:r>
      <w:r>
        <w:rPr>
          <w:rFonts w:ascii="Inter" w:hAnsi="Inter" w:cs="Inter"/>
          <w:b w:val="0"/>
          <w:i w:val="0"/>
          <w:color w:val="2D2D2D"/>
          <w:sz w:val="22"/>
        </w:rPr>
        <w:t xml:space="preserve"> Unlike the BDP, the Priority Agenda can change mid-term. A new executive issuance can add, remove, or rename priority areas. If your strategic plan was aligned to the Priority Agenda at the start of the term and the agenda has since been revised, your alignment section may reference priorities that no longer exist or miss priorities that have been added. Build an annual review of this section into your planning cycle.</w:t>
      </w:r>
    </w:p>
    <w:p>
      <w:pPr>
        <w:pStyle w:val="Heading2"/>
      </w:pPr>
      <w:r>
        <w:rPr>
          <w:rFonts w:ascii="Inter" w:hAnsi="Inter" w:cs="Inter"/>
          <w:b/>
          <w:i w:val="0"/>
          <w:color w:val="1B365D"/>
          <w:sz w:val="32"/>
        </w:rPr>
        <w:t>4.7 Template: Priority Agenda Alignment Sheet</w:t>
      </w:r>
    </w:p>
    <w:p>
      <w:pPr>
        <w:spacing w:after="120" w:line="276" w:lineRule="auto"/>
      </w:pPr>
      <w:r>
        <w:rPr>
          <w:rFonts w:ascii="Inter" w:hAnsi="Inter" w:cs="Inter"/>
          <w:b w:val="0"/>
          <w:i w:val="0"/>
          <w:color w:val="2D2D2D"/>
          <w:sz w:val="22"/>
        </w:rPr>
        <w:t>Use this table to document your MOA's contributions to the Chief Minister's 12-Point Enhanced Priority Agenda. Complete one row for each priority your MOA contributes to. Leave priorities your MOA does not contribute to blank. Do not add rows for aspirational or mandate-free contributions.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Priority #</w:t>
            </w:r>
          </w:p>
        </w:tc>
        <w:tc>
          <w:tcPr>
            <w:tcW w:type="dxa" w:w="1560"/>
            <w:shd w:fill="1B365D"/>
          </w:tcPr>
          <w:p>
            <w:r/>
            <w:r>
              <w:rPr>
                <w:rFonts w:ascii="Inter" w:hAnsi="Inter" w:cs="Inter"/>
                <w:b/>
                <w:i w:val="0"/>
                <w:color w:val="FFFFFF"/>
                <w:sz w:val="19"/>
              </w:rPr>
              <w:t>Priority Description</w:t>
            </w:r>
          </w:p>
        </w:tc>
        <w:tc>
          <w:tcPr>
            <w:tcW w:type="dxa" w:w="1560"/>
            <w:shd w:fill="1B365D"/>
          </w:tcPr>
          <w:p>
            <w:r/>
            <w:r>
              <w:rPr>
                <w:rFonts w:ascii="Inter" w:hAnsi="Inter" w:cs="Inter"/>
                <w:b/>
                <w:i w:val="0"/>
                <w:color w:val="FFFFFF"/>
                <w:sz w:val="19"/>
              </w:rPr>
              <w:t>MOA Contribution</w:t>
            </w:r>
          </w:p>
        </w:tc>
        <w:tc>
          <w:tcPr>
            <w:tcW w:type="dxa" w:w="1560"/>
            <w:shd w:fill="1B365D"/>
          </w:tcPr>
          <w:p>
            <w:r/>
            <w:r>
              <w:rPr>
                <w:rFonts w:ascii="Inter" w:hAnsi="Inter" w:cs="Inter"/>
                <w:b/>
                <w:i w:val="0"/>
                <w:color w:val="FFFFFF"/>
                <w:sz w:val="19"/>
              </w:rPr>
              <w:t>Contribution Type</w:t>
            </w:r>
          </w:p>
        </w:tc>
        <w:tc>
          <w:tcPr>
            <w:tcW w:type="dxa" w:w="1560"/>
            <w:shd w:fill="1B365D"/>
          </w:tcPr>
          <w:p>
            <w:r/>
            <w:r>
              <w:rPr>
                <w:rFonts w:ascii="Inter" w:hAnsi="Inter" w:cs="Inter"/>
                <w:b/>
                <w:i w:val="0"/>
                <w:color w:val="FFFFFF"/>
                <w:sz w:val="19"/>
              </w:rPr>
              <w:t>Supporting Mandate (from Ch 2)</w:t>
            </w:r>
          </w:p>
        </w:tc>
        <w:tc>
          <w:tcPr>
            <w:tcW w:type="dxa" w:w="1560"/>
            <w:shd w:fill="1B365D"/>
          </w:tcPr>
          <w:p>
            <w:r/>
            <w:r>
              <w:rPr>
                <w:rFonts w:ascii="Inter" w:hAnsi="Inter" w:cs="Inter"/>
                <w:b/>
                <w:i w:val="0"/>
                <w:color w:val="FFFFFF"/>
                <w:sz w:val="19"/>
              </w:rPr>
              <w:t>Status</w:t>
            </w:r>
          </w:p>
        </w:tc>
      </w:tr>
      <w:tr>
        <w:tc>
          <w:tcPr>
            <w:tcW w:type="dxa" w:w="1560"/>
          </w:tcPr>
          <w:p>
            <w:r/>
            <w:r>
              <w:rPr>
                <w:rFonts w:ascii="Inter" w:hAnsi="Inter" w:cs="Inter"/>
                <w:b w:val="0"/>
                <w:i w:val="0"/>
                <w:color w:val="2D2D2D"/>
                <w:sz w:val="19"/>
              </w:rPr>
              <w:t>3</w:t>
            </w:r>
          </w:p>
        </w:tc>
        <w:tc>
          <w:tcPr>
            <w:tcW w:type="dxa" w:w="1560"/>
          </w:tcPr>
          <w:p>
            <w:r/>
            <w:r>
              <w:rPr>
                <w:rFonts w:ascii="Inter" w:hAnsi="Inter" w:cs="Inter"/>
                <w:b w:val="0"/>
                <w:i w:val="0"/>
                <w:color w:val="2D2D2D"/>
                <w:sz w:val="19"/>
              </w:rPr>
              <w:t>Good Governance &amp; Institutional Development</w:t>
            </w:r>
          </w:p>
        </w:tc>
        <w:tc>
          <w:tcPr>
            <w:tcW w:type="dxa" w:w="1560"/>
          </w:tcPr>
          <w:p>
            <w:r/>
            <w:r>
              <w:rPr>
                <w:rFonts w:ascii="Inter" w:hAnsi="Inter" w:cs="Inter"/>
                <w:b w:val="0"/>
                <w:i w:val="0"/>
                <w:color w:val="2D2D2D"/>
                <w:sz w:val="19"/>
              </w:rPr>
              <w:t>Builds coordination mechanisms, community profiling data systems, and institutional protocols connecting the Bangsamoro Government to OBC host LGUs and NGAs</w:t>
            </w:r>
          </w:p>
        </w:tc>
        <w:tc>
          <w:tcPr>
            <w:tcW w:type="dxa" w:w="1560"/>
          </w:tcPr>
          <w:p>
            <w:r/>
            <w:r>
              <w:rPr>
                <w:rFonts w:ascii="Inter" w:hAnsi="Inter" w:cs="Inter"/>
                <w:b w:val="0"/>
                <w:i w:val="0"/>
                <w:color w:val="2D2D2D"/>
                <w:sz w:val="19"/>
              </w:rPr>
              <w:t>Direct</w:t>
            </w:r>
          </w:p>
        </w:tc>
        <w:tc>
          <w:tcPr>
            <w:tcW w:type="dxa" w:w="1560"/>
          </w:tcPr>
          <w:p>
            <w:r/>
            <w:r>
              <w:rPr>
                <w:rFonts w:ascii="Inter" w:hAnsi="Inter" w:cs="Inter"/>
                <w:b w:val="0"/>
                <w:i w:val="0"/>
                <w:color w:val="2D2D2D"/>
                <w:sz w:val="19"/>
              </w:rPr>
              <w:t>BOL, Art. VI, Sec. 12</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5</w:t>
            </w:r>
          </w:p>
        </w:tc>
        <w:tc>
          <w:tcPr>
            <w:tcW w:type="dxa" w:w="1560"/>
            <w:shd w:fill="F0F3F6"/>
          </w:tcPr>
          <w:p>
            <w:r/>
            <w:r>
              <w:rPr>
                <w:rFonts w:ascii="Inter" w:hAnsi="Inter" w:cs="Inter"/>
                <w:b w:val="0"/>
                <w:i w:val="0"/>
                <w:color w:val="2D2D2D"/>
                <w:sz w:val="19"/>
              </w:rPr>
              <w:t>Social Services</w:t>
            </w:r>
          </w:p>
        </w:tc>
        <w:tc>
          <w:tcPr>
            <w:tcW w:type="dxa" w:w="1560"/>
            <w:shd w:fill="F0F3F6"/>
          </w:tcPr>
          <w:p>
            <w:r/>
            <w:r>
              <w:rPr>
                <w:rFonts w:ascii="Inter" w:hAnsi="Inter" w:cs="Inter"/>
                <w:b w:val="0"/>
                <w:i w:val="0"/>
                <w:color w:val="2D2D2D"/>
                <w:sz w:val="19"/>
              </w:rPr>
              <w:t>Coordinates with MSSD, MBHTE, and other ministries to extend social service coverage to OBC communities outside BARMM's territorial delivery systems</w:t>
            </w:r>
          </w:p>
        </w:tc>
        <w:tc>
          <w:tcPr>
            <w:tcW w:type="dxa" w:w="1560"/>
            <w:shd w:fill="F0F3F6"/>
          </w:tcPr>
          <w:p>
            <w:r/>
            <w:r>
              <w:rPr>
                <w:rFonts w:ascii="Inter" w:hAnsi="Inter" w:cs="Inter"/>
                <w:b w:val="0"/>
                <w:i w:val="0"/>
                <w:color w:val="2D2D2D"/>
                <w:sz w:val="19"/>
              </w:rPr>
              <w:t>Direct</w:t>
            </w:r>
          </w:p>
        </w:tc>
        <w:tc>
          <w:tcPr>
            <w:tcW w:type="dxa" w:w="1560"/>
            <w:shd w:fill="F0F3F6"/>
          </w:tcPr>
          <w:p>
            <w:r/>
            <w:r>
              <w:rPr>
                <w:rFonts w:ascii="Inter" w:hAnsi="Inter" w:cs="Inter"/>
                <w:b w:val="0"/>
                <w:i w:val="0"/>
                <w:color w:val="2D2D2D"/>
                <w:sz w:val="19"/>
              </w:rPr>
              <w:t>BOL, Art. VI, Sec. 12</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12</w:t>
            </w:r>
          </w:p>
        </w:tc>
        <w:tc>
          <w:tcPr>
            <w:tcW w:type="dxa" w:w="1560"/>
          </w:tcPr>
          <w:p>
            <w:r/>
            <w:r>
              <w:rPr>
                <w:rFonts w:ascii="Inter" w:hAnsi="Inter" w:cs="Inter"/>
                <w:b w:val="0"/>
                <w:i w:val="0"/>
                <w:color w:val="2D2D2D"/>
                <w:sz w:val="19"/>
              </w:rPr>
              <w:t>Inter-governmental Relations</w:t>
            </w:r>
          </w:p>
        </w:tc>
        <w:tc>
          <w:tcPr>
            <w:tcW w:type="dxa" w:w="1560"/>
          </w:tcPr>
          <w:p>
            <w:r/>
            <w:r>
              <w:rPr>
                <w:rFonts w:ascii="Inter" w:hAnsi="Inter" w:cs="Inter"/>
                <w:b w:val="0"/>
                <w:i w:val="0"/>
                <w:color w:val="2D2D2D"/>
                <w:sz w:val="19"/>
              </w:rPr>
              <w:t>Maintains coordination linkages with LGUs nationwide, coordinates with DILG and NGAs, and serves as the institutional bridge between the Bangsamoro Government and host local governments --- OOBC's core mandate</w:t>
            </w:r>
          </w:p>
        </w:tc>
        <w:tc>
          <w:tcPr>
            <w:tcW w:type="dxa" w:w="1560"/>
          </w:tcPr>
          <w:p>
            <w:r/>
            <w:r>
              <w:rPr>
                <w:rFonts w:ascii="Inter" w:hAnsi="Inter" w:cs="Inter"/>
                <w:b w:val="0"/>
                <w:i w:val="0"/>
                <w:color w:val="2D2D2D"/>
                <w:sz w:val="19"/>
              </w:rPr>
              <w:t>Direct</w:t>
            </w:r>
          </w:p>
        </w:tc>
        <w:tc>
          <w:tcPr>
            <w:tcW w:type="dxa" w:w="1560"/>
          </w:tcPr>
          <w:p>
            <w:r/>
            <w:r>
              <w:rPr>
                <w:rFonts w:ascii="Inter" w:hAnsi="Inter" w:cs="Inter"/>
                <w:b w:val="0"/>
                <w:i w:val="0"/>
                <w:color w:val="2D2D2D"/>
                <w:sz w:val="19"/>
              </w:rPr>
              <w:t>BOL, Art. VI, Sec. 12</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*[Priority #]*</w:t>
            </w:r>
          </w:p>
        </w:tc>
        <w:tc>
          <w:tcPr>
            <w:tcW w:type="dxa" w:w="1560"/>
            <w:shd w:fill="F0F3F6"/>
          </w:tcPr>
          <w:p>
            <w:r/>
            <w:r>
              <w:rPr>
                <w:rFonts w:ascii="Inter" w:hAnsi="Inter" w:cs="Inter"/>
                <w:b w:val="0"/>
                <w:i w:val="0"/>
                <w:color w:val="2D2D2D"/>
                <w:sz w:val="19"/>
              </w:rPr>
              <w:t>*[Priority name]*</w:t>
            </w:r>
          </w:p>
        </w:tc>
        <w:tc>
          <w:tcPr>
            <w:tcW w:type="dxa" w:w="1560"/>
            <w:shd w:fill="F0F3F6"/>
          </w:tcPr>
          <w:p>
            <w:r/>
            <w:r>
              <w:rPr>
                <w:rFonts w:ascii="Inter" w:hAnsi="Inter" w:cs="Inter"/>
                <w:b w:val="0"/>
                <w:i w:val="0"/>
                <w:color w:val="2D2D2D"/>
                <w:sz w:val="19"/>
              </w:rPr>
              <w:t>*[Specific description of what your MOA does and how it advances this priority]*</w:t>
            </w:r>
          </w:p>
        </w:tc>
        <w:tc>
          <w:tcPr>
            <w:tcW w:type="dxa" w:w="1560"/>
            <w:shd w:fill="F0F3F6"/>
          </w:tcPr>
          <w:p>
            <w:r/>
            <w:r>
              <w:rPr>
                <w:rFonts w:ascii="Inter" w:hAnsi="Inter" w:cs="Inter"/>
                <w:b w:val="0"/>
                <w:i w:val="0"/>
                <w:color w:val="2D2D2D"/>
                <w:sz w:val="19"/>
              </w:rPr>
              <w:t>*Direct / Enabling*</w:t>
            </w:r>
          </w:p>
        </w:tc>
        <w:tc>
          <w:tcPr>
            <w:tcW w:type="dxa" w:w="1560"/>
            <w:shd w:fill="F0F3F6"/>
          </w:tcPr>
          <w:p>
            <w:r/>
            <w:r>
              <w:rPr>
                <w:rFonts w:ascii="Inter" w:hAnsi="Inter" w:cs="Inter"/>
                <w:b w:val="0"/>
                <w:i w:val="0"/>
                <w:color w:val="2D2D2D"/>
                <w:sz w:val="19"/>
              </w:rPr>
              <w:t>*[BAA/RA citation from Chapter 2 matrix]*</w:t>
            </w:r>
          </w:p>
        </w:tc>
        <w:tc>
          <w:tcPr>
            <w:tcW w:type="dxa" w:w="1560"/>
            <w:shd w:fill="F0F3F6"/>
          </w:tcPr>
          <w:p>
            <w:r/>
            <w:r>
              <w:rPr>
                <w:rFonts w:ascii="Inter" w:hAnsi="Inter" w:cs="Inter"/>
                <w:b w:val="0"/>
                <w:i w:val="0"/>
                <w:color w:val="2D2D2D"/>
                <w:sz w:val="19"/>
              </w:rPr>
              <w:t>*Active / Planned / Under review*</w:t>
            </w:r>
          </w:p>
        </w:tc>
      </w:tr>
      <w:tr>
        <w:tc>
          <w:tcPr>
            <w:tcW w:type="dxa" w:w="1560"/>
          </w:tcPr>
          <w:p>
            <w:r/>
            <w:r>
              <w:rPr>
                <w:rFonts w:ascii="Inter" w:hAnsi="Inter" w:cs="Inter"/>
                <w:b w:val="0"/>
                <w:i w:val="0"/>
                <w:color w:val="2D2D2D"/>
                <w:sz w:val="19"/>
              </w:rPr>
              <w:t>*[Priority #]*</w:t>
            </w:r>
          </w:p>
        </w:tc>
        <w:tc>
          <w:tcPr>
            <w:tcW w:type="dxa" w:w="1560"/>
          </w:tcPr>
          <w:p>
            <w:r/>
            <w:r>
              <w:rPr>
                <w:rFonts w:ascii="Inter" w:hAnsi="Inter" w:cs="Inter"/>
                <w:b w:val="0"/>
                <w:i w:val="0"/>
                <w:color w:val="2D2D2D"/>
                <w:sz w:val="19"/>
              </w:rPr>
              <w:t>*[Priority name]*</w:t>
            </w:r>
          </w:p>
        </w:tc>
        <w:tc>
          <w:tcPr>
            <w:tcW w:type="dxa" w:w="1560"/>
          </w:tcPr>
          <w:p>
            <w:r/>
            <w:r>
              <w:rPr>
                <w:rFonts w:ascii="Inter" w:hAnsi="Inter" w:cs="Inter"/>
                <w:b w:val="0"/>
                <w:i w:val="0"/>
                <w:color w:val="2D2D2D"/>
                <w:sz w:val="19"/>
              </w:rPr>
              <w:t>*[Specific description of what your MOA does and how it advances this priority]*</w:t>
            </w:r>
          </w:p>
        </w:tc>
        <w:tc>
          <w:tcPr>
            <w:tcW w:type="dxa" w:w="1560"/>
          </w:tcPr>
          <w:p>
            <w:r/>
            <w:r>
              <w:rPr>
                <w:rFonts w:ascii="Inter" w:hAnsi="Inter" w:cs="Inter"/>
                <w:b w:val="0"/>
                <w:i w:val="0"/>
                <w:color w:val="2D2D2D"/>
                <w:sz w:val="19"/>
              </w:rPr>
              <w:t>*Direct / Enabling*</w:t>
            </w:r>
          </w:p>
        </w:tc>
        <w:tc>
          <w:tcPr>
            <w:tcW w:type="dxa" w:w="1560"/>
          </w:tcPr>
          <w:p>
            <w:r/>
            <w:r>
              <w:rPr>
                <w:rFonts w:ascii="Inter" w:hAnsi="Inter" w:cs="Inter"/>
                <w:b w:val="0"/>
                <w:i w:val="0"/>
                <w:color w:val="2D2D2D"/>
                <w:sz w:val="19"/>
              </w:rPr>
              <w:t>*[BAA/RA citation from Chapter 2 matrix]*</w:t>
            </w:r>
          </w:p>
        </w:tc>
        <w:tc>
          <w:tcPr>
            <w:tcW w:type="dxa" w:w="1560"/>
          </w:tcPr>
          <w:p>
            <w:r/>
            <w:r>
              <w:rPr>
                <w:rFonts w:ascii="Inter" w:hAnsi="Inter" w:cs="Inter"/>
                <w:b w:val="0"/>
                <w:i w:val="0"/>
                <w:color w:val="2D2D2D"/>
                <w:sz w:val="19"/>
              </w:rPr>
              <w:t>*Active / Planned / Under review*</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Instructions for completing the template: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Priority #</w:t>
      </w:r>
      <w:r>
        <w:rPr>
          <w:rFonts w:ascii="Inter" w:hAnsi="Inter" w:cs="Inter"/>
          <w:b w:val="0"/>
          <w:i w:val="0"/>
          <w:color w:val="2D2D2D"/>
          <w:sz w:val="22"/>
        </w:rPr>
        <w:t xml:space="preserve"> --- Enter the number of the priority (1-12). List priorities in ascending order.</w:t>
      </w:r>
    </w:p>
    <w:p>
      <w:pPr>
        <w:pStyle w:val="ListNumber"/>
      </w:pPr>
      <w:r>
        <w:rPr>
          <w:rFonts w:ascii="Inter" w:hAnsi="Inter" w:cs="Inter"/>
          <w:b w:val="0"/>
          <w:i w:val="0"/>
          <w:color w:val="2D2D2D"/>
          <w:sz w:val="22"/>
        </w:rPr>
      </w:r>
      <w:r>
        <w:rPr>
          <w:rFonts w:ascii="Inter" w:hAnsi="Inter" w:cs="Inter"/>
          <w:b/>
          <w:i w:val="0"/>
          <w:color w:val="2D2D2D"/>
          <w:sz w:val="22"/>
        </w:rPr>
        <w:t>Priority Description</w:t>
      </w:r>
      <w:r>
        <w:rPr>
          <w:rFonts w:ascii="Inter" w:hAnsi="Inter" w:cs="Inter"/>
          <w:b w:val="0"/>
          <w:i w:val="0"/>
          <w:color w:val="2D2D2D"/>
          <w:sz w:val="22"/>
        </w:rPr>
        <w:t xml:space="preserve"> --- Enter the short title of the priority. Use the official Priority Agenda language.</w:t>
      </w:r>
    </w:p>
    <w:p>
      <w:pPr>
        <w:pStyle w:val="ListNumber"/>
      </w:pPr>
      <w:r>
        <w:rPr>
          <w:rFonts w:ascii="Inter" w:hAnsi="Inter" w:cs="Inter"/>
          <w:b w:val="0"/>
          <w:i w:val="0"/>
          <w:color w:val="2D2D2D"/>
          <w:sz w:val="22"/>
        </w:rPr>
      </w:r>
      <w:r>
        <w:rPr>
          <w:rFonts w:ascii="Inter" w:hAnsi="Inter" w:cs="Inter"/>
          <w:b/>
          <w:i w:val="0"/>
          <w:color w:val="2D2D2D"/>
          <w:sz w:val="22"/>
        </w:rPr>
        <w:t>MOA Contribution</w:t>
      </w:r>
      <w:r>
        <w:rPr>
          <w:rFonts w:ascii="Inter" w:hAnsi="Inter" w:cs="Inter"/>
          <w:b w:val="0"/>
          <w:i w:val="0"/>
          <w:color w:val="2D2D2D"/>
          <w:sz w:val="22"/>
        </w:rPr>
        <w:t xml:space="preserve"> --- Write a specific description of how your MOA contributes. Include the program or function, the mechanism, and the population or outcome affected. This should be one to three sentences --- specific enough to be verified.</w:t>
      </w:r>
    </w:p>
    <w:p>
      <w:pPr>
        <w:pStyle w:val="ListNumber"/>
      </w:pPr>
      <w:r>
        <w:rPr>
          <w:rFonts w:ascii="Inter" w:hAnsi="Inter" w:cs="Inter"/>
          <w:b w:val="0"/>
          <w:i w:val="0"/>
          <w:color w:val="2D2D2D"/>
          <w:sz w:val="22"/>
        </w:rPr>
      </w:r>
      <w:r>
        <w:rPr>
          <w:rFonts w:ascii="Inter" w:hAnsi="Inter" w:cs="Inter"/>
          <w:b/>
          <w:i w:val="0"/>
          <w:color w:val="2D2D2D"/>
          <w:sz w:val="22"/>
        </w:rPr>
        <w:t>Contribution Type</w:t>
      </w:r>
      <w:r>
        <w:rPr>
          <w:rFonts w:ascii="Inter" w:hAnsi="Inter" w:cs="Inter"/>
          <w:b w:val="0"/>
          <w:i w:val="0"/>
          <w:color w:val="2D2D2D"/>
          <w:sz w:val="22"/>
        </w:rPr>
        <w:t xml:space="preserve"> --- Mark as "Direct" if your MOA is a primary implementor of programs that advance this priority, or "Enabling" if your MOA creates conditions or inputs that support other implementors.</w:t>
      </w:r>
    </w:p>
    <w:p>
      <w:pPr>
        <w:pStyle w:val="ListNumber"/>
      </w:pPr>
      <w:r>
        <w:rPr>
          <w:rFonts w:ascii="Inter" w:hAnsi="Inter" w:cs="Inter"/>
          <w:b w:val="0"/>
          <w:i w:val="0"/>
          <w:color w:val="2D2D2D"/>
          <w:sz w:val="22"/>
        </w:rPr>
      </w:r>
      <w:r>
        <w:rPr>
          <w:rFonts w:ascii="Inter" w:hAnsi="Inter" w:cs="Inter"/>
          <w:b/>
          <w:i w:val="0"/>
          <w:color w:val="2D2D2D"/>
          <w:sz w:val="22"/>
        </w:rPr>
        <w:t>Supporting Mandate</w:t>
      </w:r>
      <w:r>
        <w:rPr>
          <w:rFonts w:ascii="Inter" w:hAnsi="Inter" w:cs="Inter"/>
          <w:b w:val="0"/>
          <w:i w:val="0"/>
          <w:color w:val="2D2D2D"/>
          <w:sz w:val="22"/>
        </w:rPr>
        <w:t xml:space="preserve"> --- Enter the legal authority from your Chapter 2 Legal Mandate Matrix that authorizes your MOA to take the action you described. Use the same citation format you used in Chapter 2.</w:t>
      </w:r>
    </w:p>
    <w:p>
      <w:pPr>
        <w:pStyle w:val="ListNumber"/>
      </w:pPr>
      <w:r>
        <w:rPr>
          <w:rFonts w:ascii="Inter" w:hAnsi="Inter" w:cs="Inter"/>
          <w:b w:val="0"/>
          <w:i w:val="0"/>
          <w:color w:val="2D2D2D"/>
          <w:sz w:val="22"/>
        </w:rPr>
      </w:r>
      <w:r>
        <w:rPr>
          <w:rFonts w:ascii="Inter" w:hAnsi="Inter" w:cs="Inter"/>
          <w:b/>
          <w:i w:val="0"/>
          <w:color w:val="2D2D2D"/>
          <w:sz w:val="22"/>
        </w:rPr>
        <w:t>Status</w:t>
      </w:r>
      <w:r>
        <w:rPr>
          <w:rFonts w:ascii="Inter" w:hAnsi="Inter" w:cs="Inter"/>
          <w:b w:val="0"/>
          <w:i w:val="0"/>
          <w:color w:val="2D2D2D"/>
          <w:sz w:val="22"/>
        </w:rPr>
        <w:t xml:space="preserve"> --- Mark as "Active" if your MOA is currently implementing programs under this alignment, "Planned" if programs are in the pipeline, or "Under review" if alignment exists but programs are being evaluated.</w:t>
      </w:r>
    </w:p>
    <w:p>
      <w:pPr>
        <w:spacing w:after="120" w:line="276" w:lineRule="auto"/>
      </w:pPr>
      <w:r>
        <w:rPr>
          <w:rFonts w:ascii="Inter" w:hAnsi="Inter" w:cs="Inter"/>
          <w:b w:val="0"/>
          <w:i w:val="0"/>
          <w:color w:val="2D2D2D"/>
          <w:sz w:val="22"/>
        </w:rPr>
      </w:r>
      <w:r>
        <w:rPr>
          <w:rFonts w:ascii="Inter" w:hAnsi="Inter" w:cs="Inter"/>
          <w:b/>
          <w:i w:val="0"/>
          <w:color w:val="2D2D2D"/>
          <w:sz w:val="22"/>
        </w:rPr>
        <w:t>Note on priorities not listed:</w:t>
      </w:r>
      <w:r>
        <w:rPr>
          <w:rFonts w:ascii="Inter" w:hAnsi="Inter" w:cs="Inter"/>
          <w:b w:val="0"/>
          <w:i w:val="0"/>
          <w:color w:val="2D2D2D"/>
          <w:sz w:val="22"/>
        </w:rPr>
        <w:t xml:space="preserve"> For each Priority Agenda item your MOA does not contribute to, no row is required. However, your gap analysis (Step 5) should document whether each omission is a deliberate choice (outside your mandate) or a planning gap to be addressed.</w:t>
      </w:r>
    </w:p>
    <w:p>
      <w:pPr>
        <w:pStyle w:val="Heading2"/>
      </w:pPr>
      <w:r>
        <w:rPr>
          <w:rFonts w:ascii="Inter" w:hAnsi="Inter" w:cs="Inter"/>
          <w:b/>
          <w:i w:val="0"/>
          <w:color w:val="1B365D"/>
          <w:sz w:val="32"/>
        </w:rPr>
        <w:t>4.8 Quality Checklist</w:t>
      </w:r>
    </w:p>
    <w:p>
      <w:pPr>
        <w:spacing w:after="120" w:line="276" w:lineRule="auto"/>
      </w:pPr>
      <w:r>
        <w:rPr>
          <w:rFonts w:ascii="Inter" w:hAnsi="Inter" w:cs="Inter"/>
          <w:b w:val="0"/>
          <w:i w:val="0"/>
          <w:color w:val="2D2D2D"/>
          <w:sz w:val="22"/>
        </w:rPr>
        <w:t>Before submitting your Priority Agenda Alignment Sheet, verify each item:</w:t>
      </w:r>
    </w:p>
    <w:p>
      <w:pPr>
        <w:pStyle w:val="ListBullet"/>
      </w:pPr>
      <w:r>
        <w:rPr>
          <w:rFonts w:ascii="Inter" w:hAnsi="Inter" w:cs="Inter"/>
          <w:b w:val="0"/>
          <w:i w:val="0"/>
          <w:color w:val="2D2D2D"/>
          <w:sz w:val="22"/>
        </w:rPr>
        <w:t>[ ] All 12 Priority Agenda items have been reviewed --- not just those you ultimately claim</w:t>
      </w:r>
    </w:p>
    <w:p>
      <w:pPr>
        <w:pStyle w:val="ListBullet"/>
      </w:pPr>
      <w:r>
        <w:rPr>
          <w:rFonts w:ascii="Inter" w:hAnsi="Inter" w:cs="Inter"/>
          <w:b w:val="0"/>
          <w:i w:val="0"/>
          <w:color w:val="2D2D2D"/>
          <w:sz w:val="22"/>
        </w:rPr>
        <w:t>[ ] Each claimed alignment is supported by a legal mandate from the Chapter 2 Legal Mandate Matrix</w:t>
      </w:r>
    </w:p>
    <w:p>
      <w:pPr>
        <w:pStyle w:val="ListBullet"/>
      </w:pPr>
      <w:r>
        <w:rPr>
          <w:rFonts w:ascii="Inter" w:hAnsi="Inter" w:cs="Inter"/>
          <w:b w:val="0"/>
          <w:i w:val="0"/>
          <w:color w:val="2D2D2D"/>
          <w:sz w:val="22"/>
        </w:rPr>
        <w:t>[ ] Each claimed alignment reflects actual organizational capacity, not aspiration</w:t>
      </w:r>
    </w:p>
    <w:p>
      <w:pPr>
        <w:pStyle w:val="ListBullet"/>
      </w:pPr>
      <w:r>
        <w:rPr>
          <w:rFonts w:ascii="Inter" w:hAnsi="Inter" w:cs="Inter"/>
          <w:b w:val="0"/>
          <w:i w:val="0"/>
          <w:color w:val="2D2D2D"/>
          <w:sz w:val="22"/>
        </w:rPr>
        <w:t>[ ] Contribution types (Direct vs. Enabling) have been applied consistently --- no contributions labeled Direct without primary implementor accountability</w:t>
      </w:r>
    </w:p>
    <w:p>
      <w:pPr>
        <w:pStyle w:val="ListBullet"/>
      </w:pPr>
      <w:r>
        <w:rPr>
          <w:rFonts w:ascii="Inter" w:hAnsi="Inter" w:cs="Inter"/>
          <w:b w:val="0"/>
          <w:i w:val="0"/>
          <w:color w:val="2D2D2D"/>
          <w:sz w:val="22"/>
        </w:rPr>
        <w:t>[ ] No more than four to five priorities claimed as Direct contributions (review if more are claimed)</w:t>
      </w:r>
    </w:p>
    <w:p>
      <w:pPr>
        <w:pStyle w:val="ListBullet"/>
      </w:pPr>
      <w:r>
        <w:rPr>
          <w:rFonts w:ascii="Inter" w:hAnsi="Inter" w:cs="Inter"/>
          <w:b w:val="0"/>
          <w:i w:val="0"/>
          <w:color w:val="2D2D2D"/>
          <w:sz w:val="22"/>
        </w:rPr>
        <w:t>[ ] Contribution descriptions are specific: each names a program or function, a mechanism, and an outcome --- no generic descriptions</w:t>
      </w:r>
    </w:p>
    <w:p>
      <w:pPr>
        <w:pStyle w:val="ListBullet"/>
      </w:pPr>
      <w:r>
        <w:rPr>
          <w:rFonts w:ascii="Inter" w:hAnsi="Inter" w:cs="Inter"/>
          <w:b w:val="0"/>
          <w:i w:val="0"/>
          <w:color w:val="2D2D2D"/>
          <w:sz w:val="22"/>
        </w:rPr>
        <w:t>[ ] Gap analysis completed and documented --- every priority not claimed is an explicit choice</w:t>
      </w:r>
    </w:p>
    <w:p>
      <w:pPr>
        <w:pStyle w:val="ListBullet"/>
      </w:pPr>
      <w:r>
        <w:rPr>
          <w:rFonts w:ascii="Inter" w:hAnsi="Inter" w:cs="Inter"/>
          <w:b w:val="0"/>
          <w:i w:val="0"/>
          <w:color w:val="2D2D2D"/>
          <w:sz w:val="22"/>
        </w:rPr>
        <w:t>[ ] Priority Agenda Alignment Sheet is consistent with BDP Alignment Map from Chapter 3 --- overlapping areas are coherent, not contradictory</w:t>
      </w:r>
    </w:p>
    <w:p>
      <w:pPr>
        <w:pStyle w:val="ListBullet"/>
      </w:pPr>
      <w:r>
        <w:rPr>
          <w:rFonts w:ascii="Inter" w:hAnsi="Inter" w:cs="Inter"/>
          <w:b w:val="0"/>
          <w:i w:val="0"/>
          <w:color w:val="2D2D2D"/>
          <w:sz w:val="22"/>
        </w:rPr>
        <w:t>[ ] Date of the Priority Agenda version referenced is documented --- alignment will need updating if the agenda is revised</w:t>
      </w:r>
    </w:p>
    <w:p>
      <w:pPr>
        <w:spacing w:after="120" w:line="276" w:lineRule="auto"/>
      </w:pPr>
      <w:r>
        <w:rPr>
          <w:rFonts w:ascii="Inter" w:hAnsi="Inter" w:cs="Inter"/>
          <w:b w:val="0"/>
          <w:i w:val="0"/>
          <w:color w:val="2D2D2D"/>
          <w:sz w:val="22"/>
        </w:rPr>
        <w:t>[^1]: Chief Minister's 12-Point Enhanced Priority Agenda, Priority 1 (Moral Governance). The 12 Pillars of Moral Governance are also incorporated in the 2nd Bangsamoro Development Plan 2023-2028, Chapter 4 (Pillars of Moral Governance). The 12 Pillars are: Integrity, Accountability, Transparency and Honesty, Sense of Patriotism, Striving for Excellence, Cultural Understanding and Tolerance, Unwavering Loyalty to God, Justice, Inclusivity, Objectivity, Dialogue and Meaningful Engagement, and Balance between Practical Life and the Moral Side.</w:t>
      </w:r>
    </w:p>
    <w:p>
      <w:pPr>
        <w:spacing w:after="120" w:line="276" w:lineRule="auto"/>
      </w:pPr>
      <w:r>
        <w:rPr>
          <w:rFonts w:ascii="Inter" w:hAnsi="Inter" w:cs="Inter"/>
          <w:b w:val="0"/>
          <w:i w:val="0"/>
          <w:color w:val="2D2D2D"/>
          <w:sz w:val="22"/>
        </w:rPr>
        <w:t>[^2]: Republic Act No. 11054, Article XVI (Normalization) establishes the legal framework for the normalization process, including the disposition of weapons and the socioeconomic reintegration of former combatants. *See* R.A. No. 11054, art. XVI, §§ 1-4 (2018).</w:t>
      </w:r>
    </w:p>
    <w:p>
      <w:pPr>
        <w:pageBreakBefore/>
      </w:pPr>
    </w:p>
    <w:p>
      <w:pPr>
        <w:pStyle w:val="Heading1"/>
      </w:pPr>
      <w:r>
        <w:rPr>
          <w:rFonts w:ascii="Inter" w:hAnsi="Inter" w:cs="Inter"/>
          <w:b/>
          <w:i w:val="0"/>
          <w:color w:val="1B365D"/>
          <w:sz w:val="44"/>
        </w:rPr>
        <w:t>Chapter 5: Analyzing Your Stakeholders</w:t>
      </w:r>
    </w:p>
    <w:p>
      <w:pPr>
        <w:spacing w:after="120" w:line="276" w:lineRule="auto"/>
      </w:pPr>
      <w:r>
        <w:rPr>
          <w:rFonts w:ascii="Inter" w:hAnsi="Inter" w:cs="Inter"/>
          <w:b w:val="0"/>
          <w:i w:val="0"/>
          <w:color w:val="2D2D2D"/>
          <w:sz w:val="22"/>
        </w:rPr>
        <w:t>Your MOA does not plan in isolation. Every program you implement affects people, organizations, and institutions --- and many of those same actors have the power to shape whether your programs succeed or fail. Some control resources you need. Some represent communities you serve. Some have the authority to approve or block your plans. Some oppose your direction entirely.</w:t>
      </w:r>
    </w:p>
    <w:p>
      <w:pPr>
        <w:spacing w:after="120" w:line="276" w:lineRule="auto"/>
      </w:pPr>
      <w:r>
        <w:rPr>
          <w:rFonts w:ascii="Inter" w:hAnsi="Inter" w:cs="Inter"/>
          <w:b w:val="0"/>
          <w:i w:val="0"/>
          <w:color w:val="2D2D2D"/>
          <w:sz w:val="22"/>
        </w:rPr>
        <w:t>Stakeholder analysis is the systematic process of identifying all of these actors, understanding what they care about and how much influence they hold, and designing engagement strategies that match their position. It is Point 4 of the 10-Point Framework because it bridges the *institutional* work of Points 1 through 3 (legal mandate, BDP alignment, priority agenda) with the *strategic* work that follows (strategy analysis, theory of change, program design). The first three points answer: *What is your MOA authorized and expected to do?* Stakeholder analysis answers: *Who will help, hinder, benefit from, or be affected by what you do --- and how will you engage them?*</w:t>
      </w:r>
    </w:p>
    <w:p>
      <w:pPr>
        <w:spacing w:after="120" w:line="276" w:lineRule="auto"/>
      </w:pPr>
      <w:r>
        <w:rPr>
          <w:rFonts w:ascii="Inter" w:hAnsi="Inter" w:cs="Inter"/>
          <w:b w:val="0"/>
          <w:i w:val="0"/>
          <w:color w:val="2D2D2D"/>
          <w:sz w:val="22"/>
        </w:rPr>
        <w:t>In BARMM, stakeholder analysis carries particular weight. The Bangsamoro governance landscape includes not only the formal institutions of the Bangsamoro Government --- Parliament, ministries, offices, agencies, and local government units --- but also traditional authority structures (Sultanate systems, council of elders), religious institutions (Ulama councils, Da'wah organizations), indigenous peoples' communities with distinct governance traditions, a large and active development partner community (international organizations, bilateral donors, NGOs), and civil society organizations that serve as intermediaries between government and communities. Missing any of these categories in your analysis creates blind spots that can derail implementation.</w:t>
      </w:r>
    </w:p>
    <w:p>
      <w:pPr>
        <w:spacing w:after="120" w:line="276" w:lineRule="auto"/>
      </w:pPr>
      <w:r>
        <w:rPr>
          <w:rFonts w:ascii="Inter" w:hAnsi="Inter" w:cs="Inter"/>
          <w:b w:val="0"/>
          <w:i w:val="0"/>
          <w:color w:val="2D2D2D"/>
          <w:sz w:val="22"/>
        </w:rPr>
        <w:t>This chapter gives you a step-by-step process for identifying your MOA's full stakeholder landscape, assessing each stakeholder's power and interest, plotting them on a Power/Interest matrix, assigning engagement strategies, and completing a Stakeholder Register and Engagement Plan.</w:t>
      </w:r>
    </w:p>
    <w:p>
      <w:pPr>
        <w:pStyle w:val="Heading2"/>
      </w:pPr>
      <w:r>
        <w:rPr>
          <w:rFonts w:ascii="Inter" w:hAnsi="Inter" w:cs="Inter"/>
          <w:b/>
          <w:i w:val="0"/>
          <w:color w:val="1B365D"/>
          <w:sz w:val="32"/>
        </w:rPr>
        <w:t>5.1 Purpose</w:t>
      </w:r>
    </w:p>
    <w:p>
      <w:pPr>
        <w:spacing w:after="120" w:line="276" w:lineRule="auto"/>
      </w:pPr>
      <w:r>
        <w:rPr>
          <w:rFonts w:ascii="Inter" w:hAnsi="Inter" w:cs="Inter"/>
          <w:b w:val="0"/>
          <w:i w:val="0"/>
          <w:color w:val="2D2D2D"/>
          <w:sz w:val="22"/>
        </w:rPr>
        <w:t>Stakeholder analysis serves four strategic purposes in your planning process:</w:t>
      </w:r>
    </w:p>
    <w:p>
      <w:pPr>
        <w:spacing w:after="120" w:line="276" w:lineRule="auto"/>
      </w:pPr>
      <w:r>
        <w:rPr>
          <w:rFonts w:ascii="Inter" w:hAnsi="Inter" w:cs="Inter"/>
          <w:b w:val="0"/>
          <w:i w:val="0"/>
          <w:color w:val="2D2D2D"/>
          <w:sz w:val="22"/>
        </w:rPr>
      </w:r>
      <w:r>
        <w:rPr>
          <w:rFonts w:ascii="Inter" w:hAnsi="Inter" w:cs="Inter"/>
          <w:b/>
          <w:i w:val="0"/>
          <w:color w:val="2D2D2D"/>
          <w:sz w:val="22"/>
        </w:rPr>
        <w:t>First, it prevents blind spots.</w:t>
      </w:r>
      <w:r>
        <w:rPr>
          <w:rFonts w:ascii="Inter" w:hAnsi="Inter" w:cs="Inter"/>
          <w:b w:val="0"/>
          <w:i w:val="0"/>
          <w:color w:val="2D2D2D"/>
          <w:sz w:val="22"/>
        </w:rPr>
        <w:t xml:space="preserve"> Without a systematic process, most planning teams default to listing the stakeholders they already know --- the partner agencies they work with, the LGUs they coordinate with, the development partners that fund their programs. They miss the communities that will be affected by the programs, the Parliament committees that will scrutinize them, the traditional leaders whose cooperation is essential for community-level implementation, and the critics whose objections must be addressed rather than ignored. A structured stakeholder analysis ensures you identify actors across all relevant categories.</w:t>
      </w:r>
    </w:p>
    <w:p>
      <w:pPr>
        <w:spacing w:after="120" w:line="276" w:lineRule="auto"/>
      </w:pPr>
      <w:r>
        <w:rPr>
          <w:rFonts w:ascii="Inter" w:hAnsi="Inter" w:cs="Inter"/>
          <w:b w:val="0"/>
          <w:i w:val="0"/>
          <w:color w:val="2D2D2D"/>
          <w:sz w:val="22"/>
        </w:rPr>
      </w:r>
      <w:r>
        <w:rPr>
          <w:rFonts w:ascii="Inter" w:hAnsi="Inter" w:cs="Inter"/>
          <w:b/>
          <w:i w:val="0"/>
          <w:color w:val="2D2D2D"/>
          <w:sz w:val="22"/>
        </w:rPr>
        <w:t>Second, it enables differentiated engagement.</w:t>
      </w:r>
      <w:r>
        <w:rPr>
          <w:rFonts w:ascii="Inter" w:hAnsi="Inter" w:cs="Inter"/>
          <w:b w:val="0"/>
          <w:i w:val="0"/>
          <w:color w:val="2D2D2D"/>
          <w:sz w:val="22"/>
        </w:rPr>
        <w:t xml:space="preserve"> Not all stakeholders require the same level of attention. A BTA committee with oversight authority over your MOA demands a fundamentally different engagement approach than a community organization in a remote municipality. The Power/Interest matrix gives you a principled basis for allocating your limited time and resources to the stakeholders that matter most --- without neglecting those who matter less but still deserve attention.</w:t>
      </w:r>
    </w:p>
    <w:p>
      <w:pPr>
        <w:spacing w:after="120" w:line="276" w:lineRule="auto"/>
      </w:pPr>
      <w:r>
        <w:rPr>
          <w:rFonts w:ascii="Inter" w:hAnsi="Inter" w:cs="Inter"/>
          <w:b w:val="0"/>
          <w:i w:val="0"/>
          <w:color w:val="2D2D2D"/>
          <w:sz w:val="22"/>
        </w:rPr>
      </w:r>
      <w:r>
        <w:rPr>
          <w:rFonts w:ascii="Inter" w:hAnsi="Inter" w:cs="Inter"/>
          <w:b/>
          <w:i w:val="0"/>
          <w:color w:val="2D2D2D"/>
          <w:sz w:val="22"/>
        </w:rPr>
        <w:t>Third, it builds coalitions for implementation.</w:t>
      </w:r>
      <w:r>
        <w:rPr>
          <w:rFonts w:ascii="Inter" w:hAnsi="Inter" w:cs="Inter"/>
          <w:b w:val="0"/>
          <w:i w:val="0"/>
          <w:color w:val="2D2D2D"/>
          <w:sz w:val="22"/>
        </w:rPr>
        <w:t xml:space="preserve"> Strategic plans fail most often not because of technical deficiency but because of political and institutional failure --- lack of support, active opposition, coordination breakdown, or community resistance. Stakeholder analysis forces you to identify which actors are essential for plan approval and implementation, and to design engagement strategies that secure their support before implementation begins.</w:t>
      </w:r>
    </w:p>
    <w:p>
      <w:pPr>
        <w:spacing w:after="120" w:line="276" w:lineRule="auto"/>
      </w:pPr>
      <w:r>
        <w:rPr>
          <w:rFonts w:ascii="Inter" w:hAnsi="Inter" w:cs="Inter"/>
          <w:b w:val="0"/>
          <w:i w:val="0"/>
          <w:color w:val="2D2D2D"/>
          <w:sz w:val="22"/>
        </w:rPr>
      </w:r>
      <w:r>
        <w:rPr>
          <w:rFonts w:ascii="Inter" w:hAnsi="Inter" w:cs="Inter"/>
          <w:b/>
          <w:i w:val="0"/>
          <w:color w:val="2D2D2D"/>
          <w:sz w:val="22"/>
        </w:rPr>
        <w:t>Fourth, it surfaces risks early.</w:t>
      </w:r>
      <w:r>
        <w:rPr>
          <w:rFonts w:ascii="Inter" w:hAnsi="Inter" w:cs="Inter"/>
          <w:b w:val="0"/>
          <w:i w:val="0"/>
          <w:color w:val="2D2D2D"/>
          <w:sz w:val="22"/>
        </w:rPr>
        <w:t xml:space="preserve"> Stakeholders with high power and low interest can become obstacles if they are surprised by your programs. Stakeholders with competing interests can create conflicts that delay implementation. Stakeholders who feel excluded from the planning process can become active opponents. Identifying these dynamics during the planning stage --- rather than discovering them during implementation --- gives you time to address them.</w:t>
      </w:r>
    </w:p>
    <w:p>
      <w:pPr>
        <w:spacing w:after="120" w:line="276" w:lineRule="auto"/>
      </w:pPr>
      <w:r>
        <w:rPr>
          <w:rFonts w:ascii="Inter" w:hAnsi="Inter" w:cs="Inter"/>
          <w:b w:val="0"/>
          <w:i w:val="0"/>
          <w:color w:val="2D2D2D"/>
          <w:sz w:val="22"/>
        </w:rPr>
        <w:t>The Bangsamoro Administrative Code (BAA No. 13) establishes that the Bangsamoro Economic and Development Council (BEDC) shall "direct the plan formulation and recommend for approval by the Parliament the Bangsamoro Development Plan."[^1] This means your MOA's strategic plan will be evaluated at multiple institutional levels --- from BPDA technical review to BEDC deliberation to parliamentary scrutiny. Your stakeholder analysis must account for these institutional checkpoints and the actors who inhabit them.</w:t>
      </w:r>
    </w:p>
    <w:p>
      <w:pPr>
        <w:pStyle w:val="Heading2"/>
      </w:pPr>
      <w:r>
        <w:rPr>
          <w:rFonts w:ascii="Inter" w:hAnsi="Inter" w:cs="Inter"/>
          <w:b/>
          <w:i w:val="0"/>
          <w:color w:val="1B365D"/>
          <w:sz w:val="32"/>
        </w:rPr>
        <w:t>5.2 Key Concepts</w:t>
      </w:r>
    </w:p>
    <w:p>
      <w:pPr>
        <w:pStyle w:val="Heading3"/>
      </w:pPr>
      <w:r>
        <w:rPr>
          <w:rFonts w:ascii="Inter" w:hAnsi="Inter" w:cs="Inter"/>
          <w:b/>
          <w:i w:val="0"/>
          <w:color w:val="2C5F7C"/>
          <w:sz w:val="26"/>
        </w:rPr>
        <w:t>Stakeholder Categories in BARMM</w:t>
      </w:r>
    </w:p>
    <w:p>
      <w:pPr>
        <w:spacing w:after="120" w:line="276" w:lineRule="auto"/>
      </w:pPr>
      <w:r>
        <w:rPr>
          <w:rFonts w:ascii="Inter" w:hAnsi="Inter" w:cs="Inter"/>
          <w:b w:val="0"/>
          <w:i w:val="0"/>
          <w:color w:val="2D2D2D"/>
          <w:sz w:val="22"/>
        </w:rPr>
        <w:t>A stakeholder is any individual, group, or organization that can affect or is affected by your MOA's programs. In BARMM, stakeholders fall into eight primary categories. Your analysis must consider all eight, even if some categories are more relevant than others to your specific MOA.</w:t>
      </w:r>
    </w:p>
    <w:p>
      <w:pPr>
        <w:spacing w:after="120" w:line="276" w:lineRule="auto"/>
      </w:pPr>
      <w:r>
        <w:rPr>
          <w:rFonts w:ascii="Inter" w:hAnsi="Inter" w:cs="Inter"/>
          <w:b w:val="0"/>
          <w:i w:val="0"/>
          <w:color w:val="2D2D2D"/>
          <w:sz w:val="22"/>
        </w:rPr>
      </w:r>
      <w:r>
        <w:rPr>
          <w:rFonts w:ascii="Inter" w:hAnsi="Inter" w:cs="Inter"/>
          <w:b/>
          <w:i w:val="0"/>
          <w:color w:val="2D2D2D"/>
          <w:sz w:val="22"/>
        </w:rPr>
        <w:t>Category A: BTA Parliament and Committees.</w:t>
      </w:r>
      <w:r>
        <w:rPr>
          <w:rFonts w:ascii="Inter" w:hAnsi="Inter" w:cs="Inter"/>
          <w:b w:val="0"/>
          <w:i w:val="0"/>
          <w:color w:val="2D2D2D"/>
          <w:sz w:val="22"/>
        </w:rPr>
        <w:t xml:space="preserve"> The Bangsamoro Transition Authority Parliament has legislative oversight over every MOA. The committee with jurisdiction over your sector --- whether it is the Committee on Basic Education, the Committee on Environment, the Committee on Health, or any other --- reviews your budget proposals, conducts oversight hearings, and can direct inquiry into your operations.[^2] Members of Parliament from provinces and districts where your programs operate have a direct interest in your MOA's work. Parliament is a stakeholder in every MOA's plan. Forgetting this is one of the most common errors in BARMM stakeholder analysis.</w:t>
      </w:r>
    </w:p>
    <w:p>
      <w:pPr>
        <w:spacing w:after="120" w:line="276" w:lineRule="auto"/>
      </w:pPr>
      <w:r>
        <w:rPr>
          <w:rFonts w:ascii="Inter" w:hAnsi="Inter" w:cs="Inter"/>
          <w:b w:val="0"/>
          <w:i w:val="0"/>
          <w:color w:val="2D2D2D"/>
          <w:sz w:val="22"/>
        </w:rPr>
      </w:r>
      <w:r>
        <w:rPr>
          <w:rFonts w:ascii="Inter" w:hAnsi="Inter" w:cs="Inter"/>
          <w:b/>
          <w:i w:val="0"/>
          <w:color w:val="2D2D2D"/>
          <w:sz w:val="22"/>
        </w:rPr>
        <w:t>Category B: Other MOAs (Ministries, Offices, and Agencies).</w:t>
      </w:r>
      <w:r>
        <w:rPr>
          <w:rFonts w:ascii="Inter" w:hAnsi="Inter" w:cs="Inter"/>
          <w:b w:val="0"/>
          <w:i w:val="0"/>
          <w:color w:val="2D2D2D"/>
          <w:sz w:val="22"/>
        </w:rPr>
        <w:t xml:space="preserve"> The Bangsamoro Government has 15 primary ministries and numerous offices and agencies, many of which share mandates or coordinate on cross-cutting programs.[^3] Your MOA does not operate in isolation. The Ministry of Finance, Budget and Management (MFBM) reviews your budget. The BPDA evaluates your plan. The Bangsamoro Information Office may communicate your programs. Other sector ministries may implement complementary or competing programs. Identify every MOA that your work intersects with.</w:t>
      </w:r>
    </w:p>
    <w:p>
      <w:pPr>
        <w:spacing w:after="120" w:line="276" w:lineRule="auto"/>
      </w:pPr>
      <w:r>
        <w:rPr>
          <w:rFonts w:ascii="Inter" w:hAnsi="Inter" w:cs="Inter"/>
          <w:b w:val="0"/>
          <w:i w:val="0"/>
          <w:color w:val="2D2D2D"/>
          <w:sz w:val="22"/>
        </w:rPr>
      </w:r>
      <w:r>
        <w:rPr>
          <w:rFonts w:ascii="Inter" w:hAnsi="Inter" w:cs="Inter"/>
          <w:b/>
          <w:i w:val="0"/>
          <w:color w:val="2D2D2D"/>
          <w:sz w:val="22"/>
        </w:rPr>
        <w:t>Category C: Local Government Units (LGUs).</w:t>
      </w:r>
      <w:r>
        <w:rPr>
          <w:rFonts w:ascii="Inter" w:hAnsi="Inter" w:cs="Inter"/>
          <w:b w:val="0"/>
          <w:i w:val="0"/>
          <w:color w:val="2D2D2D"/>
          <w:sz w:val="22"/>
        </w:rPr>
        <w:t xml:space="preserve"> BARMM comprises five provinces (Maguindanao del Norte, Maguindanao del Sur, Lanao del Sur, Basilan, and Sulu), three cities (Cotabato City, Marawi City, and Lamitan City), 116 municipalities, and over 2,500 barangays.[^4] Your MOA's programs are ultimately delivered at the local level. Provincial governors, city and municipal mayors, and barangay captains are both implementers and gatekeepers. LGU cooperation is often the difference between a program that reaches communities and a program that remains on paper.</w:t>
      </w:r>
    </w:p>
    <w:p>
      <w:pPr>
        <w:spacing w:after="120" w:line="276" w:lineRule="auto"/>
      </w:pPr>
      <w:r>
        <w:rPr>
          <w:rFonts w:ascii="Inter" w:hAnsi="Inter" w:cs="Inter"/>
          <w:b w:val="0"/>
          <w:i w:val="0"/>
          <w:color w:val="2D2D2D"/>
          <w:sz w:val="22"/>
        </w:rPr>
      </w:r>
      <w:r>
        <w:rPr>
          <w:rFonts w:ascii="Inter" w:hAnsi="Inter" w:cs="Inter"/>
          <w:b/>
          <w:i w:val="0"/>
          <w:color w:val="2D2D2D"/>
          <w:sz w:val="22"/>
        </w:rPr>
        <w:t>Category D: Civil Society Organizations (CSOs) and NGOs.</w:t>
      </w:r>
      <w:r>
        <w:rPr>
          <w:rFonts w:ascii="Inter" w:hAnsi="Inter" w:cs="Inter"/>
          <w:b w:val="0"/>
          <w:i w:val="0"/>
          <w:color w:val="2D2D2D"/>
          <w:sz w:val="22"/>
        </w:rPr>
        <w:t xml:space="preserve"> BARMM has a vibrant civil society sector. CSOs provide essential services, conduct advocacy, monitor government performance, and represent community interests. They include local NGOs, people's organizations, cooperatives, women's organizations, youth groups, and professional associations. CSOs can be implementing partners, advocacy allies, constructive critics, or all three simultaneously.</w:t>
      </w:r>
    </w:p>
    <w:p>
      <w:pPr>
        <w:spacing w:after="120" w:line="276" w:lineRule="auto"/>
      </w:pPr>
      <w:r>
        <w:rPr>
          <w:rFonts w:ascii="Inter" w:hAnsi="Inter" w:cs="Inter"/>
          <w:b w:val="0"/>
          <w:i w:val="0"/>
          <w:color w:val="2D2D2D"/>
          <w:sz w:val="22"/>
        </w:rPr>
      </w:r>
      <w:r>
        <w:rPr>
          <w:rFonts w:ascii="Inter" w:hAnsi="Inter" w:cs="Inter"/>
          <w:b/>
          <w:i w:val="0"/>
          <w:color w:val="2D2D2D"/>
          <w:sz w:val="22"/>
        </w:rPr>
        <w:t>Category E: Development Partners.</w:t>
      </w:r>
      <w:r>
        <w:rPr>
          <w:rFonts w:ascii="Inter" w:hAnsi="Inter" w:cs="Inter"/>
          <w:b w:val="0"/>
          <w:i w:val="0"/>
          <w:color w:val="2D2D2D"/>
          <w:sz w:val="22"/>
        </w:rPr>
        <w:t xml:space="preserve"> International organizations and bilateral donors active in BARMM include the World Bank, the Asian Development Bank, UNDP, USAID, GIZ, JICA, the Australian Government (through DFAT), the European Union, and numerous international NGOs.[^5] Development partners provide technical assistance, grant funding, and capacity-building support. They often have their own reporting requirements, program priorities, and coordination mechanisms. Your MOA's strategic plan should account for how development partner support aligns with your priorities --- and where it may pull you in directions that do not align.</w:t>
      </w:r>
    </w:p>
    <w:p>
      <w:pPr>
        <w:spacing w:after="120" w:line="276" w:lineRule="auto"/>
      </w:pPr>
      <w:r>
        <w:rPr>
          <w:rFonts w:ascii="Inter" w:hAnsi="Inter" w:cs="Inter"/>
          <w:b w:val="0"/>
          <w:i w:val="0"/>
          <w:color w:val="2D2D2D"/>
          <w:sz w:val="22"/>
        </w:rPr>
      </w:r>
      <w:r>
        <w:rPr>
          <w:rFonts w:ascii="Inter" w:hAnsi="Inter" w:cs="Inter"/>
          <w:b/>
          <w:i w:val="0"/>
          <w:color w:val="2D2D2D"/>
          <w:sz w:val="22"/>
        </w:rPr>
        <w:t>Category F: Private Sector.</w:t>
      </w:r>
      <w:r>
        <w:rPr>
          <w:rFonts w:ascii="Inter" w:hAnsi="Inter" w:cs="Inter"/>
          <w:b w:val="0"/>
          <w:i w:val="0"/>
          <w:color w:val="2D2D2D"/>
          <w:sz w:val="22"/>
        </w:rPr>
        <w:t xml:space="preserve"> Businesses, industry associations, chambers of commerce, and private enterprises operating in BARMM are stakeholders in programs that affect the business environment, infrastructure, labor, trade, investment, and regulation. Even MOAs that do not directly regulate the private sector may find that private sector actors are affected by their programs --- a health ministry's regulations affect private health facilities, an education ministry's standards affect private schools, an environment ministry's policies affect extractive industries.</w:t>
      </w:r>
    </w:p>
    <w:p>
      <w:pPr>
        <w:spacing w:after="120" w:line="276" w:lineRule="auto"/>
      </w:pPr>
      <w:r>
        <w:rPr>
          <w:rFonts w:ascii="Inter" w:hAnsi="Inter" w:cs="Inter"/>
          <w:b w:val="0"/>
          <w:i w:val="0"/>
          <w:color w:val="2D2D2D"/>
          <w:sz w:val="22"/>
        </w:rPr>
      </w:r>
      <w:r>
        <w:rPr>
          <w:rFonts w:ascii="Inter" w:hAnsi="Inter" w:cs="Inter"/>
          <w:b/>
          <w:i w:val="0"/>
          <w:color w:val="2D2D2D"/>
          <w:sz w:val="22"/>
        </w:rPr>
        <w:t>Category G: Traditional and Religious Leaders.</w:t>
      </w:r>
      <w:r>
        <w:rPr>
          <w:rFonts w:ascii="Inter" w:hAnsi="Inter" w:cs="Inter"/>
          <w:b w:val="0"/>
          <w:i w:val="0"/>
          <w:color w:val="2D2D2D"/>
          <w:sz w:val="22"/>
        </w:rPr>
        <w:t xml:space="preserve"> This category is distinctive to BARMM and critically important. The Bangsamoro political landscape includes traditional authority structures that predate the modern state:[^6]</w:t>
      </w:r>
    </w:p>
    <w:p>
      <w:pPr>
        <w:pStyle w:val="ListBullet"/>
      </w:pPr>
      <w:r>
        <w:rPr>
          <w:rFonts w:ascii="Inter" w:hAnsi="Inter" w:cs="Inter"/>
          <w:b w:val="0"/>
          <w:i w:val="0"/>
          <w:color w:val="2D2D2D"/>
          <w:sz w:val="22"/>
        </w:rPr>
      </w:r>
      <w:r>
        <w:rPr>
          <w:rFonts w:ascii="Inter" w:hAnsi="Inter" w:cs="Inter"/>
          <w:b/>
          <w:i w:val="0"/>
          <w:color w:val="2D2D2D"/>
          <w:sz w:val="22"/>
        </w:rPr>
        <w:t>Sultanate structures.</w:t>
      </w:r>
      <w:r>
        <w:rPr>
          <w:rFonts w:ascii="Inter" w:hAnsi="Inter" w:cs="Inter"/>
          <w:b w:val="0"/>
          <w:i w:val="0"/>
          <w:color w:val="2D2D2D"/>
          <w:sz w:val="22"/>
        </w:rPr>
        <w:t xml:space="preserve"> The Sultanates of Sulu and Maguindanao are historical polities with continuing social and cultural authority. While they do not exercise formal governmental power under the BOL, their leaders command respect and influence in their communities. Programs that affect ancestral domains or cultural heritage often require engagement with Sultanate structures.</w:t>
      </w:r>
    </w:p>
    <w:p>
      <w:pPr>
        <w:pStyle w:val="ListBullet"/>
      </w:pPr>
      <w:r>
        <w:rPr>
          <w:rFonts w:ascii="Inter" w:hAnsi="Inter" w:cs="Inter"/>
          <w:b w:val="0"/>
          <w:i w:val="0"/>
          <w:color w:val="2D2D2D"/>
          <w:sz w:val="22"/>
        </w:rPr>
      </w:r>
      <w:r>
        <w:rPr>
          <w:rFonts w:ascii="Inter" w:hAnsi="Inter" w:cs="Inter"/>
          <w:b/>
          <w:i w:val="0"/>
          <w:color w:val="2D2D2D"/>
          <w:sz w:val="22"/>
        </w:rPr>
        <w:t>Ulama councils.</w:t>
      </w:r>
      <w:r>
        <w:rPr>
          <w:rFonts w:ascii="Inter" w:hAnsi="Inter" w:cs="Inter"/>
          <w:b w:val="0"/>
          <w:i w:val="0"/>
          <w:color w:val="2D2D2D"/>
          <w:sz w:val="22"/>
        </w:rPr>
        <w:t xml:space="preserve"> Islamic scholars and religious leaders (Ulama) play a significant role in Bangsamoro society. They provide moral and religious guidance, adjudicate personal and family law matters through the Shari'ah system, and shape public opinion on governance and development issues. The BOL recognizes Shari'ah as a source of law in the Bangsamoro region.[^7]</w:t>
      </w:r>
    </w:p>
    <w:p>
      <w:pPr>
        <w:pStyle w:val="ListBullet"/>
      </w:pPr>
      <w:r>
        <w:rPr>
          <w:rFonts w:ascii="Inter" w:hAnsi="Inter" w:cs="Inter"/>
          <w:b w:val="0"/>
          <w:i w:val="0"/>
          <w:color w:val="2D2D2D"/>
          <w:sz w:val="22"/>
        </w:rPr>
      </w:r>
      <w:r>
        <w:rPr>
          <w:rFonts w:ascii="Inter" w:hAnsi="Inter" w:cs="Inter"/>
          <w:b/>
          <w:i w:val="0"/>
          <w:color w:val="2D2D2D"/>
          <w:sz w:val="22"/>
        </w:rPr>
        <w:t>Council of elders and traditional governance.</w:t>
      </w:r>
      <w:r>
        <w:rPr>
          <w:rFonts w:ascii="Inter" w:hAnsi="Inter" w:cs="Inter"/>
          <w:b w:val="0"/>
          <w:i w:val="0"/>
          <w:color w:val="2D2D2D"/>
          <w:sz w:val="22"/>
        </w:rPr>
        <w:t xml:space="preserve"> Many communities retain traditional leadership structures --- *datu*, *bai a labi*, tribal chieftains, and community elders --- who exercise authority on matters of customary law, conflict resolution, and community decision-making. Programs that require community participation often cannot succeed without the endorsement of traditional leaders.</w:t>
      </w:r>
    </w:p>
    <w:p>
      <w:pPr>
        <w:pStyle w:val="ListBullet"/>
      </w:pPr>
      <w:r>
        <w:rPr>
          <w:rFonts w:ascii="Inter" w:hAnsi="Inter" w:cs="Inter"/>
          <w:b w:val="0"/>
          <w:i w:val="0"/>
          <w:color w:val="2D2D2D"/>
          <w:sz w:val="22"/>
        </w:rPr>
      </w:r>
      <w:r>
        <w:rPr>
          <w:rFonts w:ascii="Inter" w:hAnsi="Inter" w:cs="Inter"/>
          <w:b/>
          <w:i w:val="0"/>
          <w:color w:val="2D2D2D"/>
          <w:sz w:val="22"/>
        </w:rPr>
        <w:t>Da'wah and Islamic organizations.</w:t>
      </w:r>
      <w:r>
        <w:rPr>
          <w:rFonts w:ascii="Inter" w:hAnsi="Inter" w:cs="Inter"/>
          <w:b w:val="0"/>
          <w:i w:val="0"/>
          <w:color w:val="2D2D2D"/>
          <w:sz w:val="22"/>
        </w:rPr>
        <w:t xml:space="preserve"> Islamic propagation organizations, madaris networks, and Islamic foundations are active in education, social welfare, and community development. They reach populations that government programs sometimes do not.</w:t>
      </w:r>
    </w:p>
    <w:p>
      <w:pPr>
        <w:spacing w:after="120" w:line="276" w:lineRule="auto"/>
      </w:pPr>
      <w:r>
        <w:rPr>
          <w:rFonts w:ascii="Inter" w:hAnsi="Inter" w:cs="Inter"/>
          <w:b w:val="0"/>
          <w:i w:val="0"/>
          <w:color w:val="2D2D2D"/>
          <w:sz w:val="22"/>
        </w:rPr>
      </w:r>
      <w:r>
        <w:rPr>
          <w:rFonts w:ascii="Inter" w:hAnsi="Inter" w:cs="Inter"/>
          <w:b/>
          <w:i w:val="0"/>
          <w:color w:val="2D2D2D"/>
          <w:sz w:val="22"/>
        </w:rPr>
        <w:t>Category H: Affected Communities and Beneficiaries.</w:t>
      </w:r>
      <w:r>
        <w:rPr>
          <w:rFonts w:ascii="Inter" w:hAnsi="Inter" w:cs="Inter"/>
          <w:b w:val="0"/>
          <w:i w:val="0"/>
          <w:color w:val="2D2D2D"/>
          <w:sz w:val="22"/>
        </w:rPr>
        <w:t xml:space="preserve"> The people who will directly benefit from or be affected by your programs are stakeholders, even if they are not organized into formal institutions. Fisherfolk affected by marine policy, farmers affected by land-use regulation, students affected by education programs, patients affected by health service delivery, IP communities in ancestral domain areas, women and girls affected by gender-responsive programming --- all are stakeholders. A common failure of stakeholder analysis is to list only institutional actors and forget the communities those institutions are supposed to serve.</w:t>
      </w:r>
    </w:p>
    <w:p>
      <w:pPr>
        <w:pStyle w:val="Heading3"/>
      </w:pPr>
      <w:r>
        <w:rPr>
          <w:rFonts w:ascii="Inter" w:hAnsi="Inter" w:cs="Inter"/>
          <w:b/>
          <w:i w:val="0"/>
          <w:color w:val="2C5F7C"/>
          <w:sz w:val="26"/>
        </w:rPr>
        <w:t>The Power/Interest Matrix</w:t>
      </w:r>
    </w:p>
    <w:p>
      <w:pPr>
        <w:spacing w:after="120" w:line="276" w:lineRule="auto"/>
      </w:pPr>
      <w:r>
        <w:rPr>
          <w:rFonts w:ascii="Inter" w:hAnsi="Inter" w:cs="Inter"/>
          <w:b w:val="0"/>
          <w:i w:val="0"/>
          <w:color w:val="2D2D2D"/>
          <w:sz w:val="22"/>
        </w:rPr>
        <w:t>The Power/Interest matrix is the core analytical tool in stakeholder analysis. It organizes stakeholders into four quadrants based on two dimensions:</w:t>
      </w:r>
    </w:p>
    <w:p>
      <w:pPr>
        <w:pStyle w:val="ListBullet"/>
      </w:pPr>
      <w:r>
        <w:rPr>
          <w:rFonts w:ascii="Inter" w:hAnsi="Inter" w:cs="Inter"/>
          <w:b w:val="0"/>
          <w:i w:val="0"/>
          <w:color w:val="2D2D2D"/>
          <w:sz w:val="22"/>
        </w:rPr>
      </w:r>
      <w:r>
        <w:rPr>
          <w:rFonts w:ascii="Inter" w:hAnsi="Inter" w:cs="Inter"/>
          <w:b/>
          <w:i w:val="0"/>
          <w:color w:val="2D2D2D"/>
          <w:sz w:val="22"/>
        </w:rPr>
        <w:t>Power</w:t>
      </w:r>
      <w:r>
        <w:rPr>
          <w:rFonts w:ascii="Inter" w:hAnsi="Inter" w:cs="Inter"/>
          <w:b w:val="0"/>
          <w:i w:val="0"/>
          <w:color w:val="2D2D2D"/>
          <w:sz w:val="22"/>
        </w:rPr>
        <w:t xml:space="preserve"> measures the stakeholder's ability to influence your MOA's programs. A stakeholder with high power can block, modify, fund, approve, or accelerate your plans. Power comes from many sources: legal authority, budget control, political position, community influence, media access, technical expertise, or control of resources your MOA needs.</w:t>
      </w:r>
    </w:p>
    <w:p>
      <w:pPr>
        <w:pStyle w:val="ListBullet"/>
      </w:pPr>
      <w:r>
        <w:rPr>
          <w:rFonts w:ascii="Inter" w:hAnsi="Inter" w:cs="Inter"/>
          <w:b w:val="0"/>
          <w:i w:val="0"/>
          <w:color w:val="2D2D2D"/>
          <w:sz w:val="22"/>
        </w:rPr>
      </w:r>
      <w:r>
        <w:rPr>
          <w:rFonts w:ascii="Inter" w:hAnsi="Inter" w:cs="Inter"/>
          <w:b/>
          <w:i w:val="0"/>
          <w:color w:val="2D2D2D"/>
          <w:sz w:val="22"/>
        </w:rPr>
        <w:t>Interest</w:t>
      </w:r>
      <w:r>
        <w:rPr>
          <w:rFonts w:ascii="Inter" w:hAnsi="Inter" w:cs="Inter"/>
          <w:b w:val="0"/>
          <w:i w:val="0"/>
          <w:color w:val="2D2D2D"/>
          <w:sz w:val="22"/>
        </w:rPr>
        <w:t xml:space="preserve"> measures the stakeholder's degree of concern about your MOA's programs. A stakeholder with high interest is actively engaged with or affected by your work. Interest may be positive (supportive) or negative (opposed), but in either case it means the stakeholder pays attention to what your MOA does.</w:t>
      </w:r>
    </w:p>
    <w:p>
      <w:pPr>
        <w:spacing w:after="120" w:line="276" w:lineRule="auto"/>
      </w:pPr>
      <w:r>
        <w:rPr>
          <w:rFonts w:ascii="Inter" w:hAnsi="Inter" w:cs="Inter"/>
          <w:b w:val="0"/>
          <w:i w:val="0"/>
          <w:color w:val="2D2D2D"/>
          <w:sz w:val="22"/>
        </w:rPr>
        <w:t>The four quadrants produce four distinct engagement strategies: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**High Interest**</w:t>
            </w:r>
          </w:p>
        </w:tc>
        <w:tc>
          <w:tcPr>
            <w:tcW w:type="dxa" w:w="4680"/>
            <w:shd w:fill="1B365D"/>
          </w:tcPr>
          <w:p>
            <w:r/>
            <w:r>
              <w:rPr>
                <w:rFonts w:ascii="Inter" w:hAnsi="Inter" w:cs="Inter"/>
                <w:b/>
                <w:i w:val="0"/>
                <w:color w:val="FFFFFF"/>
                <w:sz w:val="19"/>
              </w:rPr>
              <w:t>**Low Interest**</w:t>
            </w:r>
          </w:p>
        </w:tc>
      </w:tr>
      <w:tr>
        <w:tc>
          <w:tcPr>
            <w:tcW w:type="dxa" w:w="4680"/>
          </w:tcPr>
          <w:p>
            <w:r/>
            <w:r>
              <w:rPr>
                <w:rFonts w:ascii="Inter" w:hAnsi="Inter" w:cs="Inter"/>
                <w:b w:val="0"/>
                <w:i w:val="0"/>
                <w:color w:val="2D2D2D"/>
                <w:sz w:val="19"/>
              </w:rPr>
              <w:t>**High Power**</w:t>
            </w:r>
          </w:p>
        </w:tc>
        <w:tc>
          <w:tcPr>
            <w:tcW w:type="dxa" w:w="4680"/>
          </w:tcPr>
          <w:p>
            <w:r/>
            <w:r>
              <w:rPr>
                <w:rFonts w:ascii="Inter" w:hAnsi="Inter" w:cs="Inter"/>
                <w:b w:val="0"/>
                <w:i w:val="0"/>
                <w:color w:val="2D2D2D"/>
                <w:sz w:val="19"/>
              </w:rPr>
              <w:t>**Quadrant 1: Manage Closely** --- These are your key players. They have both the ability to influence your programs and a strong stake in the outcome. Invest the most time and resources here. Examples: BTA committees with oversight, the MFBM, provincial LGUs in your program area.</w:t>
            </w:r>
          </w:p>
        </w:tc>
      </w:tr>
      <w:tr>
        <w:tc>
          <w:tcPr>
            <w:tcW w:type="dxa" w:w="4680"/>
            <w:shd w:fill="F0F3F6"/>
          </w:tcPr>
          <w:p>
            <w:r/>
            <w:r>
              <w:rPr>
                <w:rFonts w:ascii="Inter" w:hAnsi="Inter" w:cs="Inter"/>
                <w:b w:val="0"/>
                <w:i w:val="0"/>
                <w:color w:val="2D2D2D"/>
                <w:sz w:val="19"/>
              </w:rPr>
              <w:t>**Low Power**</w:t>
            </w:r>
          </w:p>
        </w:tc>
        <w:tc>
          <w:tcPr>
            <w:tcW w:type="dxa" w:w="4680"/>
            <w:shd w:fill="F0F3F6"/>
          </w:tcPr>
          <w:p>
            <w:r/>
            <w:r>
              <w:rPr>
                <w:rFonts w:ascii="Inter" w:hAnsi="Inter" w:cs="Inter"/>
                <w:b w:val="0"/>
                <w:i w:val="0"/>
                <w:color w:val="2D2D2D"/>
                <w:sz w:val="19"/>
              </w:rPr>
              <w:t>**Quadrant 3: Keep Informed** --- These stakeholders care deeply about your work but have limited ability to influence it directly. They can, however, become powerful advocates or vocal critics. Keep them informed and give them channels for input. Examples: community organizations, CSO partners, affected beneficiary groups.</w:t>
            </w:r>
          </w:p>
        </w:tc>
      </w:tr>
    </w:tbl>
    <w:p/>
    <w:p>
      <w:pPr>
        <w:spacing w:after="120" w:line="276" w:lineRule="auto"/>
      </w:pPr>
      <w:r>
        <w:rPr>
          <w:rFonts w:ascii="Inter" w:hAnsi="Inter" w:cs="Inter"/>
          <w:b w:val="0"/>
          <w:i w:val="0"/>
          <w:color w:val="2D2D2D"/>
          <w:sz w:val="22"/>
        </w:rPr>
        <w:t>The matrix is a snapshot, not a permanent classification. Stakeholder positions change over time and across programs. A stakeholder who is in Quadrant 4 for one program may be in Quadrant 1 for another. Reassess the matrix whenever your MOA launches a new program, enters a new planning cycle, or encounters a significant change in the political or institutional landscape.</w:t>
      </w:r>
    </w:p>
    <w:p>
      <w:pPr>
        <w:pStyle w:val="Heading3"/>
      </w:pPr>
      <w:r>
        <w:rPr>
          <w:rFonts w:ascii="Inter" w:hAnsi="Inter" w:cs="Inter"/>
          <w:b/>
          <w:i w:val="0"/>
          <w:color w:val="2C5F7C"/>
          <w:sz w:val="26"/>
        </w:rPr>
        <w:t>Engagement Levels</w:t>
      </w:r>
    </w:p>
    <w:p>
      <w:pPr>
        <w:spacing w:after="120" w:line="276" w:lineRule="auto"/>
      </w:pPr>
      <w:r>
        <w:rPr>
          <w:rFonts w:ascii="Inter" w:hAnsi="Inter" w:cs="Inter"/>
          <w:b w:val="0"/>
          <w:i w:val="0"/>
          <w:color w:val="2D2D2D"/>
          <w:sz w:val="22"/>
        </w:rPr>
        <w:t>Within each quadrant, you assign a specific engagement level that describes the depth of your interaction with the stakeholder. The five engagement levels form a spectrum from minimal to maximal participation:[^8]</w:t>
      </w:r>
    </w:p>
    <w:p>
      <w:pPr>
        <w:pStyle w:val="ListNumber"/>
      </w:pPr>
      <w:r>
        <w:rPr>
          <w:rFonts w:ascii="Inter" w:hAnsi="Inter" w:cs="Inter"/>
          <w:b w:val="0"/>
          <w:i w:val="0"/>
          <w:color w:val="2D2D2D"/>
          <w:sz w:val="22"/>
        </w:rPr>
      </w:r>
      <w:r>
        <w:rPr>
          <w:rFonts w:ascii="Inter" w:hAnsi="Inter" w:cs="Inter"/>
          <w:b/>
          <w:i w:val="0"/>
          <w:color w:val="2D2D2D"/>
          <w:sz w:val="22"/>
        </w:rPr>
        <w:t>Inform.</w:t>
      </w:r>
      <w:r>
        <w:rPr>
          <w:rFonts w:ascii="Inter" w:hAnsi="Inter" w:cs="Inter"/>
          <w:b w:val="0"/>
          <w:i w:val="0"/>
          <w:color w:val="2D2D2D"/>
          <w:sz w:val="22"/>
        </w:rPr>
        <w:t xml:space="preserve"> One-way communication. You tell the stakeholder what you are doing. The stakeholder receives information but does not provide input. Appropriate for Quadrant 4 (Monitor) stakeholders and for the initial communication with Quadrant 2 (Keep Satisfied) stakeholders. *Methods:* newsletters, public announcements, social media posts, official reports.</w:t>
      </w:r>
    </w:p>
    <w:p>
      <w:pPr>
        <w:pStyle w:val="ListNumber"/>
      </w:pPr>
      <w:r>
        <w:rPr>
          <w:rFonts w:ascii="Inter" w:hAnsi="Inter" w:cs="Inter"/>
          <w:b w:val="0"/>
          <w:i w:val="0"/>
          <w:color w:val="2D2D2D"/>
          <w:sz w:val="22"/>
        </w:rPr>
      </w:r>
      <w:r>
        <w:rPr>
          <w:rFonts w:ascii="Inter" w:hAnsi="Inter" w:cs="Inter"/>
          <w:b/>
          <w:i w:val="0"/>
          <w:color w:val="2D2D2D"/>
          <w:sz w:val="22"/>
        </w:rPr>
        <w:t>Consult.</w:t>
      </w:r>
      <w:r>
        <w:rPr>
          <w:rFonts w:ascii="Inter" w:hAnsi="Inter" w:cs="Inter"/>
          <w:b w:val="0"/>
          <w:i w:val="0"/>
          <w:color w:val="2D2D2D"/>
          <w:sz w:val="22"/>
        </w:rPr>
        <w:t xml:space="preserve"> Two-way communication. You seek the stakeholder's feedback on your plans or programs, but you retain decision-making authority. Appropriate for Quadrant 2 (Keep Satisfied) stakeholders and for some Quadrant 3 (Keep Informed) stakeholders. *Methods:* surveys, feedback forms, consultation workshops, comment periods.</w:t>
      </w:r>
    </w:p>
    <w:p>
      <w:pPr>
        <w:pStyle w:val="ListNumber"/>
      </w:pPr>
      <w:r>
        <w:rPr>
          <w:rFonts w:ascii="Inter" w:hAnsi="Inter" w:cs="Inter"/>
          <w:b w:val="0"/>
          <w:i w:val="0"/>
          <w:color w:val="2D2D2D"/>
          <w:sz w:val="22"/>
        </w:rPr>
      </w:r>
      <w:r>
        <w:rPr>
          <w:rFonts w:ascii="Inter" w:hAnsi="Inter" w:cs="Inter"/>
          <w:b/>
          <w:i w:val="0"/>
          <w:color w:val="2D2D2D"/>
          <w:sz w:val="22"/>
        </w:rPr>
        <w:t>Involve.</w:t>
      </w:r>
      <w:r>
        <w:rPr>
          <w:rFonts w:ascii="Inter" w:hAnsi="Inter" w:cs="Inter"/>
          <w:b w:val="0"/>
          <w:i w:val="0"/>
          <w:color w:val="2D2D2D"/>
          <w:sz w:val="22"/>
        </w:rPr>
        <w:t xml:space="preserve"> The stakeholder participates directly in the planning process. Their input is actively incorporated into decisions, though you retain final authority. Appropriate for Quadrant 3 (Keep Informed) stakeholders with deep knowledge of the issues. *Methods:* focus groups, stakeholder workshops, technical working groups, participatory planning sessions.</w:t>
      </w:r>
    </w:p>
    <w:p>
      <w:pPr>
        <w:pStyle w:val="ListNumber"/>
      </w:pPr>
      <w:r>
        <w:rPr>
          <w:rFonts w:ascii="Inter" w:hAnsi="Inter" w:cs="Inter"/>
          <w:b w:val="0"/>
          <w:i w:val="0"/>
          <w:color w:val="2D2D2D"/>
          <w:sz w:val="22"/>
        </w:rPr>
      </w:r>
      <w:r>
        <w:rPr>
          <w:rFonts w:ascii="Inter" w:hAnsi="Inter" w:cs="Inter"/>
          <w:b/>
          <w:i w:val="0"/>
          <w:color w:val="2D2D2D"/>
          <w:sz w:val="22"/>
        </w:rPr>
        <w:t>Collaborate.</w:t>
      </w:r>
      <w:r>
        <w:rPr>
          <w:rFonts w:ascii="Inter" w:hAnsi="Inter" w:cs="Inter"/>
          <w:b w:val="0"/>
          <w:i w:val="0"/>
          <w:color w:val="2D2D2D"/>
          <w:sz w:val="22"/>
        </w:rPr>
        <w:t xml:space="preserve"> The stakeholder is a partner in decision-making. You share authority over specific aspects of the plan or program. Appropriate for Quadrant 1 (Manage Closely) stakeholders. *Methods:* joint planning committees, memoranda of agreement, co-implementation arrangements, shared governance structures.</w:t>
      </w:r>
    </w:p>
    <w:p>
      <w:pPr>
        <w:pStyle w:val="ListNumber"/>
      </w:pPr>
      <w:r>
        <w:rPr>
          <w:rFonts w:ascii="Inter" w:hAnsi="Inter" w:cs="Inter"/>
          <w:b w:val="0"/>
          <w:i w:val="0"/>
          <w:color w:val="2D2D2D"/>
          <w:sz w:val="22"/>
        </w:rPr>
      </w:r>
      <w:r>
        <w:rPr>
          <w:rFonts w:ascii="Inter" w:hAnsi="Inter" w:cs="Inter"/>
          <w:b/>
          <w:i w:val="0"/>
          <w:color w:val="2D2D2D"/>
          <w:sz w:val="22"/>
        </w:rPr>
        <w:t>Empower.</w:t>
      </w:r>
      <w:r>
        <w:rPr>
          <w:rFonts w:ascii="Inter" w:hAnsi="Inter" w:cs="Inter"/>
          <w:b w:val="0"/>
          <w:i w:val="0"/>
          <w:color w:val="2D2D2D"/>
          <w:sz w:val="22"/>
        </w:rPr>
        <w:t xml:space="preserve"> The stakeholder has decision-making authority over specific aspects of the program. You transfer control to the stakeholder. Appropriate in limited cases where community ownership or institutional mandate requires it. *Methods:* devolved program management, community-driven development, delegated authority.</w:t>
      </w:r>
    </w:p>
    <w:p>
      <w:pPr>
        <w:pStyle w:val="Heading3"/>
      </w:pPr>
      <w:r>
        <w:rPr>
          <w:rFonts w:ascii="Inter" w:hAnsi="Inter" w:cs="Inter"/>
          <w:b/>
          <w:i w:val="0"/>
          <w:color w:val="2C5F7C"/>
          <w:sz w:val="26"/>
        </w:rPr>
        <w:t>Internal vs. External Stakeholders</w:t>
      </w:r>
    </w:p>
    <w:p>
      <w:pPr>
        <w:spacing w:after="120" w:line="276" w:lineRule="auto"/>
      </w:pPr>
      <w:r>
        <w:rPr>
          <w:rFonts w:ascii="Inter" w:hAnsi="Inter" w:cs="Inter"/>
          <w:b w:val="0"/>
          <w:i w:val="0"/>
          <w:color w:val="2D2D2D"/>
          <w:sz w:val="22"/>
        </w:rPr>
        <w:t>Your stakeholder analysis should distinguish between *internal* stakeholders --- those within your MOA (bureaus, divisions, regional and field offices, staff associations) --- and *external* stakeholders (all eight categories above). Internal stakeholders are often overlooked, but they are critical. Your MOA's own staff must understand, support, and implement the strategic plan. If a bureau director opposes a program or a field office lacks capacity to deliver it, the plan fails regardless of how well you managed external stakeholders.</w:t>
      </w:r>
    </w:p>
    <w:p>
      <w:pPr>
        <w:pStyle w:val="Heading3"/>
      </w:pPr>
      <w:r>
        <w:rPr>
          <w:rFonts w:ascii="Inter" w:hAnsi="Inter" w:cs="Inter"/>
          <w:b/>
          <w:i w:val="0"/>
          <w:color w:val="2C5F7C"/>
          <w:sz w:val="26"/>
        </w:rPr>
        <w:t>Stakeholder Dynamics</w:t>
      </w:r>
    </w:p>
    <w:p>
      <w:pPr>
        <w:spacing w:after="120" w:line="276" w:lineRule="auto"/>
      </w:pPr>
      <w:r>
        <w:rPr>
          <w:rFonts w:ascii="Inter" w:hAnsi="Inter" w:cs="Inter"/>
          <w:b w:val="0"/>
          <w:i w:val="0"/>
          <w:color w:val="2D2D2D"/>
          <w:sz w:val="22"/>
        </w:rPr>
        <w:t>Stakeholder relationships are not static. Several dynamics should be tracked:</w:t>
      </w:r>
    </w:p>
    <w:p>
      <w:pPr>
        <w:pStyle w:val="ListBullet"/>
      </w:pPr>
      <w:r>
        <w:rPr>
          <w:rFonts w:ascii="Inter" w:hAnsi="Inter" w:cs="Inter"/>
          <w:b w:val="0"/>
          <w:i w:val="0"/>
          <w:color w:val="2D2D2D"/>
          <w:sz w:val="22"/>
        </w:rPr>
      </w:r>
      <w:r>
        <w:rPr>
          <w:rFonts w:ascii="Inter" w:hAnsi="Inter" w:cs="Inter"/>
          <w:b/>
          <w:i w:val="0"/>
          <w:color w:val="2D2D2D"/>
          <w:sz w:val="22"/>
        </w:rPr>
        <w:t>Shifting interest.</w:t>
      </w:r>
      <w:r>
        <w:rPr>
          <w:rFonts w:ascii="Inter" w:hAnsi="Inter" w:cs="Inter"/>
          <w:b w:val="0"/>
          <w:i w:val="0"/>
          <w:color w:val="2D2D2D"/>
          <w:sz w:val="22"/>
        </w:rPr>
        <w:t xml:space="preserve"> A stakeholder's interest may increase when your program enters their area or affects their constituency. A provincial governor who showed no interest in your environmental policy may become intensely interested when mining operations begin in their province.</w:t>
      </w:r>
    </w:p>
    <w:p>
      <w:pPr>
        <w:pStyle w:val="ListBullet"/>
      </w:pPr>
      <w:r>
        <w:rPr>
          <w:rFonts w:ascii="Inter" w:hAnsi="Inter" w:cs="Inter"/>
          <w:b w:val="0"/>
          <w:i w:val="0"/>
          <w:color w:val="2D2D2D"/>
          <w:sz w:val="22"/>
        </w:rPr>
      </w:r>
      <w:r>
        <w:rPr>
          <w:rFonts w:ascii="Inter" w:hAnsi="Inter" w:cs="Inter"/>
          <w:b/>
          <w:i w:val="0"/>
          <w:color w:val="2D2D2D"/>
          <w:sz w:val="22"/>
        </w:rPr>
        <w:t>Shifting power.</w:t>
      </w:r>
      <w:r>
        <w:rPr>
          <w:rFonts w:ascii="Inter" w:hAnsi="Inter" w:cs="Inter"/>
          <w:b w:val="0"/>
          <w:i w:val="0"/>
          <w:color w:val="2D2D2D"/>
          <w:sz w:val="22"/>
        </w:rPr>
        <w:t xml:space="preserve"> Elections, appointments, reorganizations, and leadership changes alter who holds power. The next parliamentary session may change committee compositions. A new chief minister may reorder priorities.</w:t>
      </w:r>
    </w:p>
    <w:p>
      <w:pPr>
        <w:pStyle w:val="ListBullet"/>
      </w:pPr>
      <w:r>
        <w:rPr>
          <w:rFonts w:ascii="Inter" w:hAnsi="Inter" w:cs="Inter"/>
          <w:b w:val="0"/>
          <w:i w:val="0"/>
          <w:color w:val="2D2D2D"/>
          <w:sz w:val="22"/>
        </w:rPr>
      </w:r>
      <w:r>
        <w:rPr>
          <w:rFonts w:ascii="Inter" w:hAnsi="Inter" w:cs="Inter"/>
          <w:b/>
          <w:i w:val="0"/>
          <w:color w:val="2D2D2D"/>
          <w:sz w:val="22"/>
        </w:rPr>
        <w:t>Coalition formation.</w:t>
      </w:r>
      <w:r>
        <w:rPr>
          <w:rFonts w:ascii="Inter" w:hAnsi="Inter" w:cs="Inter"/>
          <w:b w:val="0"/>
          <w:i w:val="0"/>
          <w:color w:val="2D2D2D"/>
          <w:sz w:val="22"/>
        </w:rPr>
        <w:t xml:space="preserve"> Stakeholders form alliances. CSOs may align with development partners to pressure your MOA on a policy issue. LGUs may coordinate to resist a program they view as an unfunded mandate. Identifying potential coalitions --- both supportive and oppositional --- strengthens your engagement strategy.</w:t>
      </w:r>
    </w:p>
    <w:p>
      <w:pPr>
        <w:pStyle w:val="ListBullet"/>
      </w:pPr>
      <w:r>
        <w:rPr>
          <w:rFonts w:ascii="Inter" w:hAnsi="Inter" w:cs="Inter"/>
          <w:b w:val="0"/>
          <w:i w:val="0"/>
          <w:color w:val="2D2D2D"/>
          <w:sz w:val="22"/>
        </w:rPr>
      </w:r>
      <w:r>
        <w:rPr>
          <w:rFonts w:ascii="Inter" w:hAnsi="Inter" w:cs="Inter"/>
          <w:b/>
          <w:i w:val="0"/>
          <w:color w:val="2D2D2D"/>
          <w:sz w:val="22"/>
        </w:rPr>
        <w:t>Competing interests.</w:t>
      </w:r>
      <w:r>
        <w:rPr>
          <w:rFonts w:ascii="Inter" w:hAnsi="Inter" w:cs="Inter"/>
          <w:b w:val="0"/>
          <w:i w:val="0"/>
          <w:color w:val="2D2D2D"/>
          <w:sz w:val="22"/>
        </w:rPr>
        <w:t xml:space="preserve"> Two stakeholders may both have high power and high interest but want opposite things from your MOA. A development partner may push for environmental protection while a provincial LGU pushes for resource extraction. Your engagement strategy must account for these tensions.</w:t>
      </w:r>
    </w:p>
    <w:p>
      <w:pPr>
        <w:pStyle w:val="Heading2"/>
      </w:pPr>
      <w:r>
        <w:rPr>
          <w:rFonts w:ascii="Inter" w:hAnsi="Inter" w:cs="Inter"/>
          <w:b/>
          <w:i w:val="0"/>
          <w:color w:val="1B365D"/>
          <w:sz w:val="32"/>
        </w:rPr>
        <w:t>5.3 Step-by-Step Instructions</w:t>
      </w:r>
    </w:p>
    <w:p>
      <w:pPr>
        <w:pStyle w:val="Heading3"/>
      </w:pPr>
      <w:r>
        <w:rPr>
          <w:rFonts w:ascii="Inter" w:hAnsi="Inter" w:cs="Inter"/>
          <w:b/>
          <w:i w:val="0"/>
          <w:color w:val="2C5F7C"/>
          <w:sz w:val="26"/>
        </w:rPr>
        <w:t>Step 1: List All Potential Stakeholders Using the Eight Categories</w:t>
      </w:r>
    </w:p>
    <w:p>
      <w:pPr>
        <w:spacing w:after="120" w:line="276" w:lineRule="auto"/>
      </w:pPr>
      <w:r>
        <w:rPr>
          <w:rFonts w:ascii="Inter" w:hAnsi="Inter" w:cs="Inter"/>
          <w:b w:val="0"/>
          <w:i w:val="0"/>
          <w:color w:val="2D2D2D"/>
          <w:sz w:val="22"/>
        </w:rPr>
        <w:t>Begin with a brainstorming exercise. Work through each of the eight BARMM stakeholder categories from Section 5.2 and list every individual, group, or organization that:</w:t>
      </w:r>
    </w:p>
    <w:p>
      <w:pPr>
        <w:pStyle w:val="ListBullet"/>
      </w:pPr>
      <w:r>
        <w:rPr>
          <w:rFonts w:ascii="Inter" w:hAnsi="Inter" w:cs="Inter"/>
          <w:b w:val="0"/>
          <w:i w:val="0"/>
          <w:color w:val="2D2D2D"/>
          <w:sz w:val="22"/>
        </w:rPr>
        <w:t>Has a legal mandate or authority that intersects with your MOA's work.</w:t>
      </w:r>
    </w:p>
    <w:p>
      <w:pPr>
        <w:pStyle w:val="ListBullet"/>
      </w:pPr>
      <w:r>
        <w:rPr>
          <w:rFonts w:ascii="Inter" w:hAnsi="Inter" w:cs="Inter"/>
          <w:b w:val="0"/>
          <w:i w:val="0"/>
          <w:color w:val="2D2D2D"/>
          <w:sz w:val="22"/>
        </w:rPr>
        <w:t>Controls resources (budget, staff, equipment, information) that your MOA needs.</w:t>
      </w:r>
    </w:p>
    <w:p>
      <w:pPr>
        <w:pStyle w:val="ListBullet"/>
      </w:pPr>
      <w:r>
        <w:rPr>
          <w:rFonts w:ascii="Inter" w:hAnsi="Inter" w:cs="Inter"/>
          <w:b w:val="0"/>
          <w:i w:val="0"/>
          <w:color w:val="2D2D2D"/>
          <w:sz w:val="22"/>
        </w:rPr>
        <w:t>Will benefit from your MOA's programs.</w:t>
      </w:r>
    </w:p>
    <w:p>
      <w:pPr>
        <w:pStyle w:val="ListBullet"/>
      </w:pPr>
      <w:r>
        <w:rPr>
          <w:rFonts w:ascii="Inter" w:hAnsi="Inter" w:cs="Inter"/>
          <w:b w:val="0"/>
          <w:i w:val="0"/>
          <w:color w:val="2D2D2D"/>
          <w:sz w:val="22"/>
        </w:rPr>
        <w:t>Will be adversely affected by your MOA's programs.</w:t>
      </w:r>
    </w:p>
    <w:p>
      <w:pPr>
        <w:pStyle w:val="ListBullet"/>
      </w:pPr>
      <w:r>
        <w:rPr>
          <w:rFonts w:ascii="Inter" w:hAnsi="Inter" w:cs="Inter"/>
          <w:b w:val="0"/>
          <w:i w:val="0"/>
          <w:color w:val="2D2D2D"/>
          <w:sz w:val="22"/>
        </w:rPr>
        <w:t>Has expressed interest (positive or negative) in your MOA's work.</w:t>
      </w:r>
    </w:p>
    <w:p>
      <w:pPr>
        <w:pStyle w:val="ListBullet"/>
      </w:pPr>
      <w:r>
        <w:rPr>
          <w:rFonts w:ascii="Inter" w:hAnsi="Inter" w:cs="Inter"/>
          <w:b w:val="0"/>
          <w:i w:val="0"/>
          <w:color w:val="2D2D2D"/>
          <w:sz w:val="22"/>
        </w:rPr>
        <w:t>Has the ability to block, delay, or modify your programs.</w:t>
      </w:r>
    </w:p>
    <w:p>
      <w:pPr>
        <w:pStyle w:val="ListBullet"/>
      </w:pPr>
      <w:r>
        <w:rPr>
          <w:rFonts w:ascii="Inter" w:hAnsi="Inter" w:cs="Inter"/>
          <w:b w:val="0"/>
          <w:i w:val="0"/>
          <w:color w:val="2D2D2D"/>
          <w:sz w:val="22"/>
        </w:rPr>
        <w:t>Represents communities or populations your programs are designed to serve.</w:t>
      </w:r>
    </w:p>
    <w:p>
      <w:pPr>
        <w:spacing w:after="120" w:line="276" w:lineRule="auto"/>
      </w:pPr>
      <w:r>
        <w:rPr>
          <w:rFonts w:ascii="Inter" w:hAnsi="Inter" w:cs="Inter"/>
          <w:b w:val="0"/>
          <w:i w:val="0"/>
          <w:color w:val="2D2D2D"/>
          <w:sz w:val="22"/>
        </w:rPr>
        <w:t>Do not filter at this stage. The purpose is to generate a comprehensive list. You will prioritize in subsequent steps. Use a table format: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t>
            </w:r>
          </w:p>
        </w:tc>
        <w:tc>
          <w:tcPr>
            <w:tcW w:type="dxa" w:w="3120"/>
            <w:shd w:fill="1B365D"/>
          </w:tcPr>
          <w:p>
            <w:r/>
            <w:r>
              <w:rPr>
                <w:rFonts w:ascii="Inter" w:hAnsi="Inter" w:cs="Inter"/>
                <w:b/>
                <w:i w:val="0"/>
                <w:color w:val="FFFFFF"/>
                <w:sz w:val="19"/>
              </w:rPr>
              <w:t>Stakeholder</w:t>
            </w:r>
          </w:p>
        </w:tc>
        <w:tc>
          <w:tcPr>
            <w:tcW w:type="dxa" w:w="3120"/>
            <w:shd w:fill="1B365D"/>
          </w:tcPr>
          <w:p>
            <w:r/>
            <w:r>
              <w:rPr>
                <w:rFonts w:ascii="Inter" w:hAnsi="Inter" w:cs="Inter"/>
                <w:b/>
                <w:i w:val="0"/>
                <w:color w:val="FFFFFF"/>
                <w:sz w:val="19"/>
              </w:rPr>
              <w:t>Category</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[Name of stakeholder]</w:t>
            </w:r>
          </w:p>
        </w:tc>
        <w:tc>
          <w:tcPr>
            <w:tcW w:type="dxa" w:w="3120"/>
          </w:tcPr>
          <w:p>
            <w:r/>
            <w:r>
              <w:rPr>
                <w:rFonts w:ascii="Inter" w:hAnsi="Inter" w:cs="Inter"/>
                <w:b w:val="0"/>
                <w:i w:val="0"/>
                <w:color w:val="2D2D2D"/>
                <w:sz w:val="19"/>
              </w:rPr>
              <w:t>[A through H]</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w:t>
            </w:r>
          </w:p>
        </w:tc>
        <w:tc>
          <w:tcPr>
            <w:tcW w:type="dxa" w:w="3120"/>
            <w:shd w:fill="F0F3F6"/>
          </w:tcPr>
          <w:p>
            <w:r/>
            <w:r>
              <w:rPr>
                <w:rFonts w:ascii="Inter" w:hAnsi="Inter" w:cs="Inter"/>
                <w:b w:val="0"/>
                <w:i w:val="0"/>
                <w:color w:val="2D2D2D"/>
                <w:sz w:val="19"/>
              </w:rPr>
              <w:t>...</w:t>
            </w:r>
          </w:p>
        </w:tc>
      </w:tr>
    </w:tbl>
    <w:p/>
    <w:p>
      <w:pPr>
        <w:spacing w:after="120" w:line="276" w:lineRule="auto"/>
      </w:pPr>
      <w:r>
        <w:rPr>
          <w:rFonts w:ascii="Inter" w:hAnsi="Inter" w:cs="Inter"/>
          <w:b w:val="0"/>
          <w:i w:val="0"/>
          <w:color w:val="2D2D2D"/>
          <w:sz w:val="22"/>
        </w:rPr>
        <w:t>A useful test: for each category, ask yourself, *Have I listed at least one stakeholder?* If an entire category is blank, either your programs genuinely do not affect that category (unlikely for most MOAs) or you have a blind spot.</w:t>
      </w:r>
    </w:p>
    <w:p>
      <w:pPr>
        <w:pStyle w:val="Heading3"/>
      </w:pPr>
      <w:r>
        <w:rPr>
          <w:rFonts w:ascii="Inter" w:hAnsi="Inter" w:cs="Inter"/>
          <w:b/>
          <w:i w:val="0"/>
          <w:color w:val="2C5F7C"/>
          <w:sz w:val="26"/>
        </w:rPr>
        <w:t>Step 2: Assess Power and Interest for Each Stakeholder</w:t>
      </w:r>
    </w:p>
    <w:p>
      <w:pPr>
        <w:spacing w:after="120" w:line="276" w:lineRule="auto"/>
      </w:pPr>
      <w:r>
        <w:rPr>
          <w:rFonts w:ascii="Inter" w:hAnsi="Inter" w:cs="Inter"/>
          <w:b w:val="0"/>
          <w:i w:val="0"/>
          <w:color w:val="2D2D2D"/>
          <w:sz w:val="22"/>
        </w:rPr>
        <w:t>For each stakeholder on your list, assess two dimensions:</w:t>
      </w:r>
    </w:p>
    <w:p>
      <w:pPr>
        <w:spacing w:after="120" w:line="276" w:lineRule="auto"/>
      </w:pPr>
      <w:r>
        <w:rPr>
          <w:rFonts w:ascii="Inter" w:hAnsi="Inter" w:cs="Inter"/>
          <w:b w:val="0"/>
          <w:i w:val="0"/>
          <w:color w:val="2D2D2D"/>
          <w:sz w:val="22"/>
        </w:rPr>
      </w:r>
      <w:r>
        <w:rPr>
          <w:rFonts w:ascii="Inter" w:hAnsi="Inter" w:cs="Inter"/>
          <w:b/>
          <w:i w:val="0"/>
          <w:color w:val="2D2D2D"/>
          <w:sz w:val="22"/>
        </w:rPr>
        <w:t>Power (High / Medium / Low).</w:t>
      </w:r>
      <w:r>
        <w:rPr>
          <w:rFonts w:ascii="Inter" w:hAnsi="Inter" w:cs="Inter"/>
          <w:b w:val="0"/>
          <w:i w:val="0"/>
          <w:color w:val="2D2D2D"/>
          <w:sz w:val="22"/>
        </w:rPr>
        <w:t xml:space="preserve"> Ask:</w:t>
      </w:r>
    </w:p>
    <w:p>
      <w:pPr>
        <w:pStyle w:val="ListBullet"/>
      </w:pPr>
      <w:r>
        <w:rPr>
          <w:rFonts w:ascii="Inter" w:hAnsi="Inter" w:cs="Inter"/>
          <w:b w:val="0"/>
          <w:i w:val="0"/>
          <w:color w:val="2D2D2D"/>
          <w:sz w:val="22"/>
        </w:rPr>
        <w:t>Does this stakeholder have legal or regulatory authority over my MOA's sector? (If yes, likely High.)</w:t>
      </w:r>
    </w:p>
    <w:p>
      <w:pPr>
        <w:pStyle w:val="ListBullet"/>
      </w:pPr>
      <w:r>
        <w:rPr>
          <w:rFonts w:ascii="Inter" w:hAnsi="Inter" w:cs="Inter"/>
          <w:b w:val="0"/>
          <w:i w:val="0"/>
          <w:color w:val="2D2D2D"/>
          <w:sz w:val="22"/>
        </w:rPr>
        <w:t>Does this stakeholder control budget or resources that my MOA needs? (If yes, likely High.)</w:t>
      </w:r>
    </w:p>
    <w:p>
      <w:pPr>
        <w:pStyle w:val="ListBullet"/>
      </w:pPr>
      <w:r>
        <w:rPr>
          <w:rFonts w:ascii="Inter" w:hAnsi="Inter" w:cs="Inter"/>
          <w:b w:val="0"/>
          <w:i w:val="0"/>
          <w:color w:val="2D2D2D"/>
          <w:sz w:val="22"/>
        </w:rPr>
        <w:t>Can this stakeholder block or approve my MOA's plans? (If yes, likely High.)</w:t>
      </w:r>
    </w:p>
    <w:p>
      <w:pPr>
        <w:pStyle w:val="ListBullet"/>
      </w:pPr>
      <w:r>
        <w:rPr>
          <w:rFonts w:ascii="Inter" w:hAnsi="Inter" w:cs="Inter"/>
          <w:b w:val="0"/>
          <w:i w:val="0"/>
          <w:color w:val="2D2D2D"/>
          <w:sz w:val="22"/>
        </w:rPr>
        <w:t>Does this stakeholder have political influence that can affect my MOA's operations? (If yes, Medium to High.)</w:t>
      </w:r>
    </w:p>
    <w:p>
      <w:pPr>
        <w:pStyle w:val="ListBullet"/>
      </w:pPr>
      <w:r>
        <w:rPr>
          <w:rFonts w:ascii="Inter" w:hAnsi="Inter" w:cs="Inter"/>
          <w:b w:val="0"/>
          <w:i w:val="0"/>
          <w:color w:val="2D2D2D"/>
          <w:sz w:val="22"/>
        </w:rPr>
        <w:t>Does this stakeholder have media access or public influence? (If yes, Medium.)</w:t>
      </w:r>
    </w:p>
    <w:p>
      <w:pPr>
        <w:pStyle w:val="ListBullet"/>
      </w:pPr>
      <w:r>
        <w:rPr>
          <w:rFonts w:ascii="Inter" w:hAnsi="Inter" w:cs="Inter"/>
          <w:b w:val="0"/>
          <w:i w:val="0"/>
          <w:color w:val="2D2D2D"/>
          <w:sz w:val="22"/>
        </w:rPr>
        <w:t>Is this stakeholder's influence limited to their own community or organization? (If yes, Low to Medium.)</w:t>
      </w:r>
    </w:p>
    <w:p>
      <w:pPr>
        <w:spacing w:after="120" w:line="276" w:lineRule="auto"/>
      </w:pPr>
      <w:r>
        <w:rPr>
          <w:rFonts w:ascii="Inter" w:hAnsi="Inter" w:cs="Inter"/>
          <w:b w:val="0"/>
          <w:i w:val="0"/>
          <w:color w:val="2D2D2D"/>
          <w:sz w:val="22"/>
        </w:rPr>
      </w:r>
      <w:r>
        <w:rPr>
          <w:rFonts w:ascii="Inter" w:hAnsi="Inter" w:cs="Inter"/>
          <w:b/>
          <w:i w:val="0"/>
          <w:color w:val="2D2D2D"/>
          <w:sz w:val="22"/>
        </w:rPr>
        <w:t>Interest (High / Medium / Low).</w:t>
      </w:r>
      <w:r>
        <w:rPr>
          <w:rFonts w:ascii="Inter" w:hAnsi="Inter" w:cs="Inter"/>
          <w:b w:val="0"/>
          <w:i w:val="0"/>
          <w:color w:val="2D2D2D"/>
          <w:sz w:val="22"/>
        </w:rPr>
        <w:t xml:space="preserve"> Ask:</w:t>
      </w:r>
    </w:p>
    <w:p>
      <w:pPr>
        <w:pStyle w:val="ListBullet"/>
      </w:pPr>
      <w:r>
        <w:rPr>
          <w:rFonts w:ascii="Inter" w:hAnsi="Inter" w:cs="Inter"/>
          <w:b w:val="0"/>
          <w:i w:val="0"/>
          <w:color w:val="2D2D2D"/>
          <w:sz w:val="22"/>
        </w:rPr>
        <w:t>Is this stakeholder directly affected by my MOA's programs? (If yes, likely High.)</w:t>
      </w:r>
    </w:p>
    <w:p>
      <w:pPr>
        <w:pStyle w:val="ListBullet"/>
      </w:pPr>
      <w:r>
        <w:rPr>
          <w:rFonts w:ascii="Inter" w:hAnsi="Inter" w:cs="Inter"/>
          <w:b w:val="0"/>
          <w:i w:val="0"/>
          <w:color w:val="2D2D2D"/>
          <w:sz w:val="22"/>
        </w:rPr>
        <w:t>Does this stakeholder have a legal mandate that overlaps with my MOA's work? (If yes, likely High.)</w:t>
      </w:r>
    </w:p>
    <w:p>
      <w:pPr>
        <w:pStyle w:val="ListBullet"/>
      </w:pPr>
      <w:r>
        <w:rPr>
          <w:rFonts w:ascii="Inter" w:hAnsi="Inter" w:cs="Inter"/>
          <w:b w:val="0"/>
          <w:i w:val="0"/>
          <w:color w:val="2D2D2D"/>
          <w:sz w:val="22"/>
        </w:rPr>
        <w:t>Has this stakeholder expressed views (positive or negative) about my MOA's programs? (If yes, High.)</w:t>
      </w:r>
    </w:p>
    <w:p>
      <w:pPr>
        <w:pStyle w:val="ListBullet"/>
      </w:pPr>
      <w:r>
        <w:rPr>
          <w:rFonts w:ascii="Inter" w:hAnsi="Inter" w:cs="Inter"/>
          <w:b w:val="0"/>
          <w:i w:val="0"/>
          <w:color w:val="2D2D2D"/>
          <w:sz w:val="22"/>
        </w:rPr>
        <w:t>Does this stakeholder's mission or purpose align or conflict with my MOA's work? (If yes, Medium to High.)</w:t>
      </w:r>
    </w:p>
    <w:p>
      <w:pPr>
        <w:pStyle w:val="ListBullet"/>
      </w:pPr>
      <w:r>
        <w:rPr>
          <w:rFonts w:ascii="Inter" w:hAnsi="Inter" w:cs="Inter"/>
          <w:b w:val="0"/>
          <w:i w:val="0"/>
          <w:color w:val="2D2D2D"/>
          <w:sz w:val="22"/>
        </w:rPr>
        <w:t>Is this stakeholder aware of my MOA's programs? (If no, likely Low.)</w:t>
      </w:r>
    </w:p>
    <w:p>
      <w:pPr>
        <w:spacing w:after="120" w:line="276" w:lineRule="auto"/>
      </w:pPr>
      <w:r>
        <w:rPr>
          <w:rFonts w:ascii="Inter" w:hAnsi="Inter" w:cs="Inter"/>
          <w:b w:val="0"/>
          <w:i w:val="0"/>
          <w:color w:val="2D2D2D"/>
          <w:sz w:val="22"/>
        </w:rPr>
        <w:t>Record your assessments: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w:t>
            </w:r>
          </w:p>
        </w:tc>
        <w:tc>
          <w:tcPr>
            <w:tcW w:type="dxa" w:w="1872"/>
            <w:shd w:fill="1B365D"/>
          </w:tcPr>
          <w:p>
            <w:r/>
            <w:r>
              <w:rPr>
                <w:rFonts w:ascii="Inter" w:hAnsi="Inter" w:cs="Inter"/>
                <w:b/>
                <w:i w:val="0"/>
                <w:color w:val="FFFFFF"/>
                <w:sz w:val="19"/>
              </w:rPr>
              <w:t>Stakeholder</w:t>
            </w:r>
          </w:p>
        </w:tc>
        <w:tc>
          <w:tcPr>
            <w:tcW w:type="dxa" w:w="1872"/>
            <w:shd w:fill="1B365D"/>
          </w:tcPr>
          <w:p>
            <w:r/>
            <w:r>
              <w:rPr>
                <w:rFonts w:ascii="Inter" w:hAnsi="Inter" w:cs="Inter"/>
                <w:b/>
                <w:i w:val="0"/>
                <w:color w:val="FFFFFF"/>
                <w:sz w:val="19"/>
              </w:rPr>
              <w:t>Category</w:t>
            </w:r>
          </w:p>
        </w:tc>
        <w:tc>
          <w:tcPr>
            <w:tcW w:type="dxa" w:w="1872"/>
            <w:shd w:fill="1B365D"/>
          </w:tcPr>
          <w:p>
            <w:r/>
            <w:r>
              <w:rPr>
                <w:rFonts w:ascii="Inter" w:hAnsi="Inter" w:cs="Inter"/>
                <w:b/>
                <w:i w:val="0"/>
                <w:color w:val="FFFFFF"/>
                <w:sz w:val="19"/>
              </w:rPr>
              <w:t>Power (H/M/L)</w:t>
            </w:r>
          </w:p>
        </w:tc>
        <w:tc>
          <w:tcPr>
            <w:tcW w:type="dxa" w:w="1872"/>
            <w:shd w:fill="1B365D"/>
          </w:tcPr>
          <w:p>
            <w:r/>
            <w:r>
              <w:rPr>
                <w:rFonts w:ascii="Inter" w:hAnsi="Inter" w:cs="Inter"/>
                <w:b/>
                <w:i w:val="0"/>
                <w:color w:val="FFFFFF"/>
                <w:sz w:val="19"/>
              </w:rPr>
              <w:t>Interest (H/M/L)</w:t>
            </w:r>
          </w:p>
        </w:tc>
      </w:tr>
      <w:tr>
        <w:tc>
          <w:tcPr>
            <w:tcW w:type="dxa" w:w="1872"/>
          </w:tcPr>
          <w:p>
            <w:r/>
            <w:r>
              <w:rPr>
                <w:rFonts w:ascii="Inter" w:hAnsi="Inter" w:cs="Inter"/>
                <w:b w:val="0"/>
                <w:i w:val="0"/>
                <w:color w:val="2D2D2D"/>
                <w:sz w:val="19"/>
              </w:rPr>
              <w:t>1</w:t>
            </w:r>
          </w:p>
        </w:tc>
        <w:tc>
          <w:tcPr>
            <w:tcW w:type="dxa" w:w="1872"/>
          </w:tcPr>
          <w:p>
            <w:r/>
            <w:r>
              <w:rPr>
                <w:rFonts w:ascii="Inter" w:hAnsi="Inter" w:cs="Inter"/>
                <w:b w:val="0"/>
                <w:i w:val="0"/>
                <w:color w:val="2D2D2D"/>
                <w:sz w:val="19"/>
              </w:rPr>
              <w:t>[Name]</w:t>
            </w:r>
          </w:p>
        </w:tc>
        <w:tc>
          <w:tcPr>
            <w:tcW w:type="dxa" w:w="1872"/>
          </w:tcPr>
          <w:p>
            <w:r/>
            <w:r>
              <w:rPr>
                <w:rFonts w:ascii="Inter" w:hAnsi="Inter" w:cs="Inter"/>
                <w:b w:val="0"/>
                <w:i w:val="0"/>
                <w:color w:val="2D2D2D"/>
                <w:sz w:val="19"/>
              </w:rPr>
              <w:t>[A-H]</w:t>
            </w:r>
          </w:p>
        </w:tc>
        <w:tc>
          <w:tcPr>
            <w:tcW w:type="dxa" w:w="1872"/>
          </w:tcPr>
          <w:p>
            <w:r/>
            <w:r>
              <w:rPr>
                <w:rFonts w:ascii="Inter" w:hAnsi="Inter" w:cs="Inter"/>
                <w:b w:val="0"/>
                <w:i w:val="0"/>
                <w:color w:val="2D2D2D"/>
                <w:sz w:val="19"/>
              </w:rPr>
              <w:t>[H/M/L]</w:t>
            </w:r>
          </w:p>
        </w:tc>
        <w:tc>
          <w:tcPr>
            <w:tcW w:type="dxa" w:w="1872"/>
          </w:tcPr>
          <w:p>
            <w:r/>
            <w:r>
              <w:rPr>
                <w:rFonts w:ascii="Inter" w:hAnsi="Inter" w:cs="Inter"/>
                <w:b w:val="0"/>
                <w:i w:val="0"/>
                <w:color w:val="2D2D2D"/>
                <w:sz w:val="19"/>
              </w:rPr>
              <w:t>[H/M/L]</w:t>
            </w:r>
          </w:p>
        </w:tc>
      </w:tr>
    </w:tbl>
    <w:p/>
    <w:p>
      <w:pPr>
        <w:spacing w:after="120" w:line="276" w:lineRule="auto"/>
      </w:pPr>
      <w:r>
        <w:rPr>
          <w:rFonts w:ascii="Inter" w:hAnsi="Inter" w:cs="Inter"/>
          <w:b w:val="0"/>
          <w:i w:val="0"/>
          <w:color w:val="2D2D2D"/>
          <w:sz w:val="22"/>
        </w:rPr>
        <w:t>Do not agonize over borderline cases. The purpose is to sort stakeholders into rough groupings, not to assign precise scores. If you are unsure whether a stakeholder is High or Medium on power, pick one and move on. You can adjust later.</w:t>
      </w:r>
    </w:p>
    <w:p>
      <w:pPr>
        <w:pStyle w:val="Heading3"/>
      </w:pPr>
      <w:r>
        <w:rPr>
          <w:rFonts w:ascii="Inter" w:hAnsi="Inter" w:cs="Inter"/>
          <w:b/>
          <w:i w:val="0"/>
          <w:color w:val="2C5F7C"/>
          <w:sz w:val="26"/>
        </w:rPr>
        <w:t>Step 3: Plot on the Power/Interest Matrix</w:t>
      </w:r>
    </w:p>
    <w:p>
      <w:pPr>
        <w:spacing w:after="120" w:line="276" w:lineRule="auto"/>
      </w:pPr>
      <w:r>
        <w:rPr>
          <w:rFonts w:ascii="Inter" w:hAnsi="Inter" w:cs="Inter"/>
          <w:b w:val="0"/>
          <w:i w:val="0"/>
          <w:color w:val="2D2D2D"/>
          <w:sz w:val="22"/>
        </w:rPr>
        <w:t>Transfer your stakeholders to the 2x2 grid. Use the following visual format: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HIGH INTEREST                    LOW INTEREST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Place each stakeholder in the appropriate quadrant based on the power and interest assessments from Step 2. If you have stakeholders with Medium power or Medium interest, place them in the quadrant that best fits. A stakeholder with Medium power and High interest, for example, goes in Quadrant 3 (Keep Informed) unless their medium power is significant enough to warrant Quadrant 1 treatment.</w:t>
      </w:r>
    </w:p>
    <w:p>
      <w:pPr>
        <w:pStyle w:val="Heading3"/>
      </w:pPr>
      <w:r>
        <w:rPr>
          <w:rFonts w:ascii="Inter" w:hAnsi="Inter" w:cs="Inter"/>
          <w:b/>
          <w:i w:val="0"/>
          <w:color w:val="2C5F7C"/>
          <w:sz w:val="26"/>
        </w:rPr>
        <w:t>Step 4: Assign Engagement Level for Each Quadrant</w:t>
      </w:r>
    </w:p>
    <w:p>
      <w:pPr>
        <w:spacing w:after="120" w:line="276" w:lineRule="auto"/>
      </w:pPr>
      <w:r>
        <w:rPr>
          <w:rFonts w:ascii="Inter" w:hAnsi="Inter" w:cs="Inter"/>
          <w:b w:val="0"/>
          <w:i w:val="0"/>
          <w:color w:val="2D2D2D"/>
          <w:sz w:val="22"/>
        </w:rPr>
        <w:t>Using the engagement levels from Section 5.2, assign a default engagement level to each quadrant: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Quadrant</w:t>
            </w:r>
          </w:p>
        </w:tc>
        <w:tc>
          <w:tcPr>
            <w:tcW w:type="dxa" w:w="3120"/>
            <w:shd w:fill="1B365D"/>
          </w:tcPr>
          <w:p>
            <w:r/>
            <w:r>
              <w:rPr>
                <w:rFonts w:ascii="Inter" w:hAnsi="Inter" w:cs="Inter"/>
                <w:b/>
                <w:i w:val="0"/>
                <w:color w:val="FFFFFF"/>
                <w:sz w:val="19"/>
              </w:rPr>
              <w:t>Default Engagement Level</w:t>
            </w:r>
          </w:p>
        </w:tc>
        <w:tc>
          <w:tcPr>
            <w:tcW w:type="dxa" w:w="3120"/>
            <w:shd w:fill="1B365D"/>
          </w:tcPr>
          <w:p>
            <w:r/>
            <w:r>
              <w:rPr>
                <w:rFonts w:ascii="Inter" w:hAnsi="Inter" w:cs="Inter"/>
                <w:b/>
                <w:i w:val="0"/>
                <w:color w:val="FFFFFF"/>
                <w:sz w:val="19"/>
              </w:rPr>
              <w:t>Rationale</w:t>
            </w:r>
          </w:p>
        </w:tc>
      </w:tr>
      <w:tr>
        <w:tc>
          <w:tcPr>
            <w:tcW w:type="dxa" w:w="3120"/>
          </w:tcPr>
          <w:p>
            <w:r/>
            <w:r>
              <w:rPr>
                <w:rFonts w:ascii="Inter" w:hAnsi="Inter" w:cs="Inter"/>
                <w:b w:val="0"/>
                <w:i w:val="0"/>
                <w:color w:val="2D2D2D"/>
                <w:sz w:val="19"/>
              </w:rPr>
              <w:t>1: Manage Closely</w:t>
            </w:r>
          </w:p>
        </w:tc>
        <w:tc>
          <w:tcPr>
            <w:tcW w:type="dxa" w:w="3120"/>
          </w:tcPr>
          <w:p>
            <w:r/>
            <w:r>
              <w:rPr>
                <w:rFonts w:ascii="Inter" w:hAnsi="Inter" w:cs="Inter"/>
                <w:b w:val="0"/>
                <w:i w:val="0"/>
                <w:color w:val="2D2D2D"/>
                <w:sz w:val="19"/>
              </w:rPr>
              <w:t>Collaborate or Involve</w:t>
            </w:r>
          </w:p>
        </w:tc>
        <w:tc>
          <w:tcPr>
            <w:tcW w:type="dxa" w:w="3120"/>
          </w:tcPr>
          <w:p>
            <w:r/>
            <w:r>
              <w:rPr>
                <w:rFonts w:ascii="Inter" w:hAnsi="Inter" w:cs="Inter"/>
                <w:b w:val="0"/>
                <w:i w:val="0"/>
                <w:color w:val="2D2D2D"/>
                <w:sz w:val="19"/>
              </w:rPr>
              <w:t>These stakeholders have both power and interest. They must be active participants in your planning process.</w:t>
            </w:r>
          </w:p>
        </w:tc>
      </w:tr>
      <w:tr>
        <w:tc>
          <w:tcPr>
            <w:tcW w:type="dxa" w:w="3120"/>
            <w:shd w:fill="F0F3F6"/>
          </w:tcPr>
          <w:p>
            <w:r/>
            <w:r>
              <w:rPr>
                <w:rFonts w:ascii="Inter" w:hAnsi="Inter" w:cs="Inter"/>
                <w:b w:val="0"/>
                <w:i w:val="0"/>
                <w:color w:val="2D2D2D"/>
                <w:sz w:val="19"/>
              </w:rPr>
              <w:t>2: Keep Satisfied</w:t>
            </w:r>
          </w:p>
        </w:tc>
        <w:tc>
          <w:tcPr>
            <w:tcW w:type="dxa" w:w="3120"/>
            <w:shd w:fill="F0F3F6"/>
          </w:tcPr>
          <w:p>
            <w:r/>
            <w:r>
              <w:rPr>
                <w:rFonts w:ascii="Inter" w:hAnsi="Inter" w:cs="Inter"/>
                <w:b w:val="0"/>
                <w:i w:val="0"/>
                <w:color w:val="2D2D2D"/>
                <w:sz w:val="19"/>
              </w:rPr>
              <w:t>Consult</w:t>
            </w:r>
          </w:p>
        </w:tc>
        <w:tc>
          <w:tcPr>
            <w:tcW w:type="dxa" w:w="3120"/>
            <w:shd w:fill="F0F3F6"/>
          </w:tcPr>
          <w:p>
            <w:r/>
            <w:r>
              <w:rPr>
                <w:rFonts w:ascii="Inter" w:hAnsi="Inter" w:cs="Inter"/>
                <w:b w:val="0"/>
                <w:i w:val="0"/>
                <w:color w:val="2D2D2D"/>
                <w:sz w:val="19"/>
              </w:rPr>
              <w:t>These stakeholders have power but limited interest. Keep them informed enough that they do not become obstacles, and consult them on matters that affect them.</w:t>
            </w:r>
          </w:p>
        </w:tc>
      </w:tr>
      <w:tr>
        <w:tc>
          <w:tcPr>
            <w:tcW w:type="dxa" w:w="3120"/>
          </w:tcPr>
          <w:p>
            <w:r/>
            <w:r>
              <w:rPr>
                <w:rFonts w:ascii="Inter" w:hAnsi="Inter" w:cs="Inter"/>
                <w:b w:val="0"/>
                <w:i w:val="0"/>
                <w:color w:val="2D2D2D"/>
                <w:sz w:val="19"/>
              </w:rPr>
              <w:t>3: Keep Informed</w:t>
            </w:r>
          </w:p>
        </w:tc>
        <w:tc>
          <w:tcPr>
            <w:tcW w:type="dxa" w:w="3120"/>
          </w:tcPr>
          <w:p>
            <w:r/>
            <w:r>
              <w:rPr>
                <w:rFonts w:ascii="Inter" w:hAnsi="Inter" w:cs="Inter"/>
                <w:b w:val="0"/>
                <w:i w:val="0"/>
                <w:color w:val="2D2D2D"/>
                <w:sz w:val="19"/>
              </w:rPr>
              <w:t>Involve or Inform</w:t>
            </w:r>
          </w:p>
        </w:tc>
        <w:tc>
          <w:tcPr>
            <w:tcW w:type="dxa" w:w="3120"/>
          </w:tcPr>
          <w:p>
            <w:r/>
            <w:r>
              <w:rPr>
                <w:rFonts w:ascii="Inter" w:hAnsi="Inter" w:cs="Inter"/>
                <w:b w:val="0"/>
                <w:i w:val="0"/>
                <w:color w:val="2D2D2D"/>
                <w:sz w:val="19"/>
              </w:rPr>
              <w:t>These stakeholders have high interest but limited power. Give them meaningful channels for input. They can become advocates.</w:t>
            </w:r>
          </w:p>
        </w:tc>
      </w:tr>
      <w:tr>
        <w:tc>
          <w:tcPr>
            <w:tcW w:type="dxa" w:w="3120"/>
            <w:shd w:fill="F0F3F6"/>
          </w:tcPr>
          <w:p>
            <w:r/>
            <w:r>
              <w:rPr>
                <w:rFonts w:ascii="Inter" w:hAnsi="Inter" w:cs="Inter"/>
                <w:b w:val="0"/>
                <w:i w:val="0"/>
                <w:color w:val="2D2D2D"/>
                <w:sz w:val="19"/>
              </w:rPr>
              <w:t>4: Monitor</w:t>
            </w:r>
          </w:p>
        </w:tc>
        <w:tc>
          <w:tcPr>
            <w:tcW w:type="dxa" w:w="3120"/>
            <w:shd w:fill="F0F3F6"/>
          </w:tcPr>
          <w:p>
            <w:r/>
            <w:r>
              <w:rPr>
                <w:rFonts w:ascii="Inter" w:hAnsi="Inter" w:cs="Inter"/>
                <w:b w:val="0"/>
                <w:i w:val="0"/>
                <w:color w:val="2D2D2D"/>
                <w:sz w:val="19"/>
              </w:rPr>
              <w:t>Inform</w:t>
            </w:r>
          </w:p>
        </w:tc>
        <w:tc>
          <w:tcPr>
            <w:tcW w:type="dxa" w:w="3120"/>
            <w:shd w:fill="F0F3F6"/>
          </w:tcPr>
          <w:p>
            <w:r/>
            <w:r>
              <w:rPr>
                <w:rFonts w:ascii="Inter" w:hAnsi="Inter" w:cs="Inter"/>
                <w:b w:val="0"/>
                <w:i w:val="0"/>
                <w:color w:val="2D2D2D"/>
                <w:sz w:val="19"/>
              </w:rPr>
              <w:t>These stakeholders have limited power and interest. Basic information-sharing is sufficient, but monitor for changes.</w:t>
            </w:r>
          </w:p>
        </w:tc>
      </w:tr>
    </w:tbl>
    <w:p/>
    <w:p>
      <w:pPr>
        <w:spacing w:after="120" w:line="276" w:lineRule="auto"/>
      </w:pPr>
      <w:r>
        <w:rPr>
          <w:rFonts w:ascii="Inter" w:hAnsi="Inter" w:cs="Inter"/>
          <w:b w:val="0"/>
          <w:i w:val="0"/>
          <w:color w:val="2D2D2D"/>
          <w:sz w:val="22"/>
        </w:rPr>
        <w:t>These are defaults. Individual stakeholders within a quadrant may warrant a different engagement level based on their specific situation. A CSO in Quadrant 3 that represents affected indigenous peoples' communities may warrant Involvement rather than just being Informed.</w:t>
      </w:r>
    </w:p>
    <w:p>
      <w:pPr>
        <w:pStyle w:val="Heading3"/>
      </w:pPr>
      <w:r>
        <w:rPr>
          <w:rFonts w:ascii="Inter" w:hAnsi="Inter" w:cs="Inter"/>
          <w:b/>
          <w:i w:val="0"/>
          <w:color w:val="2C5F7C"/>
          <w:sz w:val="26"/>
        </w:rPr>
        <w:t>Step 5: Define Specific Engagement Activities for Key Stakeholders</w:t>
      </w:r>
    </w:p>
    <w:p>
      <w:pPr>
        <w:spacing w:after="120" w:line="276" w:lineRule="auto"/>
      </w:pPr>
      <w:r>
        <w:rPr>
          <w:rFonts w:ascii="Inter" w:hAnsi="Inter" w:cs="Inter"/>
          <w:b w:val="0"/>
          <w:i w:val="0"/>
          <w:color w:val="2D2D2D"/>
          <w:sz w:val="22"/>
        </w:rPr>
        <w:t>For every stakeholder in Quadrant 1 (Manage Closely) and for priority stakeholders in other quadrants, define:</w:t>
      </w:r>
    </w:p>
    <w:p>
      <w:pPr>
        <w:pStyle w:val="ListBullet"/>
      </w:pPr>
      <w:r>
        <w:rPr>
          <w:rFonts w:ascii="Inter" w:hAnsi="Inter" w:cs="Inter"/>
          <w:b w:val="0"/>
          <w:i w:val="0"/>
          <w:color w:val="2D2D2D"/>
          <w:sz w:val="22"/>
        </w:rPr>
      </w:r>
      <w:r>
        <w:rPr>
          <w:rFonts w:ascii="Inter" w:hAnsi="Inter" w:cs="Inter"/>
          <w:b/>
          <w:i w:val="0"/>
          <w:color w:val="2D2D2D"/>
          <w:sz w:val="22"/>
        </w:rPr>
        <w:t>What</w:t>
      </w:r>
      <w:r>
        <w:rPr>
          <w:rFonts w:ascii="Inter" w:hAnsi="Inter" w:cs="Inter"/>
          <w:b w:val="0"/>
          <w:i w:val="0"/>
          <w:color w:val="2D2D2D"/>
          <w:sz w:val="22"/>
        </w:rPr>
        <w:t xml:space="preserve"> you will do (specific engagement activity).</w:t>
      </w:r>
    </w:p>
    <w:p>
      <w:pPr>
        <w:pStyle w:val="ListBullet"/>
      </w:pPr>
      <w:r>
        <w:rPr>
          <w:rFonts w:ascii="Inter" w:hAnsi="Inter" w:cs="Inter"/>
          <w:b w:val="0"/>
          <w:i w:val="0"/>
          <w:color w:val="2D2D2D"/>
          <w:sz w:val="22"/>
        </w:rPr>
      </w:r>
      <w:r>
        <w:rPr>
          <w:rFonts w:ascii="Inter" w:hAnsi="Inter" w:cs="Inter"/>
          <w:b/>
          <w:i w:val="0"/>
          <w:color w:val="2D2D2D"/>
          <w:sz w:val="22"/>
        </w:rPr>
        <w:t>When</w:t>
      </w:r>
      <w:r>
        <w:rPr>
          <w:rFonts w:ascii="Inter" w:hAnsi="Inter" w:cs="Inter"/>
          <w:b w:val="0"/>
          <w:i w:val="0"/>
          <w:color w:val="2D2D2D"/>
          <w:sz w:val="22"/>
        </w:rPr>
        <w:t xml:space="preserve"> you will do it (frequency --- monthly, quarterly, as needed).</w:t>
      </w:r>
    </w:p>
    <w:p>
      <w:pPr>
        <w:pStyle w:val="ListBullet"/>
      </w:pPr>
      <w:r>
        <w:rPr>
          <w:rFonts w:ascii="Inter" w:hAnsi="Inter" w:cs="Inter"/>
          <w:b w:val="0"/>
          <w:i w:val="0"/>
          <w:color w:val="2D2D2D"/>
          <w:sz w:val="22"/>
        </w:rPr>
      </w:r>
      <w:r>
        <w:rPr>
          <w:rFonts w:ascii="Inter" w:hAnsi="Inter" w:cs="Inter"/>
          <w:b/>
          <w:i w:val="0"/>
          <w:color w:val="2D2D2D"/>
          <w:sz w:val="22"/>
        </w:rPr>
        <w:t>Who</w:t>
      </w:r>
      <w:r>
        <w:rPr>
          <w:rFonts w:ascii="Inter" w:hAnsi="Inter" w:cs="Inter"/>
          <w:b w:val="0"/>
          <w:i w:val="0"/>
          <w:color w:val="2D2D2D"/>
          <w:sz w:val="22"/>
        </w:rPr>
        <w:t xml:space="preserve"> on your team is responsible for maintaining the relationship.</w:t>
      </w:r>
    </w:p>
    <w:p>
      <w:pPr>
        <w:pStyle w:val="ListBullet"/>
      </w:pPr>
      <w:r>
        <w:rPr>
          <w:rFonts w:ascii="Inter" w:hAnsi="Inter" w:cs="Inter"/>
          <w:b w:val="0"/>
          <w:i w:val="0"/>
          <w:color w:val="2D2D2D"/>
          <w:sz w:val="22"/>
        </w:rPr>
      </w:r>
      <w:r>
        <w:rPr>
          <w:rFonts w:ascii="Inter" w:hAnsi="Inter" w:cs="Inter"/>
          <w:b/>
          <w:i w:val="0"/>
          <w:color w:val="2D2D2D"/>
          <w:sz w:val="22"/>
        </w:rPr>
        <w:t>How</w:t>
      </w:r>
      <w:r>
        <w:rPr>
          <w:rFonts w:ascii="Inter" w:hAnsi="Inter" w:cs="Inter"/>
          <w:b w:val="0"/>
          <w:i w:val="0"/>
          <w:color w:val="2D2D2D"/>
          <w:sz w:val="22"/>
        </w:rPr>
        <w:t xml:space="preserve"> you will communicate (meetings, written reports, joint planning sessions, site visits).</w:t>
      </w:r>
    </w:p>
    <w:p>
      <w:pPr>
        <w:spacing w:after="120" w:line="276" w:lineRule="auto"/>
      </w:pPr>
      <w:r>
        <w:rPr>
          <w:rFonts w:ascii="Inter" w:hAnsi="Inter" w:cs="Inter"/>
          <w:b w:val="0"/>
          <w:i w:val="0"/>
          <w:color w:val="2D2D2D"/>
          <w:sz w:val="22"/>
        </w:rPr>
        <w:t>Be specific. "Engage regularly with the BTA Committee on Environment" is not an engagement activity. "Provide quarterly written progress reports on all environment programs to the Committee on Environment; attend committee hearings when called; brief the committee chair before each parliamentary session on upcoming policy issues" is an engagement activity.</w:t>
      </w:r>
    </w:p>
    <w:p>
      <w:pPr>
        <w:pStyle w:val="Heading3"/>
      </w:pPr>
      <w:r>
        <w:rPr>
          <w:rFonts w:ascii="Inter" w:hAnsi="Inter" w:cs="Inter"/>
          <w:b/>
          <w:i w:val="0"/>
          <w:color w:val="2C5F7C"/>
          <w:sz w:val="26"/>
        </w:rPr>
        <w:t>Step 6: Identify Critical Relationships</w:t>
      </w:r>
    </w:p>
    <w:p>
      <w:pPr>
        <w:spacing w:after="120" w:line="276" w:lineRule="auto"/>
      </w:pPr>
      <w:r>
        <w:rPr>
          <w:rFonts w:ascii="Inter" w:hAnsi="Inter" w:cs="Inter"/>
          <w:b w:val="0"/>
          <w:i w:val="0"/>
          <w:color w:val="2D2D2D"/>
          <w:sz w:val="22"/>
        </w:rPr>
        <w:t>Review your matrix and identify stakeholders who are essential for:</w:t>
      </w:r>
    </w:p>
    <w:p>
      <w:pPr>
        <w:pStyle w:val="ListBullet"/>
      </w:pPr>
      <w:r>
        <w:rPr>
          <w:rFonts w:ascii="Inter" w:hAnsi="Inter" w:cs="Inter"/>
          <w:b w:val="0"/>
          <w:i w:val="0"/>
          <w:color w:val="2D2D2D"/>
          <w:sz w:val="22"/>
        </w:rPr>
      </w:r>
      <w:r>
        <w:rPr>
          <w:rFonts w:ascii="Inter" w:hAnsi="Inter" w:cs="Inter"/>
          <w:b/>
          <w:i w:val="0"/>
          <w:color w:val="2D2D2D"/>
          <w:sz w:val="22"/>
        </w:rPr>
        <w:t>Plan approval.</w:t>
      </w:r>
      <w:r>
        <w:rPr>
          <w:rFonts w:ascii="Inter" w:hAnsi="Inter" w:cs="Inter"/>
          <w:b w:val="0"/>
          <w:i w:val="0"/>
          <w:color w:val="2D2D2D"/>
          <w:sz w:val="22"/>
        </w:rPr>
        <w:t xml:space="preserve"> Who must approve your strategic plan before it can be implemented? This typically includes the BPDA (technical review), the BEDC (policy endorsement), and the BTA Parliament (budget appropriation). These are non-negotiable Quadrant 1 stakeholders.</w:t>
      </w:r>
    </w:p>
    <w:p>
      <w:pPr>
        <w:pStyle w:val="ListBullet"/>
      </w:pPr>
      <w:r>
        <w:rPr>
          <w:rFonts w:ascii="Inter" w:hAnsi="Inter" w:cs="Inter"/>
          <w:b w:val="0"/>
          <w:i w:val="0"/>
          <w:color w:val="2D2D2D"/>
          <w:sz w:val="22"/>
        </w:rPr>
      </w:r>
      <w:r>
        <w:rPr>
          <w:rFonts w:ascii="Inter" w:hAnsi="Inter" w:cs="Inter"/>
          <w:b/>
          <w:i w:val="0"/>
          <w:color w:val="2D2D2D"/>
          <w:sz w:val="22"/>
        </w:rPr>
        <w:t>Program implementation.</w:t>
      </w:r>
      <w:r>
        <w:rPr>
          <w:rFonts w:ascii="Inter" w:hAnsi="Inter" w:cs="Inter"/>
          <w:b w:val="0"/>
          <w:i w:val="0"/>
          <w:color w:val="2D2D2D"/>
          <w:sz w:val="22"/>
        </w:rPr>
        <w:t xml:space="preserve"> Who must cooperate for your programs to reach beneficiaries? This typically includes LGUs (local delivery), implementing partners (CSOs, development partners), and internal units (bureaus, field offices).</w:t>
      </w:r>
    </w:p>
    <w:p>
      <w:pPr>
        <w:pStyle w:val="ListBullet"/>
      </w:pPr>
      <w:r>
        <w:rPr>
          <w:rFonts w:ascii="Inter" w:hAnsi="Inter" w:cs="Inter"/>
          <w:b w:val="0"/>
          <w:i w:val="0"/>
          <w:color w:val="2D2D2D"/>
          <w:sz w:val="22"/>
        </w:rPr>
      </w:r>
      <w:r>
        <w:rPr>
          <w:rFonts w:ascii="Inter" w:hAnsi="Inter" w:cs="Inter"/>
          <w:b/>
          <w:i w:val="0"/>
          <w:color w:val="2D2D2D"/>
          <w:sz w:val="22"/>
        </w:rPr>
        <w:t>Resource mobilization.</w:t>
      </w:r>
      <w:r>
        <w:rPr>
          <w:rFonts w:ascii="Inter" w:hAnsi="Inter" w:cs="Inter"/>
          <w:b w:val="0"/>
          <w:i w:val="0"/>
          <w:color w:val="2D2D2D"/>
          <w:sz w:val="22"/>
        </w:rPr>
        <w:t xml:space="preserve"> Who controls the resources --- budget, personnel, equipment, technical expertise --- that your programs require? This typically includes the MFBM (budget), development partners (grants and technical assistance), and the private sector (co-financing, public-private partnerships).</w:t>
      </w:r>
    </w:p>
    <w:p>
      <w:pPr>
        <w:pStyle w:val="ListBullet"/>
      </w:pPr>
      <w:r>
        <w:rPr>
          <w:rFonts w:ascii="Inter" w:hAnsi="Inter" w:cs="Inter"/>
          <w:b w:val="0"/>
          <w:i w:val="0"/>
          <w:color w:val="2D2D2D"/>
          <w:sz w:val="22"/>
        </w:rPr>
      </w:r>
      <w:r>
        <w:rPr>
          <w:rFonts w:ascii="Inter" w:hAnsi="Inter" w:cs="Inter"/>
          <w:b/>
          <w:i w:val="0"/>
          <w:color w:val="2D2D2D"/>
          <w:sz w:val="22"/>
        </w:rPr>
        <w:t>Political support.</w:t>
      </w:r>
      <w:r>
        <w:rPr>
          <w:rFonts w:ascii="Inter" w:hAnsi="Inter" w:cs="Inter"/>
          <w:b w:val="0"/>
          <w:i w:val="0"/>
          <w:color w:val="2D2D2D"/>
          <w:sz w:val="22"/>
        </w:rPr>
        <w:t xml:space="preserve"> Who provides the political endorsement that protects your programs from being defunded, reorganized, or deprioritized? This typically includes Parliament members, the Office of the Chief Minister, and the minister or executive director of your MOA.</w:t>
      </w:r>
    </w:p>
    <w:p>
      <w:pPr>
        <w:spacing w:after="120" w:line="276" w:lineRule="auto"/>
      </w:pPr>
      <w:r>
        <w:rPr>
          <w:rFonts w:ascii="Inter" w:hAnsi="Inter" w:cs="Inter"/>
          <w:b w:val="0"/>
          <w:i w:val="0"/>
          <w:color w:val="2D2D2D"/>
          <w:sz w:val="22"/>
        </w:rPr>
        <w:t>For each critical relationship, note what would happen if the stakeholder withdrew support or became an active opponent. This informs your risk planning in later chapters.</w:t>
      </w:r>
    </w:p>
    <w:p>
      <w:pPr>
        <w:pStyle w:val="Heading3"/>
      </w:pPr>
      <w:r>
        <w:rPr>
          <w:rFonts w:ascii="Inter" w:hAnsi="Inter" w:cs="Inter"/>
          <w:b/>
          <w:i w:val="0"/>
          <w:color w:val="2C5F7C"/>
          <w:sz w:val="26"/>
        </w:rPr>
        <w:t>Step 7: Complete the Stakeholder Register and Engagement Plan</w:t>
      </w:r>
    </w:p>
    <w:p>
      <w:pPr>
        <w:spacing w:after="120" w:line="276" w:lineRule="auto"/>
      </w:pPr>
      <w:r>
        <w:rPr>
          <w:rFonts w:ascii="Inter" w:hAnsi="Inter" w:cs="Inter"/>
          <w:b w:val="0"/>
          <w:i w:val="0"/>
          <w:color w:val="2D2D2D"/>
          <w:sz w:val="22"/>
        </w:rPr>
        <w:t>Using the template in Section 5.7, compile all of the above into a single document. This register becomes a reference document that your MOA maintains throughout the planning cycle and updates as stakeholder dynamics change.</w:t>
      </w:r>
    </w:p>
    <w:p>
      <w:pPr>
        <w:pStyle w:val="Heading2"/>
      </w:pPr>
      <w:r>
        <w:rPr>
          <w:rFonts w:ascii="Inter" w:hAnsi="Inter" w:cs="Inter"/>
          <w:b/>
          <w:i w:val="0"/>
          <w:color w:val="1B365D"/>
          <w:sz w:val="32"/>
        </w:rPr>
        <w:t>5.4 Worked Example: Office for Other Bangsamoro Communities (OOBC)</w:t>
      </w:r>
    </w:p>
    <w:p>
      <w:pPr>
        <w:spacing w:after="120" w:line="276" w:lineRule="auto"/>
      </w:pPr>
      <w:r>
        <w:rPr>
          <w:rFonts w:ascii="Inter" w:hAnsi="Inter" w:cs="Inter"/>
          <w:b w:val="0"/>
          <w:i w:val="0"/>
          <w:color w:val="2D2D2D"/>
          <w:sz w:val="22"/>
        </w:rPr>
        <w:t>Continuing the OOBC example from Chapters 2 and 3, the Planning Officer now conducts stakeholder analysis for OOBC's strategic plan. OOBC presents a distinctive stakeholder landscape: because the office coordinates with LGUs, NGAs, CSOs, and communities *nationwide* --- not just within BARMM's core territory --- its stakeholder map is geographically dispersed and institutionally complex in ways that differ from a ministry operating within the region.</w:t>
      </w:r>
    </w:p>
    <w:p>
      <w:pPr>
        <w:pStyle w:val="Heading3"/>
      </w:pPr>
      <w:r>
        <w:rPr>
          <w:rFonts w:ascii="Inter" w:hAnsi="Inter" w:cs="Inter"/>
          <w:b/>
          <w:i w:val="0"/>
          <w:color w:val="2C5F7C"/>
          <w:sz w:val="26"/>
        </w:rPr>
        <w:t>Step 1: Listing Stakeholders</w:t>
      </w:r>
    </w:p>
    <w:p>
      <w:pPr>
        <w:spacing w:after="120" w:line="276" w:lineRule="auto"/>
      </w:pPr>
      <w:r>
        <w:rPr>
          <w:rFonts w:ascii="Inter" w:hAnsi="Inter" w:cs="Inter"/>
          <w:b w:val="0"/>
          <w:i w:val="0"/>
          <w:color w:val="2D2D2D"/>
          <w:sz w:val="22"/>
        </w:rPr>
        <w:t>The Planning Officer works through all eight categories: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t>
            </w:r>
          </w:p>
        </w:tc>
        <w:tc>
          <w:tcPr>
            <w:tcW w:type="dxa" w:w="3120"/>
            <w:shd w:fill="1B365D"/>
          </w:tcPr>
          <w:p>
            <w:r/>
            <w:r>
              <w:rPr>
                <w:rFonts w:ascii="Inter" w:hAnsi="Inter" w:cs="Inter"/>
                <w:b/>
                <w:i w:val="0"/>
                <w:color w:val="FFFFFF"/>
                <w:sz w:val="19"/>
              </w:rPr>
              <w:t>Stakeholder</w:t>
            </w:r>
          </w:p>
        </w:tc>
        <w:tc>
          <w:tcPr>
            <w:tcW w:type="dxa" w:w="3120"/>
            <w:shd w:fill="1B365D"/>
          </w:tcPr>
          <w:p>
            <w:r/>
            <w:r>
              <w:rPr>
                <w:rFonts w:ascii="Inter" w:hAnsi="Inter" w:cs="Inter"/>
                <w:b/>
                <w:i w:val="0"/>
                <w:color w:val="FFFFFF"/>
                <w:sz w:val="19"/>
              </w:rPr>
              <w:t>Category</w:t>
            </w:r>
          </w:p>
        </w:tc>
      </w:tr>
      <w:tr>
        <w:tc>
          <w:tcPr>
            <w:tcW w:type="dxa" w:w="3120"/>
          </w:tcPr>
          <w:p>
            <w:r/>
            <w:r>
              <w:rPr>
                <w:rFonts w:ascii="Inter" w:hAnsi="Inter" w:cs="Inter"/>
                <w:b w:val="0"/>
                <w:i w:val="0"/>
                <w:color w:val="2D2D2D"/>
                <w:sz w:val="19"/>
              </w:rPr>
              <w:t>1</w:t>
            </w:r>
          </w:p>
        </w:tc>
        <w:tc>
          <w:tcPr>
            <w:tcW w:type="dxa" w:w="3120"/>
          </w:tcPr>
          <w:p>
            <w:r/>
            <w:r>
              <w:rPr>
                <w:rFonts w:ascii="Inter" w:hAnsi="Inter" w:cs="Inter"/>
                <w:b w:val="0"/>
                <w:i w:val="0"/>
                <w:color w:val="2D2D2D"/>
                <w:sz w:val="19"/>
              </w:rPr>
              <w:t>BTA Committee on Other Bangsamoro Communities (OBCs)</w:t>
            </w:r>
          </w:p>
        </w:tc>
        <w:tc>
          <w:tcPr>
            <w:tcW w:type="dxa" w:w="3120"/>
          </w:tcPr>
          <w:p>
            <w:r/>
            <w:r>
              <w:rPr>
                <w:rFonts w:ascii="Inter" w:hAnsi="Inter" w:cs="Inter"/>
                <w:b w:val="0"/>
                <w:i w:val="0"/>
                <w:color w:val="2D2D2D"/>
                <w:sz w:val="19"/>
              </w:rPr>
              <w:t>A: Parliament</w:t>
            </w:r>
          </w:p>
        </w:tc>
      </w:tr>
      <w:tr>
        <w:tc>
          <w:tcPr>
            <w:tcW w:type="dxa" w:w="3120"/>
            <w:shd w:fill="F0F3F6"/>
          </w:tcPr>
          <w:p>
            <w:r/>
            <w:r>
              <w:rPr>
                <w:rFonts w:ascii="Inter" w:hAnsi="Inter" w:cs="Inter"/>
                <w:b w:val="0"/>
                <w:i w:val="0"/>
                <w:color w:val="2D2D2D"/>
                <w:sz w:val="19"/>
              </w:rPr>
              <w:t>2</w:t>
            </w:r>
          </w:p>
        </w:tc>
        <w:tc>
          <w:tcPr>
            <w:tcW w:type="dxa" w:w="3120"/>
            <w:shd w:fill="F0F3F6"/>
          </w:tcPr>
          <w:p>
            <w:r/>
            <w:r>
              <w:rPr>
                <w:rFonts w:ascii="Inter" w:hAnsi="Inter" w:cs="Inter"/>
                <w:b w:val="0"/>
                <w:i w:val="0"/>
                <w:color w:val="2D2D2D"/>
                <w:sz w:val="19"/>
              </w:rPr>
              <w:t>BTA Committee on Appropriations</w:t>
            </w:r>
          </w:p>
        </w:tc>
        <w:tc>
          <w:tcPr>
            <w:tcW w:type="dxa" w:w="3120"/>
            <w:shd w:fill="F0F3F6"/>
          </w:tcPr>
          <w:p>
            <w:r/>
            <w:r>
              <w:rPr>
                <w:rFonts w:ascii="Inter" w:hAnsi="Inter" w:cs="Inter"/>
                <w:b w:val="0"/>
                <w:i w:val="0"/>
                <w:color w:val="2D2D2D"/>
                <w:sz w:val="19"/>
              </w:rPr>
              <w:t>A: Parliament</w:t>
            </w:r>
          </w:p>
        </w:tc>
      </w:tr>
      <w:tr>
        <w:tc>
          <w:tcPr>
            <w:tcW w:type="dxa" w:w="3120"/>
          </w:tcPr>
          <w:p>
            <w:r/>
            <w:r>
              <w:rPr>
                <w:rFonts w:ascii="Inter" w:hAnsi="Inter" w:cs="Inter"/>
                <w:b w:val="0"/>
                <w:i w:val="0"/>
                <w:color w:val="2D2D2D"/>
                <w:sz w:val="19"/>
              </w:rPr>
              <w:t>3</w:t>
            </w:r>
          </w:p>
        </w:tc>
        <w:tc>
          <w:tcPr>
            <w:tcW w:type="dxa" w:w="3120"/>
          </w:tcPr>
          <w:p>
            <w:r/>
            <w:r>
              <w:rPr>
                <w:rFonts w:ascii="Inter" w:hAnsi="Inter" w:cs="Inter"/>
                <w:b w:val="0"/>
                <w:i w:val="0"/>
                <w:color w:val="2D2D2D"/>
                <w:sz w:val="19"/>
              </w:rPr>
              <w:t>Parliament Members with OBC constituency connections</w:t>
            </w:r>
          </w:p>
        </w:tc>
        <w:tc>
          <w:tcPr>
            <w:tcW w:type="dxa" w:w="3120"/>
          </w:tcPr>
          <w:p>
            <w:r/>
            <w:r>
              <w:rPr>
                <w:rFonts w:ascii="Inter" w:hAnsi="Inter" w:cs="Inter"/>
                <w:b w:val="0"/>
                <w:i w:val="0"/>
                <w:color w:val="2D2D2D"/>
                <w:sz w:val="19"/>
              </w:rPr>
              <w:t>A: Parliament</w:t>
            </w:r>
          </w:p>
        </w:tc>
      </w:tr>
      <w:tr>
        <w:tc>
          <w:tcPr>
            <w:tcW w:type="dxa" w:w="3120"/>
            <w:shd w:fill="F0F3F6"/>
          </w:tcPr>
          <w:p>
            <w:r/>
            <w:r>
              <w:rPr>
                <w:rFonts w:ascii="Inter" w:hAnsi="Inter" w:cs="Inter"/>
                <w:b w:val="0"/>
                <w:i w:val="0"/>
                <w:color w:val="2D2D2D"/>
                <w:sz w:val="19"/>
              </w:rPr>
              <w:t>4</w:t>
            </w:r>
          </w:p>
        </w:tc>
        <w:tc>
          <w:tcPr>
            <w:tcW w:type="dxa" w:w="3120"/>
            <w:shd w:fill="F0F3F6"/>
          </w:tcPr>
          <w:p>
            <w:r/>
            <w:r>
              <w:rPr>
                <w:rFonts w:ascii="Inter" w:hAnsi="Inter" w:cs="Inter"/>
                <w:b w:val="0"/>
                <w:i w:val="0"/>
                <w:color w:val="2D2D2D"/>
                <w:sz w:val="19"/>
              </w:rPr>
              <w:t>Office of the Chief Minister (OCM) --- OOBC's parent office</w:t>
            </w:r>
          </w:p>
        </w:tc>
        <w:tc>
          <w:tcPr>
            <w:tcW w:type="dxa" w:w="3120"/>
            <w:shd w:fill="F0F3F6"/>
          </w:tcPr>
          <w:p>
            <w:r/>
            <w:r>
              <w:rPr>
                <w:rFonts w:ascii="Inter" w:hAnsi="Inter" w:cs="Inter"/>
                <w:b w:val="0"/>
                <w:i w:val="0"/>
                <w:color w:val="2D2D2D"/>
                <w:sz w:val="19"/>
              </w:rPr>
              <w:t>B: Other MOAs</w:t>
            </w:r>
          </w:p>
        </w:tc>
      </w:tr>
      <w:tr>
        <w:tc>
          <w:tcPr>
            <w:tcW w:type="dxa" w:w="3120"/>
          </w:tcPr>
          <w:p>
            <w:r/>
            <w:r>
              <w:rPr>
                <w:rFonts w:ascii="Inter" w:hAnsi="Inter" w:cs="Inter"/>
                <w:b w:val="0"/>
                <w:i w:val="0"/>
                <w:color w:val="2D2D2D"/>
                <w:sz w:val="19"/>
              </w:rPr>
              <w:t>5</w:t>
            </w:r>
          </w:p>
        </w:tc>
        <w:tc>
          <w:tcPr>
            <w:tcW w:type="dxa" w:w="3120"/>
          </w:tcPr>
          <w:p>
            <w:r/>
            <w:r>
              <w:rPr>
                <w:rFonts w:ascii="Inter" w:hAnsi="Inter" w:cs="Inter"/>
                <w:b w:val="0"/>
                <w:i w:val="0"/>
                <w:color w:val="2D2D2D"/>
                <w:sz w:val="19"/>
              </w:rPr>
              <w:t>Ministry of Finance, Budget and Management (MFBM)</w:t>
            </w:r>
          </w:p>
        </w:tc>
        <w:tc>
          <w:tcPr>
            <w:tcW w:type="dxa" w:w="3120"/>
          </w:tcPr>
          <w:p>
            <w:r/>
            <w:r>
              <w:rPr>
                <w:rFonts w:ascii="Inter" w:hAnsi="Inter" w:cs="Inter"/>
                <w:b w:val="0"/>
                <w:i w:val="0"/>
                <w:color w:val="2D2D2D"/>
                <w:sz w:val="19"/>
              </w:rPr>
              <w:t>B: Other MOAs</w:t>
            </w:r>
          </w:p>
        </w:tc>
      </w:tr>
      <w:tr>
        <w:tc>
          <w:tcPr>
            <w:tcW w:type="dxa" w:w="3120"/>
            <w:shd w:fill="F0F3F6"/>
          </w:tcPr>
          <w:p>
            <w:r/>
            <w:r>
              <w:rPr>
                <w:rFonts w:ascii="Inter" w:hAnsi="Inter" w:cs="Inter"/>
                <w:b w:val="0"/>
                <w:i w:val="0"/>
                <w:color w:val="2D2D2D"/>
                <w:sz w:val="19"/>
              </w:rPr>
              <w:t>6</w:t>
            </w:r>
          </w:p>
        </w:tc>
        <w:tc>
          <w:tcPr>
            <w:tcW w:type="dxa" w:w="3120"/>
            <w:shd w:fill="F0F3F6"/>
          </w:tcPr>
          <w:p>
            <w:r/>
            <w:r>
              <w:rPr>
                <w:rFonts w:ascii="Inter" w:hAnsi="Inter" w:cs="Inter"/>
                <w:b w:val="0"/>
                <w:i w:val="0"/>
                <w:color w:val="2D2D2D"/>
                <w:sz w:val="19"/>
              </w:rPr>
              <w:t>Bangsamoro Planning and Development Authority (BPDA)</w:t>
            </w:r>
          </w:p>
        </w:tc>
        <w:tc>
          <w:tcPr>
            <w:tcW w:type="dxa" w:w="3120"/>
            <w:shd w:fill="F0F3F6"/>
          </w:tcPr>
          <w:p>
            <w:r/>
            <w:r>
              <w:rPr>
                <w:rFonts w:ascii="Inter" w:hAnsi="Inter" w:cs="Inter"/>
                <w:b w:val="0"/>
                <w:i w:val="0"/>
                <w:color w:val="2D2D2D"/>
                <w:sz w:val="19"/>
              </w:rPr>
              <w:t>B: Other MOAs</w:t>
            </w:r>
          </w:p>
        </w:tc>
      </w:tr>
      <w:tr>
        <w:tc>
          <w:tcPr>
            <w:tcW w:type="dxa" w:w="3120"/>
          </w:tcPr>
          <w:p>
            <w:r/>
            <w:r>
              <w:rPr>
                <w:rFonts w:ascii="Inter" w:hAnsi="Inter" w:cs="Inter"/>
                <w:b w:val="0"/>
                <w:i w:val="0"/>
                <w:color w:val="2D2D2D"/>
                <w:sz w:val="19"/>
              </w:rPr>
              <w:t>7</w:t>
            </w:r>
          </w:p>
        </w:tc>
        <w:tc>
          <w:tcPr>
            <w:tcW w:type="dxa" w:w="3120"/>
          </w:tcPr>
          <w:p>
            <w:r/>
            <w:r>
              <w:rPr>
                <w:rFonts w:ascii="Inter" w:hAnsi="Inter" w:cs="Inter"/>
                <w:b w:val="0"/>
                <w:i w:val="0"/>
                <w:color w:val="2D2D2D"/>
                <w:sz w:val="19"/>
              </w:rPr>
              <w:t>Ministry of Social Services and Development (MSSD)</w:t>
            </w:r>
          </w:p>
        </w:tc>
        <w:tc>
          <w:tcPr>
            <w:tcW w:type="dxa" w:w="3120"/>
          </w:tcPr>
          <w:p>
            <w:r/>
            <w:r>
              <w:rPr>
                <w:rFonts w:ascii="Inter" w:hAnsi="Inter" w:cs="Inter"/>
                <w:b w:val="0"/>
                <w:i w:val="0"/>
                <w:color w:val="2D2D2D"/>
                <w:sz w:val="19"/>
              </w:rPr>
              <w:t>B: Other MOAs</w:t>
            </w:r>
          </w:p>
        </w:tc>
      </w:tr>
      <w:tr>
        <w:tc>
          <w:tcPr>
            <w:tcW w:type="dxa" w:w="3120"/>
            <w:shd w:fill="F0F3F6"/>
          </w:tcPr>
          <w:p>
            <w:r/>
            <w:r>
              <w:rPr>
                <w:rFonts w:ascii="Inter" w:hAnsi="Inter" w:cs="Inter"/>
                <w:b w:val="0"/>
                <w:i w:val="0"/>
                <w:color w:val="2D2D2D"/>
                <w:sz w:val="19"/>
              </w:rPr>
              <w:t>8</w:t>
            </w:r>
          </w:p>
        </w:tc>
        <w:tc>
          <w:tcPr>
            <w:tcW w:type="dxa" w:w="3120"/>
            <w:shd w:fill="F0F3F6"/>
          </w:tcPr>
          <w:p>
            <w:r/>
            <w:r>
              <w:rPr>
                <w:rFonts w:ascii="Inter" w:hAnsi="Inter" w:cs="Inter"/>
                <w:b w:val="0"/>
                <w:i w:val="0"/>
                <w:color w:val="2D2D2D"/>
                <w:sz w:val="19"/>
              </w:rPr>
              <w:t>Ministry of Basic, Higher, and Technical Education (MBHTE)</w:t>
            </w:r>
          </w:p>
        </w:tc>
        <w:tc>
          <w:tcPr>
            <w:tcW w:type="dxa" w:w="3120"/>
            <w:shd w:fill="F0F3F6"/>
          </w:tcPr>
          <w:p>
            <w:r/>
            <w:r>
              <w:rPr>
                <w:rFonts w:ascii="Inter" w:hAnsi="Inter" w:cs="Inter"/>
                <w:b w:val="0"/>
                <w:i w:val="0"/>
                <w:color w:val="2D2D2D"/>
                <w:sz w:val="19"/>
              </w:rPr>
              <w:t>B: Other MOAs</w:t>
            </w:r>
          </w:p>
        </w:tc>
      </w:tr>
      <w:tr>
        <w:tc>
          <w:tcPr>
            <w:tcW w:type="dxa" w:w="3120"/>
          </w:tcPr>
          <w:p>
            <w:r/>
            <w:r>
              <w:rPr>
                <w:rFonts w:ascii="Inter" w:hAnsi="Inter" w:cs="Inter"/>
                <w:b w:val="0"/>
                <w:i w:val="0"/>
                <w:color w:val="2D2D2D"/>
                <w:sz w:val="19"/>
              </w:rPr>
              <w:t>9</w:t>
            </w:r>
          </w:p>
        </w:tc>
        <w:tc>
          <w:tcPr>
            <w:tcW w:type="dxa" w:w="3120"/>
          </w:tcPr>
          <w:p>
            <w:r/>
            <w:r>
              <w:rPr>
                <w:rFonts w:ascii="Inter" w:hAnsi="Inter" w:cs="Inter"/>
                <w:b w:val="0"/>
                <w:i w:val="0"/>
                <w:color w:val="2D2D2D"/>
                <w:sz w:val="19"/>
              </w:rPr>
              <w:t>Ministry of Agriculture, Fisheries and Agrarian Reform (MAFAR)</w:t>
            </w:r>
          </w:p>
        </w:tc>
        <w:tc>
          <w:tcPr>
            <w:tcW w:type="dxa" w:w="3120"/>
          </w:tcPr>
          <w:p>
            <w:r/>
            <w:r>
              <w:rPr>
                <w:rFonts w:ascii="Inter" w:hAnsi="Inter" w:cs="Inter"/>
                <w:b w:val="0"/>
                <w:i w:val="0"/>
                <w:color w:val="2D2D2D"/>
                <w:sz w:val="19"/>
              </w:rPr>
              <w:t>B: Other MOAs</w:t>
            </w:r>
          </w:p>
        </w:tc>
      </w:tr>
      <w:tr>
        <w:tc>
          <w:tcPr>
            <w:tcW w:type="dxa" w:w="3120"/>
            <w:shd w:fill="F0F3F6"/>
          </w:tcPr>
          <w:p>
            <w:r/>
            <w:r>
              <w:rPr>
                <w:rFonts w:ascii="Inter" w:hAnsi="Inter" w:cs="Inter"/>
                <w:b w:val="0"/>
                <w:i w:val="0"/>
                <w:color w:val="2D2D2D"/>
                <w:sz w:val="19"/>
              </w:rPr>
              <w:t>10</w:t>
            </w:r>
          </w:p>
        </w:tc>
        <w:tc>
          <w:tcPr>
            <w:tcW w:type="dxa" w:w="3120"/>
            <w:shd w:fill="F0F3F6"/>
          </w:tcPr>
          <w:p>
            <w:r/>
            <w:r>
              <w:rPr>
                <w:rFonts w:ascii="Inter" w:hAnsi="Inter" w:cs="Inter"/>
                <w:b w:val="0"/>
                <w:i w:val="0"/>
                <w:color w:val="2D2D2D"/>
                <w:sz w:val="19"/>
              </w:rPr>
              <w:t>Ministry of the Interior and Local Government (MILG) / Ministry of Public Order and Safety (MPOS)</w:t>
            </w:r>
          </w:p>
        </w:tc>
        <w:tc>
          <w:tcPr>
            <w:tcW w:type="dxa" w:w="3120"/>
            <w:shd w:fill="F0F3F6"/>
          </w:tcPr>
          <w:p>
            <w:r/>
            <w:r>
              <w:rPr>
                <w:rFonts w:ascii="Inter" w:hAnsi="Inter" w:cs="Inter"/>
                <w:b w:val="0"/>
                <w:i w:val="0"/>
                <w:color w:val="2D2D2D"/>
                <w:sz w:val="19"/>
              </w:rPr>
              <w:t>B: Other MOAs</w:t>
            </w:r>
          </w:p>
        </w:tc>
      </w:tr>
      <w:tr>
        <w:tc>
          <w:tcPr>
            <w:tcW w:type="dxa" w:w="3120"/>
          </w:tcPr>
          <w:p>
            <w:r/>
            <w:r>
              <w:rPr>
                <w:rFonts w:ascii="Inter" w:hAnsi="Inter" w:cs="Inter"/>
                <w:b w:val="0"/>
                <w:i w:val="0"/>
                <w:color w:val="2D2D2D"/>
                <w:sz w:val="19"/>
              </w:rPr>
              <w:t>11</w:t>
            </w:r>
          </w:p>
        </w:tc>
        <w:tc>
          <w:tcPr>
            <w:tcW w:type="dxa" w:w="3120"/>
          </w:tcPr>
          <w:p>
            <w:r/>
            <w:r>
              <w:rPr>
                <w:rFonts w:ascii="Inter" w:hAnsi="Inter" w:cs="Inter"/>
                <w:b w:val="0"/>
                <w:i w:val="0"/>
                <w:color w:val="2D2D2D"/>
                <w:sz w:val="19"/>
              </w:rPr>
              <w:t>Ministry of Public Information and Development (MPID)</w:t>
            </w:r>
          </w:p>
        </w:tc>
        <w:tc>
          <w:tcPr>
            <w:tcW w:type="dxa" w:w="3120"/>
          </w:tcPr>
          <w:p>
            <w:r/>
            <w:r>
              <w:rPr>
                <w:rFonts w:ascii="Inter" w:hAnsi="Inter" w:cs="Inter"/>
                <w:b w:val="0"/>
                <w:i w:val="0"/>
                <w:color w:val="2D2D2D"/>
                <w:sz w:val="19"/>
              </w:rPr>
              <w:t>B: Other MOAs</w:t>
            </w:r>
          </w:p>
        </w:tc>
      </w:tr>
      <w:tr>
        <w:tc>
          <w:tcPr>
            <w:tcW w:type="dxa" w:w="3120"/>
            <w:shd w:fill="F0F3F6"/>
          </w:tcPr>
          <w:p>
            <w:r/>
            <w:r>
              <w:rPr>
                <w:rFonts w:ascii="Inter" w:hAnsi="Inter" w:cs="Inter"/>
                <w:b w:val="0"/>
                <w:i w:val="0"/>
                <w:color w:val="2D2D2D"/>
                <w:sz w:val="19"/>
              </w:rPr>
              <w:t>12</w:t>
            </w:r>
          </w:p>
        </w:tc>
        <w:tc>
          <w:tcPr>
            <w:tcW w:type="dxa" w:w="3120"/>
            <w:shd w:fill="F0F3F6"/>
          </w:tcPr>
          <w:p>
            <w:r/>
            <w:r>
              <w:rPr>
                <w:rFonts w:ascii="Inter" w:hAnsi="Inter" w:cs="Inter"/>
                <w:b w:val="0"/>
                <w:i w:val="0"/>
                <w:color w:val="2D2D2D"/>
                <w:sz w:val="19"/>
              </w:rPr>
              <w:t>Department of the Interior and Local Government (DILG) --- national</w:t>
            </w:r>
          </w:p>
        </w:tc>
        <w:tc>
          <w:tcPr>
            <w:tcW w:type="dxa" w:w="3120"/>
            <w:shd w:fill="F0F3F6"/>
          </w:tcPr>
          <w:p>
            <w:r/>
            <w:r>
              <w:rPr>
                <w:rFonts w:ascii="Inter" w:hAnsi="Inter" w:cs="Inter"/>
                <w:b w:val="0"/>
                <w:i w:val="0"/>
                <w:color w:val="2D2D2D"/>
                <w:sz w:val="19"/>
              </w:rPr>
              <w:t>B: Other MOAs (NGA)</w:t>
            </w:r>
          </w:p>
        </w:tc>
      </w:tr>
      <w:tr>
        <w:tc>
          <w:tcPr>
            <w:tcW w:type="dxa" w:w="3120"/>
          </w:tcPr>
          <w:p>
            <w:r/>
            <w:r>
              <w:rPr>
                <w:rFonts w:ascii="Inter" w:hAnsi="Inter" w:cs="Inter"/>
                <w:b w:val="0"/>
                <w:i w:val="0"/>
                <w:color w:val="2D2D2D"/>
                <w:sz w:val="19"/>
              </w:rPr>
              <w:t>13</w:t>
            </w:r>
          </w:p>
        </w:tc>
        <w:tc>
          <w:tcPr>
            <w:tcW w:type="dxa" w:w="3120"/>
          </w:tcPr>
          <w:p>
            <w:r/>
            <w:r>
              <w:rPr>
                <w:rFonts w:ascii="Inter" w:hAnsi="Inter" w:cs="Inter"/>
                <w:b w:val="0"/>
                <w:i w:val="0"/>
                <w:color w:val="2D2D2D"/>
                <w:sz w:val="19"/>
              </w:rPr>
              <w:t>LGUs in Caraga Region (provinces and municipalities with OBC populations)</w:t>
            </w:r>
          </w:p>
        </w:tc>
        <w:tc>
          <w:tcPr>
            <w:tcW w:type="dxa" w:w="3120"/>
          </w:tcPr>
          <w:p>
            <w:r/>
            <w:r>
              <w:rPr>
                <w:rFonts w:ascii="Inter" w:hAnsi="Inter" w:cs="Inter"/>
                <w:b w:val="0"/>
                <w:i w:val="0"/>
                <w:color w:val="2D2D2D"/>
                <w:sz w:val="19"/>
              </w:rPr>
              <w:t>C: LGUs</w:t>
            </w:r>
          </w:p>
        </w:tc>
      </w:tr>
      <w:tr>
        <w:tc>
          <w:tcPr>
            <w:tcW w:type="dxa" w:w="3120"/>
            <w:shd w:fill="F0F3F6"/>
          </w:tcPr>
          <w:p>
            <w:r/>
            <w:r>
              <w:rPr>
                <w:rFonts w:ascii="Inter" w:hAnsi="Inter" w:cs="Inter"/>
                <w:b w:val="0"/>
                <w:i w:val="0"/>
                <w:color w:val="2D2D2D"/>
                <w:sz w:val="19"/>
              </w:rPr>
              <w:t>14</w:t>
            </w:r>
          </w:p>
        </w:tc>
        <w:tc>
          <w:tcPr>
            <w:tcW w:type="dxa" w:w="3120"/>
            <w:shd w:fill="F0F3F6"/>
          </w:tcPr>
          <w:p>
            <w:r/>
            <w:r>
              <w:rPr>
                <w:rFonts w:ascii="Inter" w:hAnsi="Inter" w:cs="Inter"/>
                <w:b w:val="0"/>
                <w:i w:val="0"/>
                <w:color w:val="2D2D2D"/>
                <w:sz w:val="19"/>
              </w:rPr>
              <w:t>LGUs in Region 10 (Northern Mindanao provinces with OBC populations)</w:t>
            </w:r>
          </w:p>
        </w:tc>
        <w:tc>
          <w:tcPr>
            <w:tcW w:type="dxa" w:w="3120"/>
            <w:shd w:fill="F0F3F6"/>
          </w:tcPr>
          <w:p>
            <w:r/>
            <w:r>
              <w:rPr>
                <w:rFonts w:ascii="Inter" w:hAnsi="Inter" w:cs="Inter"/>
                <w:b w:val="0"/>
                <w:i w:val="0"/>
                <w:color w:val="2D2D2D"/>
                <w:sz w:val="19"/>
              </w:rPr>
              <w:t>C: LGUs</w:t>
            </w:r>
          </w:p>
        </w:tc>
      </w:tr>
      <w:tr>
        <w:tc>
          <w:tcPr>
            <w:tcW w:type="dxa" w:w="3120"/>
          </w:tcPr>
          <w:p>
            <w:r/>
            <w:r>
              <w:rPr>
                <w:rFonts w:ascii="Inter" w:hAnsi="Inter" w:cs="Inter"/>
                <w:b w:val="0"/>
                <w:i w:val="0"/>
                <w:color w:val="2D2D2D"/>
                <w:sz w:val="19"/>
              </w:rPr>
              <w:t>15</w:t>
            </w:r>
          </w:p>
        </w:tc>
        <w:tc>
          <w:tcPr>
            <w:tcW w:type="dxa" w:w="3120"/>
          </w:tcPr>
          <w:p>
            <w:r/>
            <w:r>
              <w:rPr>
                <w:rFonts w:ascii="Inter" w:hAnsi="Inter" w:cs="Inter"/>
                <w:b w:val="0"/>
                <w:i w:val="0"/>
                <w:color w:val="2D2D2D"/>
                <w:sz w:val="19"/>
              </w:rPr>
              <w:t>LGUs in Palawan (municipalities with significant Bangsamoro communities)</w:t>
            </w:r>
          </w:p>
        </w:tc>
        <w:tc>
          <w:tcPr>
            <w:tcW w:type="dxa" w:w="3120"/>
          </w:tcPr>
          <w:p>
            <w:r/>
            <w:r>
              <w:rPr>
                <w:rFonts w:ascii="Inter" w:hAnsi="Inter" w:cs="Inter"/>
                <w:b w:val="0"/>
                <w:i w:val="0"/>
                <w:color w:val="2D2D2D"/>
                <w:sz w:val="19"/>
              </w:rPr>
              <w:t>C: LGUs</w:t>
            </w:r>
          </w:p>
        </w:tc>
      </w:tr>
      <w:tr>
        <w:tc>
          <w:tcPr>
            <w:tcW w:type="dxa" w:w="3120"/>
            <w:shd w:fill="F0F3F6"/>
          </w:tcPr>
          <w:p>
            <w:r/>
            <w:r>
              <w:rPr>
                <w:rFonts w:ascii="Inter" w:hAnsi="Inter" w:cs="Inter"/>
                <w:b w:val="0"/>
                <w:i w:val="0"/>
                <w:color w:val="2D2D2D"/>
                <w:sz w:val="19"/>
              </w:rPr>
              <w:t>16</w:t>
            </w:r>
          </w:p>
        </w:tc>
        <w:tc>
          <w:tcPr>
            <w:tcW w:type="dxa" w:w="3120"/>
            <w:shd w:fill="F0F3F6"/>
          </w:tcPr>
          <w:p>
            <w:r/>
            <w:r>
              <w:rPr>
                <w:rFonts w:ascii="Inter" w:hAnsi="Inter" w:cs="Inter"/>
                <w:b w:val="0"/>
                <w:i w:val="0"/>
                <w:color w:val="2D2D2D"/>
                <w:sz w:val="19"/>
              </w:rPr>
              <w:t>LGUs in Sultan Kudarat, South Cotabato, Sarangani, and other Mindanao provinces</w:t>
            </w:r>
          </w:p>
        </w:tc>
        <w:tc>
          <w:tcPr>
            <w:tcW w:type="dxa" w:w="3120"/>
            <w:shd w:fill="F0F3F6"/>
          </w:tcPr>
          <w:p>
            <w:r/>
            <w:r>
              <w:rPr>
                <w:rFonts w:ascii="Inter" w:hAnsi="Inter" w:cs="Inter"/>
                <w:b w:val="0"/>
                <w:i w:val="0"/>
                <w:color w:val="2D2D2D"/>
                <w:sz w:val="19"/>
              </w:rPr>
              <w:t>C: LGUs</w:t>
            </w:r>
          </w:p>
        </w:tc>
      </w:tr>
      <w:tr>
        <w:tc>
          <w:tcPr>
            <w:tcW w:type="dxa" w:w="3120"/>
          </w:tcPr>
          <w:p>
            <w:r/>
            <w:r>
              <w:rPr>
                <w:rFonts w:ascii="Inter" w:hAnsi="Inter" w:cs="Inter"/>
                <w:b w:val="0"/>
                <w:i w:val="0"/>
                <w:color w:val="2D2D2D"/>
                <w:sz w:val="19"/>
              </w:rPr>
              <w:t>17</w:t>
            </w:r>
          </w:p>
        </w:tc>
        <w:tc>
          <w:tcPr>
            <w:tcW w:type="dxa" w:w="3120"/>
          </w:tcPr>
          <w:p>
            <w:r/>
            <w:r>
              <w:rPr>
                <w:rFonts w:ascii="Inter" w:hAnsi="Inter" w:cs="Inter"/>
                <w:b w:val="0"/>
                <w:i w:val="0"/>
                <w:color w:val="2D2D2D"/>
                <w:sz w:val="19"/>
              </w:rPr>
              <w:t>LGUs in Metro Manila and Luzon with Bangsamoro diaspora communities</w:t>
            </w:r>
          </w:p>
        </w:tc>
        <w:tc>
          <w:tcPr>
            <w:tcW w:type="dxa" w:w="3120"/>
          </w:tcPr>
          <w:p>
            <w:r/>
            <w:r>
              <w:rPr>
                <w:rFonts w:ascii="Inter" w:hAnsi="Inter" w:cs="Inter"/>
                <w:b w:val="0"/>
                <w:i w:val="0"/>
                <w:color w:val="2D2D2D"/>
                <w:sz w:val="19"/>
              </w:rPr>
              <w:t>C: LGUs</w:t>
            </w:r>
          </w:p>
        </w:tc>
      </w:tr>
      <w:tr>
        <w:tc>
          <w:tcPr>
            <w:tcW w:type="dxa" w:w="3120"/>
            <w:shd w:fill="F0F3F6"/>
          </w:tcPr>
          <w:p>
            <w:r/>
            <w:r>
              <w:rPr>
                <w:rFonts w:ascii="Inter" w:hAnsi="Inter" w:cs="Inter"/>
                <w:b w:val="0"/>
                <w:i w:val="0"/>
                <w:color w:val="2D2D2D"/>
                <w:sz w:val="19"/>
              </w:rPr>
              <w:t>18</w:t>
            </w:r>
          </w:p>
        </w:tc>
        <w:tc>
          <w:tcPr>
            <w:tcW w:type="dxa" w:w="3120"/>
            <w:shd w:fill="F0F3F6"/>
          </w:tcPr>
          <w:p>
            <w:r/>
            <w:r>
              <w:rPr>
                <w:rFonts w:ascii="Inter" w:hAnsi="Inter" w:cs="Inter"/>
                <w:b w:val="0"/>
                <w:i w:val="0"/>
                <w:color w:val="2D2D2D"/>
                <w:sz w:val="19"/>
              </w:rPr>
              <w:t>Community and Family Services International (CFSI)</w:t>
            </w:r>
          </w:p>
        </w:tc>
        <w:tc>
          <w:tcPr>
            <w:tcW w:type="dxa" w:w="3120"/>
            <w:shd w:fill="F0F3F6"/>
          </w:tcPr>
          <w:p>
            <w:r/>
            <w:r>
              <w:rPr>
                <w:rFonts w:ascii="Inter" w:hAnsi="Inter" w:cs="Inter"/>
                <w:b w:val="0"/>
                <w:i w:val="0"/>
                <w:color w:val="2D2D2D"/>
                <w:sz w:val="19"/>
              </w:rPr>
              <w:t>D: CSOs</w:t>
            </w:r>
          </w:p>
        </w:tc>
      </w:tr>
      <w:tr>
        <w:tc>
          <w:tcPr>
            <w:tcW w:type="dxa" w:w="3120"/>
          </w:tcPr>
          <w:p>
            <w:r/>
            <w:r>
              <w:rPr>
                <w:rFonts w:ascii="Inter" w:hAnsi="Inter" w:cs="Inter"/>
                <w:b w:val="0"/>
                <w:i w:val="0"/>
                <w:color w:val="2D2D2D"/>
                <w:sz w:val="19"/>
              </w:rPr>
              <w:t>19</w:t>
            </w:r>
          </w:p>
        </w:tc>
        <w:tc>
          <w:tcPr>
            <w:tcW w:type="dxa" w:w="3120"/>
          </w:tcPr>
          <w:p>
            <w:r/>
            <w:r>
              <w:rPr>
                <w:rFonts w:ascii="Inter" w:hAnsi="Inter" w:cs="Inter"/>
                <w:b w:val="0"/>
                <w:i w:val="0"/>
                <w:color w:val="2D2D2D"/>
                <w:sz w:val="19"/>
              </w:rPr>
              <w:t>Bangsamoro Development Agency (BDA)</w:t>
            </w:r>
          </w:p>
        </w:tc>
        <w:tc>
          <w:tcPr>
            <w:tcW w:type="dxa" w:w="3120"/>
          </w:tcPr>
          <w:p>
            <w:r/>
            <w:r>
              <w:rPr>
                <w:rFonts w:ascii="Inter" w:hAnsi="Inter" w:cs="Inter"/>
                <w:b w:val="0"/>
                <w:i w:val="0"/>
                <w:color w:val="2D2D2D"/>
                <w:sz w:val="19"/>
              </w:rPr>
              <w:t>D: CSOs</w:t>
            </w:r>
          </w:p>
        </w:tc>
      </w:tr>
      <w:tr>
        <w:tc>
          <w:tcPr>
            <w:tcW w:type="dxa" w:w="3120"/>
            <w:shd w:fill="F0F3F6"/>
          </w:tcPr>
          <w:p>
            <w:r/>
            <w:r>
              <w:rPr>
                <w:rFonts w:ascii="Inter" w:hAnsi="Inter" w:cs="Inter"/>
                <w:b w:val="0"/>
                <w:i w:val="0"/>
                <w:color w:val="2D2D2D"/>
                <w:sz w:val="19"/>
              </w:rPr>
              <w:t>20</w:t>
            </w:r>
          </w:p>
        </w:tc>
        <w:tc>
          <w:tcPr>
            <w:tcW w:type="dxa" w:w="3120"/>
            <w:shd w:fill="F0F3F6"/>
          </w:tcPr>
          <w:p>
            <w:r/>
            <w:r>
              <w:rPr>
                <w:rFonts w:ascii="Inter" w:hAnsi="Inter" w:cs="Inter"/>
                <w:b w:val="0"/>
                <w:i w:val="0"/>
                <w:color w:val="2D2D2D"/>
                <w:sz w:val="19"/>
              </w:rPr>
              <w:t>Bangsamoro Leadership and Management Institute (BLMI)</w:t>
            </w:r>
          </w:p>
        </w:tc>
        <w:tc>
          <w:tcPr>
            <w:tcW w:type="dxa" w:w="3120"/>
            <w:shd w:fill="F0F3F6"/>
          </w:tcPr>
          <w:p>
            <w:r/>
            <w:r>
              <w:rPr>
                <w:rFonts w:ascii="Inter" w:hAnsi="Inter" w:cs="Inter"/>
                <w:b w:val="0"/>
                <w:i w:val="0"/>
                <w:color w:val="2D2D2D"/>
                <w:sz w:val="19"/>
              </w:rPr>
              <w:t>D: CSOs</w:t>
            </w:r>
          </w:p>
        </w:tc>
      </w:tr>
      <w:tr>
        <w:tc>
          <w:tcPr>
            <w:tcW w:type="dxa" w:w="3120"/>
          </w:tcPr>
          <w:p>
            <w:r/>
            <w:r>
              <w:rPr>
                <w:rFonts w:ascii="Inter" w:hAnsi="Inter" w:cs="Inter"/>
                <w:b w:val="0"/>
                <w:i w:val="0"/>
                <w:color w:val="2D2D2D"/>
                <w:sz w:val="19"/>
              </w:rPr>
              <w:t>21</w:t>
            </w:r>
          </w:p>
        </w:tc>
        <w:tc>
          <w:tcPr>
            <w:tcW w:type="dxa" w:w="3120"/>
          </w:tcPr>
          <w:p>
            <w:r/>
            <w:r>
              <w:rPr>
                <w:rFonts w:ascii="Inter" w:hAnsi="Inter" w:cs="Inter"/>
                <w:b w:val="0"/>
                <w:i w:val="0"/>
                <w:color w:val="2D2D2D"/>
                <w:sz w:val="19"/>
              </w:rPr>
              <w:t>Local NGOs and people's organizations serving OBC communities</w:t>
            </w:r>
          </w:p>
        </w:tc>
        <w:tc>
          <w:tcPr>
            <w:tcW w:type="dxa" w:w="3120"/>
          </w:tcPr>
          <w:p>
            <w:r/>
            <w:r>
              <w:rPr>
                <w:rFonts w:ascii="Inter" w:hAnsi="Inter" w:cs="Inter"/>
                <w:b w:val="0"/>
                <w:i w:val="0"/>
                <w:color w:val="2D2D2D"/>
                <w:sz w:val="19"/>
              </w:rPr>
              <w:t>D: CSOs</w:t>
            </w:r>
          </w:p>
        </w:tc>
      </w:tr>
      <w:tr>
        <w:tc>
          <w:tcPr>
            <w:tcW w:type="dxa" w:w="3120"/>
            <w:shd w:fill="F0F3F6"/>
          </w:tcPr>
          <w:p>
            <w:r/>
            <w:r>
              <w:rPr>
                <w:rFonts w:ascii="Inter" w:hAnsi="Inter" w:cs="Inter"/>
                <w:b w:val="0"/>
                <w:i w:val="0"/>
                <w:color w:val="2D2D2D"/>
                <w:sz w:val="19"/>
              </w:rPr>
              <w:t>22</w:t>
            </w:r>
          </w:p>
        </w:tc>
        <w:tc>
          <w:tcPr>
            <w:tcW w:type="dxa" w:w="3120"/>
            <w:shd w:fill="F0F3F6"/>
          </w:tcPr>
          <w:p>
            <w:r/>
            <w:r>
              <w:rPr>
                <w:rFonts w:ascii="Inter" w:hAnsi="Inter" w:cs="Inter"/>
                <w:b w:val="0"/>
                <w:i w:val="0"/>
                <w:color w:val="2D2D2D"/>
                <w:sz w:val="19"/>
              </w:rPr>
              <w:t>Women's organizations in OBC areas</w:t>
            </w:r>
          </w:p>
        </w:tc>
        <w:tc>
          <w:tcPr>
            <w:tcW w:type="dxa" w:w="3120"/>
            <w:shd w:fill="F0F3F6"/>
          </w:tcPr>
          <w:p>
            <w:r/>
            <w:r>
              <w:rPr>
                <w:rFonts w:ascii="Inter" w:hAnsi="Inter" w:cs="Inter"/>
                <w:b w:val="0"/>
                <w:i w:val="0"/>
                <w:color w:val="2D2D2D"/>
                <w:sz w:val="19"/>
              </w:rPr>
              <w:t>D: CSOs</w:t>
            </w:r>
          </w:p>
        </w:tc>
      </w:tr>
      <w:tr>
        <w:tc>
          <w:tcPr>
            <w:tcW w:type="dxa" w:w="3120"/>
          </w:tcPr>
          <w:p>
            <w:r/>
            <w:r>
              <w:rPr>
                <w:rFonts w:ascii="Inter" w:hAnsi="Inter" w:cs="Inter"/>
                <w:b w:val="0"/>
                <w:i w:val="0"/>
                <w:color w:val="2D2D2D"/>
                <w:sz w:val="19"/>
              </w:rPr>
              <w:t>23</w:t>
            </w:r>
          </w:p>
        </w:tc>
        <w:tc>
          <w:tcPr>
            <w:tcW w:type="dxa" w:w="3120"/>
          </w:tcPr>
          <w:p>
            <w:r/>
            <w:r>
              <w:rPr>
                <w:rFonts w:ascii="Inter" w:hAnsi="Inter" w:cs="Inter"/>
                <w:b w:val="0"/>
                <w:i w:val="0"/>
                <w:color w:val="2D2D2D"/>
                <w:sz w:val="19"/>
              </w:rPr>
              <w:t>International development partners active in BARMM (UNDP, USAID, GIZ, World Bank)</w:t>
            </w:r>
          </w:p>
        </w:tc>
        <w:tc>
          <w:tcPr>
            <w:tcW w:type="dxa" w:w="3120"/>
          </w:tcPr>
          <w:p>
            <w:r/>
            <w:r>
              <w:rPr>
                <w:rFonts w:ascii="Inter" w:hAnsi="Inter" w:cs="Inter"/>
                <w:b w:val="0"/>
                <w:i w:val="0"/>
                <w:color w:val="2D2D2D"/>
                <w:sz w:val="19"/>
              </w:rPr>
              <w:t>E: Development Partners</w:t>
            </w:r>
          </w:p>
        </w:tc>
      </w:tr>
      <w:tr>
        <w:tc>
          <w:tcPr>
            <w:tcW w:type="dxa" w:w="3120"/>
            <w:shd w:fill="F0F3F6"/>
          </w:tcPr>
          <w:p>
            <w:r/>
            <w:r>
              <w:rPr>
                <w:rFonts w:ascii="Inter" w:hAnsi="Inter" w:cs="Inter"/>
                <w:b w:val="0"/>
                <w:i w:val="0"/>
                <w:color w:val="2D2D2D"/>
                <w:sz w:val="19"/>
              </w:rPr>
              <w:t>24</w:t>
            </w:r>
          </w:p>
        </w:tc>
        <w:tc>
          <w:tcPr>
            <w:tcW w:type="dxa" w:w="3120"/>
            <w:shd w:fill="F0F3F6"/>
          </w:tcPr>
          <w:p>
            <w:r/>
            <w:r>
              <w:rPr>
                <w:rFonts w:ascii="Inter" w:hAnsi="Inter" w:cs="Inter"/>
                <w:b w:val="0"/>
                <w:i w:val="0"/>
                <w:color w:val="2D2D2D"/>
                <w:sz w:val="19"/>
              </w:rPr>
              <w:t>International NGOs with OBC-relevant programs (humanitarian, education, peacebuilding)</w:t>
            </w:r>
          </w:p>
        </w:tc>
        <w:tc>
          <w:tcPr>
            <w:tcW w:type="dxa" w:w="3120"/>
            <w:shd w:fill="F0F3F6"/>
          </w:tcPr>
          <w:p>
            <w:r/>
            <w:r>
              <w:rPr>
                <w:rFonts w:ascii="Inter" w:hAnsi="Inter" w:cs="Inter"/>
                <w:b w:val="0"/>
                <w:i w:val="0"/>
                <w:color w:val="2D2D2D"/>
                <w:sz w:val="19"/>
              </w:rPr>
              <w:t>E: Development Partners</w:t>
            </w:r>
          </w:p>
        </w:tc>
      </w:tr>
      <w:tr>
        <w:tc>
          <w:tcPr>
            <w:tcW w:type="dxa" w:w="3120"/>
          </w:tcPr>
          <w:p>
            <w:r/>
            <w:r>
              <w:rPr>
                <w:rFonts w:ascii="Inter" w:hAnsi="Inter" w:cs="Inter"/>
                <w:b w:val="0"/>
                <w:i w:val="0"/>
                <w:color w:val="2D2D2D"/>
                <w:sz w:val="19"/>
              </w:rPr>
              <w:t>25</w:t>
            </w:r>
          </w:p>
        </w:tc>
        <w:tc>
          <w:tcPr>
            <w:tcW w:type="dxa" w:w="3120"/>
          </w:tcPr>
          <w:p>
            <w:r/>
            <w:r>
              <w:rPr>
                <w:rFonts w:ascii="Inter" w:hAnsi="Inter" w:cs="Inter"/>
                <w:b w:val="0"/>
                <w:i w:val="0"/>
                <w:color w:val="2D2D2D"/>
                <w:sz w:val="19"/>
              </w:rPr>
              <w:t>Private sector employers in OBC areas (potential livelihood partners)</w:t>
            </w:r>
          </w:p>
        </w:tc>
        <w:tc>
          <w:tcPr>
            <w:tcW w:type="dxa" w:w="3120"/>
          </w:tcPr>
          <w:p>
            <w:r/>
            <w:r>
              <w:rPr>
                <w:rFonts w:ascii="Inter" w:hAnsi="Inter" w:cs="Inter"/>
                <w:b w:val="0"/>
                <w:i w:val="0"/>
                <w:color w:val="2D2D2D"/>
                <w:sz w:val="19"/>
              </w:rPr>
              <w:t>F: Private Sector</w:t>
            </w:r>
          </w:p>
        </w:tc>
      </w:tr>
      <w:tr>
        <w:tc>
          <w:tcPr>
            <w:tcW w:type="dxa" w:w="3120"/>
            <w:shd w:fill="F0F3F6"/>
          </w:tcPr>
          <w:p>
            <w:r/>
            <w:r>
              <w:rPr>
                <w:rFonts w:ascii="Inter" w:hAnsi="Inter" w:cs="Inter"/>
                <w:b w:val="0"/>
                <w:i w:val="0"/>
                <w:color w:val="2D2D2D"/>
                <w:sz w:val="19"/>
              </w:rPr>
              <w:t>26</w:t>
            </w:r>
          </w:p>
        </w:tc>
        <w:tc>
          <w:tcPr>
            <w:tcW w:type="dxa" w:w="3120"/>
            <w:shd w:fill="F0F3F6"/>
          </w:tcPr>
          <w:p>
            <w:r/>
            <w:r>
              <w:rPr>
                <w:rFonts w:ascii="Inter" w:hAnsi="Inter" w:cs="Inter"/>
                <w:b w:val="0"/>
                <w:i w:val="0"/>
                <w:color w:val="2D2D2D"/>
                <w:sz w:val="19"/>
              </w:rPr>
              <w:t>Traditional leaders in OBC communities (datu, bai a labi, community elders)</w:t>
            </w:r>
          </w:p>
        </w:tc>
        <w:tc>
          <w:tcPr>
            <w:tcW w:type="dxa" w:w="3120"/>
            <w:shd w:fill="F0F3F6"/>
          </w:tcPr>
          <w:p>
            <w:r/>
            <w:r>
              <w:rPr>
                <w:rFonts w:ascii="Inter" w:hAnsi="Inter" w:cs="Inter"/>
                <w:b w:val="0"/>
                <w:i w:val="0"/>
                <w:color w:val="2D2D2D"/>
                <w:sz w:val="19"/>
              </w:rPr>
              <w:t>G: Traditional/Religious</w:t>
            </w:r>
          </w:p>
        </w:tc>
      </w:tr>
      <w:tr>
        <w:tc>
          <w:tcPr>
            <w:tcW w:type="dxa" w:w="3120"/>
          </w:tcPr>
          <w:p>
            <w:r/>
            <w:r>
              <w:rPr>
                <w:rFonts w:ascii="Inter" w:hAnsi="Inter" w:cs="Inter"/>
                <w:b w:val="0"/>
                <w:i w:val="0"/>
                <w:color w:val="2D2D2D"/>
                <w:sz w:val="19"/>
              </w:rPr>
              <w:t>27</w:t>
            </w:r>
          </w:p>
        </w:tc>
        <w:tc>
          <w:tcPr>
            <w:tcW w:type="dxa" w:w="3120"/>
          </w:tcPr>
          <w:p>
            <w:r/>
            <w:r>
              <w:rPr>
                <w:rFonts w:ascii="Inter" w:hAnsi="Inter" w:cs="Inter"/>
                <w:b w:val="0"/>
                <w:i w:val="0"/>
                <w:color w:val="2D2D2D"/>
                <w:sz w:val="19"/>
              </w:rPr>
              <w:t>Religious leaders and Ulama in OBC communities</w:t>
            </w:r>
          </w:p>
        </w:tc>
        <w:tc>
          <w:tcPr>
            <w:tcW w:type="dxa" w:w="3120"/>
          </w:tcPr>
          <w:p>
            <w:r/>
            <w:r>
              <w:rPr>
                <w:rFonts w:ascii="Inter" w:hAnsi="Inter" w:cs="Inter"/>
                <w:b w:val="0"/>
                <w:i w:val="0"/>
                <w:color w:val="2D2D2D"/>
                <w:sz w:val="19"/>
              </w:rPr>
              <w:t>G: Traditional/Religious</w:t>
            </w:r>
          </w:p>
        </w:tc>
      </w:tr>
      <w:tr>
        <w:tc>
          <w:tcPr>
            <w:tcW w:type="dxa" w:w="3120"/>
            <w:shd w:fill="F0F3F6"/>
          </w:tcPr>
          <w:p>
            <w:r/>
            <w:r>
              <w:rPr>
                <w:rFonts w:ascii="Inter" w:hAnsi="Inter" w:cs="Inter"/>
                <w:b w:val="0"/>
                <w:i w:val="0"/>
                <w:color w:val="2D2D2D"/>
                <w:sz w:val="19"/>
              </w:rPr>
              <w:t>28</w:t>
            </w:r>
          </w:p>
        </w:tc>
        <w:tc>
          <w:tcPr>
            <w:tcW w:type="dxa" w:w="3120"/>
            <w:shd w:fill="F0F3F6"/>
          </w:tcPr>
          <w:p>
            <w:r/>
            <w:r>
              <w:rPr>
                <w:rFonts w:ascii="Inter" w:hAnsi="Inter" w:cs="Inter"/>
                <w:b w:val="0"/>
                <w:i w:val="0"/>
                <w:color w:val="2D2D2D"/>
                <w:sz w:val="19"/>
              </w:rPr>
              <w:t>Madrasa sector (Islamic schools serving OBC youth)</w:t>
            </w:r>
          </w:p>
        </w:tc>
        <w:tc>
          <w:tcPr>
            <w:tcW w:type="dxa" w:w="3120"/>
            <w:shd w:fill="F0F3F6"/>
          </w:tcPr>
          <w:p>
            <w:r/>
            <w:r>
              <w:rPr>
                <w:rFonts w:ascii="Inter" w:hAnsi="Inter" w:cs="Inter"/>
                <w:b w:val="0"/>
                <w:i w:val="0"/>
                <w:color w:val="2D2D2D"/>
                <w:sz w:val="19"/>
              </w:rPr>
              <w:t>G: Traditional/Religious</w:t>
            </w:r>
          </w:p>
        </w:tc>
      </w:tr>
      <w:tr>
        <w:tc>
          <w:tcPr>
            <w:tcW w:type="dxa" w:w="3120"/>
          </w:tcPr>
          <w:p>
            <w:r/>
            <w:r>
              <w:rPr>
                <w:rFonts w:ascii="Inter" w:hAnsi="Inter" w:cs="Inter"/>
                <w:b w:val="0"/>
                <w:i w:val="0"/>
                <w:color w:val="2D2D2D"/>
                <w:sz w:val="19"/>
              </w:rPr>
              <w:t>29</w:t>
            </w:r>
          </w:p>
        </w:tc>
        <w:tc>
          <w:tcPr>
            <w:tcW w:type="dxa" w:w="3120"/>
          </w:tcPr>
          <w:p>
            <w:r/>
            <w:r>
              <w:rPr>
                <w:rFonts w:ascii="Inter" w:hAnsi="Inter" w:cs="Inter"/>
                <w:b w:val="0"/>
                <w:i w:val="0"/>
                <w:color w:val="2D2D2D"/>
                <w:sz w:val="19"/>
              </w:rPr>
              <w:t>Bangsamoro communities outside BARMM --- primary beneficiaries (Caraga, Region 10, Palawan, various Mindanao provinces)</w:t>
            </w:r>
          </w:p>
        </w:tc>
        <w:tc>
          <w:tcPr>
            <w:tcW w:type="dxa" w:w="3120"/>
          </w:tcPr>
          <w:p>
            <w:r/>
            <w:r>
              <w:rPr>
                <w:rFonts w:ascii="Inter" w:hAnsi="Inter" w:cs="Inter"/>
                <w:b w:val="0"/>
                <w:i w:val="0"/>
                <w:color w:val="2D2D2D"/>
                <w:sz w:val="19"/>
              </w:rPr>
              <w:t>H: Communities</w:t>
            </w:r>
          </w:p>
        </w:tc>
      </w:tr>
      <w:tr>
        <w:tc>
          <w:tcPr>
            <w:tcW w:type="dxa" w:w="3120"/>
            <w:shd w:fill="F0F3F6"/>
          </w:tcPr>
          <w:p>
            <w:r/>
            <w:r>
              <w:rPr>
                <w:rFonts w:ascii="Inter" w:hAnsi="Inter" w:cs="Inter"/>
                <w:b w:val="0"/>
                <w:i w:val="0"/>
                <w:color w:val="2D2D2D"/>
                <w:sz w:val="19"/>
              </w:rPr>
              <w:t>30</w:t>
            </w:r>
          </w:p>
        </w:tc>
        <w:tc>
          <w:tcPr>
            <w:tcW w:type="dxa" w:w="3120"/>
            <w:shd w:fill="F0F3F6"/>
          </w:tcPr>
          <w:p>
            <w:r/>
            <w:r>
              <w:rPr>
                <w:rFonts w:ascii="Inter" w:hAnsi="Inter" w:cs="Inter"/>
                <w:b w:val="0"/>
                <w:i w:val="0"/>
                <w:color w:val="2D2D2D"/>
                <w:sz w:val="19"/>
              </w:rPr>
              <w:t>Internally displaced persons (IDPs) in OBC areas</w:t>
            </w:r>
          </w:p>
        </w:tc>
        <w:tc>
          <w:tcPr>
            <w:tcW w:type="dxa" w:w="3120"/>
            <w:shd w:fill="F0F3F6"/>
          </w:tcPr>
          <w:p>
            <w:r/>
            <w:r>
              <w:rPr>
                <w:rFonts w:ascii="Inter" w:hAnsi="Inter" w:cs="Inter"/>
                <w:b w:val="0"/>
                <w:i w:val="0"/>
                <w:color w:val="2D2D2D"/>
                <w:sz w:val="19"/>
              </w:rPr>
              <w:t>H: Communities</w:t>
            </w:r>
          </w:p>
        </w:tc>
      </w:tr>
      <w:tr>
        <w:tc>
          <w:tcPr>
            <w:tcW w:type="dxa" w:w="3120"/>
          </w:tcPr>
          <w:p>
            <w:r/>
            <w:r>
              <w:rPr>
                <w:rFonts w:ascii="Inter" w:hAnsi="Inter" w:cs="Inter"/>
                <w:b w:val="0"/>
                <w:i w:val="0"/>
                <w:color w:val="2D2D2D"/>
                <w:sz w:val="19"/>
              </w:rPr>
              <w:t>31</w:t>
            </w:r>
          </w:p>
        </w:tc>
        <w:tc>
          <w:tcPr>
            <w:tcW w:type="dxa" w:w="3120"/>
          </w:tcPr>
          <w:p>
            <w:r/>
            <w:r>
              <w:rPr>
                <w:rFonts w:ascii="Inter" w:hAnsi="Inter" w:cs="Inter"/>
                <w:b w:val="0"/>
                <w:i w:val="0"/>
                <w:color w:val="2D2D2D"/>
                <w:sz w:val="19"/>
              </w:rPr>
              <w:t>OBC women, youth, PWDs, elders, and orphans (vulnerable sectors)</w:t>
            </w:r>
          </w:p>
        </w:tc>
        <w:tc>
          <w:tcPr>
            <w:tcW w:type="dxa" w:w="3120"/>
          </w:tcPr>
          <w:p>
            <w:r/>
            <w:r>
              <w:rPr>
                <w:rFonts w:ascii="Inter" w:hAnsi="Inter" w:cs="Inter"/>
                <w:b w:val="0"/>
                <w:i w:val="0"/>
                <w:color w:val="2D2D2D"/>
                <w:sz w:val="19"/>
              </w:rPr>
              <w:t>H: Communities</w:t>
            </w:r>
          </w:p>
        </w:tc>
      </w:tr>
      <w:tr>
        <w:tc>
          <w:tcPr>
            <w:tcW w:type="dxa" w:w="3120"/>
            <w:shd w:fill="F0F3F6"/>
          </w:tcPr>
          <w:p>
            <w:r/>
            <w:r>
              <w:rPr>
                <w:rFonts w:ascii="Inter" w:hAnsi="Inter" w:cs="Inter"/>
                <w:b w:val="0"/>
                <w:i w:val="0"/>
                <w:color w:val="2D2D2D"/>
                <w:sz w:val="19"/>
              </w:rPr>
              <w:t>32</w:t>
            </w:r>
          </w:p>
        </w:tc>
        <w:tc>
          <w:tcPr>
            <w:tcW w:type="dxa" w:w="3120"/>
            <w:shd w:fill="F0F3F6"/>
          </w:tcPr>
          <w:p>
            <w:r/>
            <w:r>
              <w:rPr>
                <w:rFonts w:ascii="Inter" w:hAnsi="Inter" w:cs="Inter"/>
                <w:b w:val="0"/>
                <w:i w:val="0"/>
                <w:color w:val="2D2D2D"/>
                <w:sz w:val="19"/>
              </w:rPr>
              <w:t>Community volunteers and local coordinators in OBC areas</w:t>
            </w:r>
          </w:p>
        </w:tc>
        <w:tc>
          <w:tcPr>
            <w:tcW w:type="dxa" w:w="3120"/>
            <w:shd w:fill="F0F3F6"/>
          </w:tcPr>
          <w:p>
            <w:r/>
            <w:r>
              <w:rPr>
                <w:rFonts w:ascii="Inter" w:hAnsi="Inter" w:cs="Inter"/>
                <w:b w:val="0"/>
                <w:i w:val="0"/>
                <w:color w:val="2D2D2D"/>
                <w:sz w:val="19"/>
              </w:rPr>
              <w:t>H: Communities</w:t>
            </w:r>
          </w:p>
        </w:tc>
      </w:tr>
    </w:tbl>
    <w:p/>
    <w:p>
      <w:pPr>
        <w:pStyle w:val="Heading3"/>
      </w:pPr>
      <w:r>
        <w:rPr>
          <w:rFonts w:ascii="Inter" w:hAnsi="Inter" w:cs="Inter"/>
          <w:b/>
          <w:i w:val="0"/>
          <w:color w:val="2C5F7C"/>
          <w:sz w:val="26"/>
        </w:rPr>
        <w:t>Step 2: Assessing Power and Interest</w:t>
      </w:r>
    </w:p>
    <w:p>
      <w:pPr>
        <w:spacing w:after="120" w:line="276" w:lineRule="auto"/>
      </w:pPr>
      <w:r>
        <w:rPr>
          <w:rFonts w:ascii="Inter" w:hAnsi="Inter" w:cs="Inter"/>
          <w:b w:val="0"/>
          <w:i w:val="0"/>
          <w:color w:val="2D2D2D"/>
          <w:sz w:val="22"/>
        </w:rPr>
        <w:t>The Planning Officer assesses each stakeholder: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w:t>
            </w:r>
          </w:p>
        </w:tc>
        <w:tc>
          <w:tcPr>
            <w:tcW w:type="dxa" w:w="1872"/>
            <w:shd w:fill="1B365D"/>
          </w:tcPr>
          <w:p>
            <w:r/>
            <w:r>
              <w:rPr>
                <w:rFonts w:ascii="Inter" w:hAnsi="Inter" w:cs="Inter"/>
                <w:b/>
                <w:i w:val="0"/>
                <w:color w:val="FFFFFF"/>
                <w:sz w:val="19"/>
              </w:rPr>
              <w:t>Stakeholder</w:t>
            </w:r>
          </w:p>
        </w:tc>
        <w:tc>
          <w:tcPr>
            <w:tcW w:type="dxa" w:w="1872"/>
            <w:shd w:fill="1B365D"/>
          </w:tcPr>
          <w:p>
            <w:r/>
            <w:r>
              <w:rPr>
                <w:rFonts w:ascii="Inter" w:hAnsi="Inter" w:cs="Inter"/>
                <w:b/>
                <w:i w:val="0"/>
                <w:color w:val="FFFFFF"/>
                <w:sz w:val="19"/>
              </w:rPr>
              <w:t>Power</w:t>
            </w:r>
          </w:p>
        </w:tc>
        <w:tc>
          <w:tcPr>
            <w:tcW w:type="dxa" w:w="1872"/>
            <w:shd w:fill="1B365D"/>
          </w:tcPr>
          <w:p>
            <w:r/>
            <w:r>
              <w:rPr>
                <w:rFonts w:ascii="Inter" w:hAnsi="Inter" w:cs="Inter"/>
                <w:b/>
                <w:i w:val="0"/>
                <w:color w:val="FFFFFF"/>
                <w:sz w:val="19"/>
              </w:rPr>
              <w:t>Interest</w:t>
            </w:r>
          </w:p>
        </w:tc>
        <w:tc>
          <w:tcPr>
            <w:tcW w:type="dxa" w:w="1872"/>
            <w:shd w:fill="1B365D"/>
          </w:tcPr>
          <w:p>
            <w:r/>
            <w:r>
              <w:rPr>
                <w:rFonts w:ascii="Inter" w:hAnsi="Inter" w:cs="Inter"/>
                <w:b/>
                <w:i w:val="0"/>
                <w:color w:val="FFFFFF"/>
                <w:sz w:val="19"/>
              </w:rPr>
              <w:t>Rationale</w:t>
            </w:r>
          </w:p>
        </w:tc>
      </w:tr>
      <w:tr>
        <w:tc>
          <w:tcPr>
            <w:tcW w:type="dxa" w:w="1872"/>
          </w:tcPr>
          <w:p>
            <w:r/>
            <w:r>
              <w:rPr>
                <w:rFonts w:ascii="Inter" w:hAnsi="Inter" w:cs="Inter"/>
                <w:b w:val="0"/>
                <w:i w:val="0"/>
                <w:color w:val="2D2D2D"/>
                <w:sz w:val="19"/>
              </w:rPr>
              <w:t>1</w:t>
            </w:r>
          </w:p>
        </w:tc>
        <w:tc>
          <w:tcPr>
            <w:tcW w:type="dxa" w:w="1872"/>
          </w:tcPr>
          <w:p>
            <w:r/>
            <w:r>
              <w:rPr>
                <w:rFonts w:ascii="Inter" w:hAnsi="Inter" w:cs="Inter"/>
                <w:b w:val="0"/>
                <w:i w:val="0"/>
                <w:color w:val="2D2D2D"/>
                <w:sz w:val="19"/>
              </w:rPr>
              <w:t>BTA Committee on OBCs</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Legislative oversight, direct mandate alignment, budget review authority over OOBC</w:t>
            </w:r>
          </w:p>
        </w:tc>
      </w:tr>
      <w:tr>
        <w:tc>
          <w:tcPr>
            <w:tcW w:type="dxa" w:w="1872"/>
            <w:shd w:fill="F0F3F6"/>
          </w:tcPr>
          <w:p>
            <w:r/>
            <w:r>
              <w:rPr>
                <w:rFonts w:ascii="Inter" w:hAnsi="Inter" w:cs="Inter"/>
                <w:b w:val="0"/>
                <w:i w:val="0"/>
                <w:color w:val="2D2D2D"/>
                <w:sz w:val="19"/>
              </w:rPr>
              <w:t>2</w:t>
            </w:r>
          </w:p>
        </w:tc>
        <w:tc>
          <w:tcPr>
            <w:tcW w:type="dxa" w:w="1872"/>
            <w:shd w:fill="F0F3F6"/>
          </w:tcPr>
          <w:p>
            <w:r/>
            <w:r>
              <w:rPr>
                <w:rFonts w:ascii="Inter" w:hAnsi="Inter" w:cs="Inter"/>
                <w:b w:val="0"/>
                <w:i w:val="0"/>
                <w:color w:val="2D2D2D"/>
                <w:sz w:val="19"/>
              </w:rPr>
              <w:t>BTA Committee on Appropriations</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M</w:t>
            </w:r>
          </w:p>
        </w:tc>
        <w:tc>
          <w:tcPr>
            <w:tcW w:type="dxa" w:w="1872"/>
            <w:shd w:fill="F0F3F6"/>
          </w:tcPr>
          <w:p>
            <w:r/>
            <w:r>
              <w:rPr>
                <w:rFonts w:ascii="Inter" w:hAnsi="Inter" w:cs="Inter"/>
                <w:b w:val="0"/>
                <w:i w:val="0"/>
                <w:color w:val="2D2D2D"/>
                <w:sz w:val="19"/>
              </w:rPr>
              <w:t>Controls budget approval but OBC programs are a small portion of the overall budget</w:t>
            </w:r>
          </w:p>
        </w:tc>
      </w:tr>
      <w:tr>
        <w:tc>
          <w:tcPr>
            <w:tcW w:type="dxa" w:w="1872"/>
          </w:tcPr>
          <w:p>
            <w:r/>
            <w:r>
              <w:rPr>
                <w:rFonts w:ascii="Inter" w:hAnsi="Inter" w:cs="Inter"/>
                <w:b w:val="0"/>
                <w:i w:val="0"/>
                <w:color w:val="2D2D2D"/>
                <w:sz w:val="19"/>
              </w:rPr>
              <w:t>3</w:t>
            </w:r>
          </w:p>
        </w:tc>
        <w:tc>
          <w:tcPr>
            <w:tcW w:type="dxa" w:w="1872"/>
          </w:tcPr>
          <w:p>
            <w:r/>
            <w:r>
              <w:rPr>
                <w:rFonts w:ascii="Inter" w:hAnsi="Inter" w:cs="Inter"/>
                <w:b w:val="0"/>
                <w:i w:val="0"/>
                <w:color w:val="2D2D2D"/>
                <w:sz w:val="19"/>
              </w:rPr>
              <w:t>Parliament Members with OBC connections</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Political interest in OBC welfare, constituent advocacy</w:t>
            </w:r>
          </w:p>
        </w:tc>
      </w:tr>
      <w:tr>
        <w:tc>
          <w:tcPr>
            <w:tcW w:type="dxa" w:w="1872"/>
            <w:shd w:fill="F0F3F6"/>
          </w:tcPr>
          <w:p>
            <w:r/>
            <w:r>
              <w:rPr>
                <w:rFonts w:ascii="Inter" w:hAnsi="Inter" w:cs="Inter"/>
                <w:b w:val="0"/>
                <w:i w:val="0"/>
                <w:color w:val="2D2D2D"/>
                <w:sz w:val="19"/>
              </w:rPr>
              <w:t>4</w:t>
            </w:r>
          </w:p>
        </w:tc>
        <w:tc>
          <w:tcPr>
            <w:tcW w:type="dxa" w:w="1872"/>
            <w:shd w:fill="F0F3F6"/>
          </w:tcPr>
          <w:p>
            <w:r/>
            <w:r>
              <w:rPr>
                <w:rFonts w:ascii="Inter" w:hAnsi="Inter" w:cs="Inter"/>
                <w:b w:val="0"/>
                <w:i w:val="0"/>
                <w:color w:val="2D2D2D"/>
                <w:sz w:val="19"/>
              </w:rPr>
              <w:t>OCM (parent office)</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OOBC is attached to the OCM; the Chief Minister's office sets strategic direction and provides institutional support</w:t>
            </w:r>
          </w:p>
        </w:tc>
      </w:tr>
      <w:tr>
        <w:tc>
          <w:tcPr>
            <w:tcW w:type="dxa" w:w="1872"/>
          </w:tcPr>
          <w:p>
            <w:r/>
            <w:r>
              <w:rPr>
                <w:rFonts w:ascii="Inter" w:hAnsi="Inter" w:cs="Inter"/>
                <w:b w:val="0"/>
                <w:i w:val="0"/>
                <w:color w:val="2D2D2D"/>
                <w:sz w:val="19"/>
              </w:rPr>
              <w:t>5</w:t>
            </w:r>
          </w:p>
        </w:tc>
        <w:tc>
          <w:tcPr>
            <w:tcW w:type="dxa" w:w="1872"/>
          </w:tcPr>
          <w:p>
            <w:r/>
            <w:r>
              <w:rPr>
                <w:rFonts w:ascii="Inter" w:hAnsi="Inter" w:cs="Inter"/>
                <w:b w:val="0"/>
                <w:i w:val="0"/>
                <w:color w:val="2D2D2D"/>
                <w:sz w:val="19"/>
              </w:rPr>
              <w:t>MFBM</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Budget allocation authority; OOBC's budget is modest relative to ministries</w:t>
            </w:r>
          </w:p>
        </w:tc>
      </w:tr>
      <w:tr>
        <w:tc>
          <w:tcPr>
            <w:tcW w:type="dxa" w:w="1872"/>
            <w:shd w:fill="F0F3F6"/>
          </w:tcPr>
          <w:p>
            <w:r/>
            <w:r>
              <w:rPr>
                <w:rFonts w:ascii="Inter" w:hAnsi="Inter" w:cs="Inter"/>
                <w:b w:val="0"/>
                <w:i w:val="0"/>
                <w:color w:val="2D2D2D"/>
                <w:sz w:val="19"/>
              </w:rPr>
              <w:t>6</w:t>
            </w:r>
          </w:p>
        </w:tc>
        <w:tc>
          <w:tcPr>
            <w:tcW w:type="dxa" w:w="1872"/>
            <w:shd w:fill="F0F3F6"/>
          </w:tcPr>
          <w:p>
            <w:r/>
            <w:r>
              <w:rPr>
                <w:rFonts w:ascii="Inter" w:hAnsi="Inter" w:cs="Inter"/>
                <w:b w:val="0"/>
                <w:i w:val="0"/>
                <w:color w:val="2D2D2D"/>
                <w:sz w:val="19"/>
              </w:rPr>
              <w:t>BPDA</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Reviews OOBC's strategic plan for BDP alignment; evaluates planning quality</w:t>
            </w:r>
          </w:p>
        </w:tc>
      </w:tr>
      <w:tr>
        <w:tc>
          <w:tcPr>
            <w:tcW w:type="dxa" w:w="1872"/>
          </w:tcPr>
          <w:p>
            <w:r/>
            <w:r>
              <w:rPr>
                <w:rFonts w:ascii="Inter" w:hAnsi="Inter" w:cs="Inter"/>
                <w:b w:val="0"/>
                <w:i w:val="0"/>
                <w:color w:val="2D2D2D"/>
                <w:sz w:val="19"/>
              </w:rPr>
              <w:t>7</w:t>
            </w:r>
          </w:p>
        </w:tc>
        <w:tc>
          <w:tcPr>
            <w:tcW w:type="dxa" w:w="1872"/>
          </w:tcPr>
          <w:p>
            <w:r/>
            <w:r>
              <w:rPr>
                <w:rFonts w:ascii="Inter" w:hAnsi="Inter" w:cs="Inter"/>
                <w:b w:val="0"/>
                <w:i w:val="0"/>
                <w:color w:val="2D2D2D"/>
                <w:sz w:val="19"/>
              </w:rPr>
              <w:t>MSSD</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Delivers social services OOBC needs to extend to OBC communities; key partner ministry</w:t>
            </w:r>
          </w:p>
        </w:tc>
      </w:tr>
      <w:tr>
        <w:tc>
          <w:tcPr>
            <w:tcW w:type="dxa" w:w="1872"/>
            <w:shd w:fill="F0F3F6"/>
          </w:tcPr>
          <w:p>
            <w:r/>
            <w:r>
              <w:rPr>
                <w:rFonts w:ascii="Inter" w:hAnsi="Inter" w:cs="Inter"/>
                <w:b w:val="0"/>
                <w:i w:val="0"/>
                <w:color w:val="2D2D2D"/>
                <w:sz w:val="19"/>
              </w:rPr>
              <w:t>8</w:t>
            </w:r>
          </w:p>
        </w:tc>
        <w:tc>
          <w:tcPr>
            <w:tcW w:type="dxa" w:w="1872"/>
            <w:shd w:fill="F0F3F6"/>
          </w:tcPr>
          <w:p>
            <w:r/>
            <w:r>
              <w:rPr>
                <w:rFonts w:ascii="Inter" w:hAnsi="Inter" w:cs="Inter"/>
                <w:b w:val="0"/>
                <w:i w:val="0"/>
                <w:color w:val="2D2D2D"/>
                <w:sz w:val="19"/>
              </w:rPr>
              <w:t>MBHTE</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M</w:t>
            </w:r>
          </w:p>
        </w:tc>
        <w:tc>
          <w:tcPr>
            <w:tcW w:type="dxa" w:w="1872"/>
            <w:shd w:fill="F0F3F6"/>
          </w:tcPr>
          <w:p>
            <w:r/>
            <w:r>
              <w:rPr>
                <w:rFonts w:ascii="Inter" w:hAnsi="Inter" w:cs="Inter"/>
                <w:b w:val="0"/>
                <w:i w:val="0"/>
                <w:color w:val="2D2D2D"/>
                <w:sz w:val="19"/>
              </w:rPr>
              <w:t>Education services for OBC communities, including Madrasa and technical education</w:t>
            </w:r>
          </w:p>
        </w:tc>
      </w:tr>
      <w:tr>
        <w:tc>
          <w:tcPr>
            <w:tcW w:type="dxa" w:w="1872"/>
          </w:tcPr>
          <w:p>
            <w:r/>
            <w:r>
              <w:rPr>
                <w:rFonts w:ascii="Inter" w:hAnsi="Inter" w:cs="Inter"/>
                <w:b w:val="0"/>
                <w:i w:val="0"/>
                <w:color w:val="2D2D2D"/>
                <w:sz w:val="19"/>
              </w:rPr>
              <w:t>9</w:t>
            </w:r>
          </w:p>
        </w:tc>
        <w:tc>
          <w:tcPr>
            <w:tcW w:type="dxa" w:w="1872"/>
          </w:tcPr>
          <w:p>
            <w:r/>
            <w:r>
              <w:rPr>
                <w:rFonts w:ascii="Inter" w:hAnsi="Inter" w:cs="Inter"/>
                <w:b w:val="0"/>
                <w:i w:val="0"/>
                <w:color w:val="2D2D2D"/>
                <w:sz w:val="19"/>
              </w:rPr>
              <w:t>MAFAR</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Agricultural support for OBC farming communities; potential coordination partner</w:t>
            </w:r>
          </w:p>
        </w:tc>
      </w:tr>
      <w:tr>
        <w:tc>
          <w:tcPr>
            <w:tcW w:type="dxa" w:w="1872"/>
            <w:shd w:fill="F0F3F6"/>
          </w:tcPr>
          <w:p>
            <w:r/>
            <w:r>
              <w:rPr>
                <w:rFonts w:ascii="Inter" w:hAnsi="Inter" w:cs="Inter"/>
                <w:b w:val="0"/>
                <w:i w:val="0"/>
                <w:color w:val="2D2D2D"/>
                <w:sz w:val="19"/>
              </w:rPr>
              <w:t>12</w:t>
            </w:r>
          </w:p>
        </w:tc>
        <w:tc>
          <w:tcPr>
            <w:tcW w:type="dxa" w:w="1872"/>
            <w:shd w:fill="F0F3F6"/>
          </w:tcPr>
          <w:p>
            <w:r/>
            <w:r>
              <w:rPr>
                <w:rFonts w:ascii="Inter" w:hAnsi="Inter" w:cs="Inter"/>
                <w:b w:val="0"/>
                <w:i w:val="0"/>
                <w:color w:val="2D2D2D"/>
                <w:sz w:val="19"/>
              </w:rPr>
              <w:t>DILG (national)</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M</w:t>
            </w:r>
          </w:p>
        </w:tc>
        <w:tc>
          <w:tcPr>
            <w:tcW w:type="dxa" w:w="1872"/>
            <w:shd w:fill="F0F3F6"/>
          </w:tcPr>
          <w:p>
            <w:r/>
            <w:r>
              <w:rPr>
                <w:rFonts w:ascii="Inter" w:hAnsi="Inter" w:cs="Inter"/>
                <w:b w:val="0"/>
                <w:i w:val="0"/>
                <w:color w:val="2D2D2D"/>
                <w:sz w:val="19"/>
              </w:rPr>
              <w:t>Regulatory authority over LGUs that OOBC coordinates with; can facilitate or block LGU engagement</w:t>
            </w:r>
          </w:p>
        </w:tc>
      </w:tr>
      <w:tr>
        <w:tc>
          <w:tcPr>
            <w:tcW w:type="dxa" w:w="1872"/>
          </w:tcPr>
          <w:p>
            <w:r/>
            <w:r>
              <w:rPr>
                <w:rFonts w:ascii="Inter" w:hAnsi="Inter" w:cs="Inter"/>
                <w:b w:val="0"/>
                <w:i w:val="0"/>
                <w:color w:val="2D2D2D"/>
                <w:sz w:val="19"/>
              </w:rPr>
              <w:t>13</w:t>
            </w:r>
          </w:p>
        </w:tc>
        <w:tc>
          <w:tcPr>
            <w:tcW w:type="dxa" w:w="1872"/>
          </w:tcPr>
          <w:p>
            <w:r/>
            <w:r>
              <w:rPr>
                <w:rFonts w:ascii="Inter" w:hAnsi="Inter" w:cs="Inter"/>
                <w:b w:val="0"/>
                <w:i w:val="0"/>
                <w:color w:val="2D2D2D"/>
                <w:sz w:val="19"/>
              </w:rPr>
              <w:t>LGUs in Caraga</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Host communities with Bangsamoro populations; directly affected by OOBC programs</w:t>
            </w:r>
          </w:p>
        </w:tc>
      </w:tr>
      <w:tr>
        <w:tc>
          <w:tcPr>
            <w:tcW w:type="dxa" w:w="1872"/>
            <w:shd w:fill="F0F3F6"/>
          </w:tcPr>
          <w:p>
            <w:r/>
            <w:r>
              <w:rPr>
                <w:rFonts w:ascii="Inter" w:hAnsi="Inter" w:cs="Inter"/>
                <w:b w:val="0"/>
                <w:i w:val="0"/>
                <w:color w:val="2D2D2D"/>
                <w:sz w:val="19"/>
              </w:rPr>
              <w:t>14</w:t>
            </w:r>
          </w:p>
        </w:tc>
        <w:tc>
          <w:tcPr>
            <w:tcW w:type="dxa" w:w="1872"/>
            <w:shd w:fill="F0F3F6"/>
          </w:tcPr>
          <w:p>
            <w:r/>
            <w:r>
              <w:rPr>
                <w:rFonts w:ascii="Inter" w:hAnsi="Inter" w:cs="Inter"/>
                <w:b w:val="0"/>
                <w:i w:val="0"/>
                <w:color w:val="2D2D2D"/>
                <w:sz w:val="19"/>
              </w:rPr>
              <w:t>LGUs in Region 10</w:t>
            </w:r>
          </w:p>
        </w:tc>
        <w:tc>
          <w:tcPr>
            <w:tcW w:type="dxa" w:w="1872"/>
            <w:shd w:fill="F0F3F6"/>
          </w:tcPr>
          <w:p>
            <w:r/>
            <w:r>
              <w:rPr>
                <w:rFonts w:ascii="Inter" w:hAnsi="Inter" w:cs="Inter"/>
                <w:b w:val="0"/>
                <w:i w:val="0"/>
                <w:color w:val="2D2D2D"/>
                <w:sz w:val="19"/>
              </w:rPr>
              <w:t>M</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Similar to Caraga --- significant OBC populations, direct program relevance</w:t>
            </w:r>
          </w:p>
        </w:tc>
      </w:tr>
      <w:tr>
        <w:tc>
          <w:tcPr>
            <w:tcW w:type="dxa" w:w="1872"/>
          </w:tcPr>
          <w:p>
            <w:r/>
            <w:r>
              <w:rPr>
                <w:rFonts w:ascii="Inter" w:hAnsi="Inter" w:cs="Inter"/>
                <w:b w:val="0"/>
                <w:i w:val="0"/>
                <w:color w:val="2D2D2D"/>
                <w:sz w:val="19"/>
              </w:rPr>
              <w:t>15</w:t>
            </w:r>
          </w:p>
        </w:tc>
        <w:tc>
          <w:tcPr>
            <w:tcW w:type="dxa" w:w="1872"/>
          </w:tcPr>
          <w:p>
            <w:r/>
            <w:r>
              <w:rPr>
                <w:rFonts w:ascii="Inter" w:hAnsi="Inter" w:cs="Inter"/>
                <w:b w:val="0"/>
                <w:i w:val="0"/>
                <w:color w:val="2D2D2D"/>
                <w:sz w:val="19"/>
              </w:rPr>
              <w:t>LGUs in Palawan</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Bangsamoro communities in Palawan; active coordination interest</w:t>
            </w:r>
          </w:p>
        </w:tc>
      </w:tr>
      <w:tr>
        <w:tc>
          <w:tcPr>
            <w:tcW w:type="dxa" w:w="1872"/>
            <w:shd w:fill="F0F3F6"/>
          </w:tcPr>
          <w:p>
            <w:r/>
            <w:r>
              <w:rPr>
                <w:rFonts w:ascii="Inter" w:hAnsi="Inter" w:cs="Inter"/>
                <w:b w:val="0"/>
                <w:i w:val="0"/>
                <w:color w:val="2D2D2D"/>
                <w:sz w:val="19"/>
              </w:rPr>
              <w:t>16</w:t>
            </w:r>
          </w:p>
        </w:tc>
        <w:tc>
          <w:tcPr>
            <w:tcW w:type="dxa" w:w="1872"/>
            <w:shd w:fill="F0F3F6"/>
          </w:tcPr>
          <w:p>
            <w:r/>
            <w:r>
              <w:rPr>
                <w:rFonts w:ascii="Inter" w:hAnsi="Inter" w:cs="Inter"/>
                <w:b w:val="0"/>
                <w:i w:val="0"/>
                <w:color w:val="2D2D2D"/>
                <w:sz w:val="19"/>
              </w:rPr>
              <w:t>LGUs in Sultan Kudarat et al.</w:t>
            </w:r>
          </w:p>
        </w:tc>
        <w:tc>
          <w:tcPr>
            <w:tcW w:type="dxa" w:w="1872"/>
            <w:shd w:fill="F0F3F6"/>
          </w:tcPr>
          <w:p>
            <w:r/>
            <w:r>
              <w:rPr>
                <w:rFonts w:ascii="Inter" w:hAnsi="Inter" w:cs="Inter"/>
                <w:b w:val="0"/>
                <w:i w:val="0"/>
                <w:color w:val="2D2D2D"/>
                <w:sz w:val="19"/>
              </w:rPr>
              <w:t>M</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Adjacent to BARMM; high OBC population density in some municipalities</w:t>
            </w:r>
          </w:p>
        </w:tc>
      </w:tr>
      <w:tr>
        <w:tc>
          <w:tcPr>
            <w:tcW w:type="dxa" w:w="1872"/>
          </w:tcPr>
          <w:p>
            <w:r/>
            <w:r>
              <w:rPr>
                <w:rFonts w:ascii="Inter" w:hAnsi="Inter" w:cs="Inter"/>
                <w:b w:val="0"/>
                <w:i w:val="0"/>
                <w:color w:val="2D2D2D"/>
                <w:sz w:val="19"/>
              </w:rPr>
              <w:t>18</w:t>
            </w:r>
          </w:p>
        </w:tc>
        <w:tc>
          <w:tcPr>
            <w:tcW w:type="dxa" w:w="1872"/>
          </w:tcPr>
          <w:p>
            <w:r/>
            <w:r>
              <w:rPr>
                <w:rFonts w:ascii="Inter" w:hAnsi="Inter" w:cs="Inter"/>
                <w:b w:val="0"/>
                <w:i w:val="0"/>
                <w:color w:val="2D2D2D"/>
                <w:sz w:val="19"/>
              </w:rPr>
              <w:t>CFSI</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Active CSO with relevant programs; potential implementing partner</w:t>
            </w:r>
          </w:p>
        </w:tc>
      </w:tr>
      <w:tr>
        <w:tc>
          <w:tcPr>
            <w:tcW w:type="dxa" w:w="1872"/>
            <w:shd w:fill="F0F3F6"/>
          </w:tcPr>
          <w:p>
            <w:r/>
            <w:r>
              <w:rPr>
                <w:rFonts w:ascii="Inter" w:hAnsi="Inter" w:cs="Inter"/>
                <w:b w:val="0"/>
                <w:i w:val="0"/>
                <w:color w:val="2D2D2D"/>
                <w:sz w:val="19"/>
              </w:rPr>
              <w:t>19</w:t>
            </w:r>
          </w:p>
        </w:tc>
        <w:tc>
          <w:tcPr>
            <w:tcW w:type="dxa" w:w="1872"/>
            <w:shd w:fill="F0F3F6"/>
          </w:tcPr>
          <w:p>
            <w:r/>
            <w:r>
              <w:rPr>
                <w:rFonts w:ascii="Inter" w:hAnsi="Inter" w:cs="Inter"/>
                <w:b w:val="0"/>
                <w:i w:val="0"/>
                <w:color w:val="2D2D2D"/>
                <w:sz w:val="19"/>
              </w:rPr>
              <w:t>BDA</w:t>
            </w:r>
          </w:p>
        </w:tc>
        <w:tc>
          <w:tcPr>
            <w:tcW w:type="dxa" w:w="1872"/>
            <w:shd w:fill="F0F3F6"/>
          </w:tcPr>
          <w:p>
            <w:r/>
            <w:r>
              <w:rPr>
                <w:rFonts w:ascii="Inter" w:hAnsi="Inter" w:cs="Inter"/>
                <w:b w:val="0"/>
                <w:i w:val="0"/>
                <w:color w:val="2D2D2D"/>
                <w:sz w:val="19"/>
              </w:rPr>
              <w:t>M</w:t>
            </w:r>
          </w:p>
        </w:tc>
        <w:tc>
          <w:tcPr>
            <w:tcW w:type="dxa" w:w="1872"/>
            <w:shd w:fill="F0F3F6"/>
          </w:tcPr>
          <w:p>
            <w:r/>
            <w:r>
              <w:rPr>
                <w:rFonts w:ascii="Inter" w:hAnsi="Inter" w:cs="Inter"/>
                <w:b w:val="0"/>
                <w:i w:val="0"/>
                <w:color w:val="2D2D2D"/>
                <w:sz w:val="19"/>
              </w:rPr>
              <w:t>M</w:t>
            </w:r>
          </w:p>
        </w:tc>
        <w:tc>
          <w:tcPr>
            <w:tcW w:type="dxa" w:w="1872"/>
            <w:shd w:fill="F0F3F6"/>
          </w:tcPr>
          <w:p>
            <w:r/>
            <w:r>
              <w:rPr>
                <w:rFonts w:ascii="Inter" w:hAnsi="Inter" w:cs="Inter"/>
                <w:b w:val="0"/>
                <w:i w:val="0"/>
                <w:color w:val="2D2D2D"/>
                <w:sz w:val="19"/>
              </w:rPr>
              <w:t>Development-focused CSO with BARMM expertise</w:t>
            </w:r>
          </w:p>
        </w:tc>
      </w:tr>
      <w:tr>
        <w:tc>
          <w:tcPr>
            <w:tcW w:type="dxa" w:w="1872"/>
          </w:tcPr>
          <w:p>
            <w:r/>
            <w:r>
              <w:rPr>
                <w:rFonts w:ascii="Inter" w:hAnsi="Inter" w:cs="Inter"/>
                <w:b w:val="0"/>
                <w:i w:val="0"/>
                <w:color w:val="2D2D2D"/>
                <w:sz w:val="19"/>
              </w:rPr>
              <w:t>26</w:t>
            </w:r>
          </w:p>
        </w:tc>
        <w:tc>
          <w:tcPr>
            <w:tcW w:type="dxa" w:w="1872"/>
          </w:tcPr>
          <w:p>
            <w:r/>
            <w:r>
              <w:rPr>
                <w:rFonts w:ascii="Inter" w:hAnsi="Inter" w:cs="Inter"/>
                <w:b w:val="0"/>
                <w:i w:val="0"/>
                <w:color w:val="2D2D2D"/>
                <w:sz w:val="19"/>
              </w:rPr>
              <w:t>Traditional leaders in OBC areas</w:t>
            </w:r>
          </w:p>
        </w:tc>
        <w:tc>
          <w:tcPr>
            <w:tcW w:type="dxa" w:w="1872"/>
          </w:tcPr>
          <w:p>
            <w:r/>
            <w:r>
              <w:rPr>
                <w:rFonts w:ascii="Inter" w:hAnsi="Inter" w:cs="Inter"/>
                <w:b w:val="0"/>
                <w:i w:val="0"/>
                <w:color w:val="2D2D2D"/>
                <w:sz w:val="19"/>
              </w:rPr>
              <w:t>M</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Cultural authority essential for community-level program acceptance</w:t>
            </w:r>
          </w:p>
        </w:tc>
      </w:tr>
      <w:tr>
        <w:tc>
          <w:tcPr>
            <w:tcW w:type="dxa" w:w="1872"/>
            <w:shd w:fill="F0F3F6"/>
          </w:tcPr>
          <w:p>
            <w:r/>
            <w:r>
              <w:rPr>
                <w:rFonts w:ascii="Inter" w:hAnsi="Inter" w:cs="Inter"/>
                <w:b w:val="0"/>
                <w:i w:val="0"/>
                <w:color w:val="2D2D2D"/>
                <w:sz w:val="19"/>
              </w:rPr>
              <w:t>27</w:t>
            </w:r>
          </w:p>
        </w:tc>
        <w:tc>
          <w:tcPr>
            <w:tcW w:type="dxa" w:w="1872"/>
            <w:shd w:fill="F0F3F6"/>
          </w:tcPr>
          <w:p>
            <w:r/>
            <w:r>
              <w:rPr>
                <w:rFonts w:ascii="Inter" w:hAnsi="Inter" w:cs="Inter"/>
                <w:b w:val="0"/>
                <w:i w:val="0"/>
                <w:color w:val="2D2D2D"/>
                <w:sz w:val="19"/>
              </w:rPr>
              <w:t>Religious leaders / Ulama in OBC areas</w:t>
            </w:r>
          </w:p>
        </w:tc>
        <w:tc>
          <w:tcPr>
            <w:tcW w:type="dxa" w:w="1872"/>
            <w:shd w:fill="F0F3F6"/>
          </w:tcPr>
          <w:p>
            <w:r/>
            <w:r>
              <w:rPr>
                <w:rFonts w:ascii="Inter" w:hAnsi="Inter" w:cs="Inter"/>
                <w:b w:val="0"/>
                <w:i w:val="0"/>
                <w:color w:val="2D2D2D"/>
                <w:sz w:val="19"/>
              </w:rPr>
              <w:t>M</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Moral authority; shape community attitudes toward government programs</w:t>
            </w:r>
          </w:p>
        </w:tc>
      </w:tr>
      <w:tr>
        <w:tc>
          <w:tcPr>
            <w:tcW w:type="dxa" w:w="1872"/>
          </w:tcPr>
          <w:p>
            <w:r/>
            <w:r>
              <w:rPr>
                <w:rFonts w:ascii="Inter" w:hAnsi="Inter" w:cs="Inter"/>
                <w:b w:val="0"/>
                <w:i w:val="0"/>
                <w:color w:val="2D2D2D"/>
                <w:sz w:val="19"/>
              </w:rPr>
              <w:t>28</w:t>
            </w:r>
          </w:p>
        </w:tc>
        <w:tc>
          <w:tcPr>
            <w:tcW w:type="dxa" w:w="1872"/>
          </w:tcPr>
          <w:p>
            <w:r/>
            <w:r>
              <w:rPr>
                <w:rFonts w:ascii="Inter" w:hAnsi="Inter" w:cs="Inter"/>
                <w:b w:val="0"/>
                <w:i w:val="0"/>
                <w:color w:val="2D2D2D"/>
                <w:sz w:val="19"/>
              </w:rPr>
              <w:t>Madrasa sector</w:t>
            </w:r>
          </w:p>
        </w:tc>
        <w:tc>
          <w:tcPr>
            <w:tcW w:type="dxa" w:w="1872"/>
          </w:tcPr>
          <w:p>
            <w:r/>
            <w:r>
              <w:rPr>
                <w:rFonts w:ascii="Inter" w:hAnsi="Inter" w:cs="Inter"/>
                <w:b w:val="0"/>
                <w:i w:val="0"/>
                <w:color w:val="2D2D2D"/>
                <w:sz w:val="19"/>
              </w:rPr>
              <w:t>L</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Strong interest in OBC youth education but limited formal power over OOBC operations</w:t>
            </w:r>
          </w:p>
        </w:tc>
      </w:tr>
      <w:tr>
        <w:tc>
          <w:tcPr>
            <w:tcW w:type="dxa" w:w="1872"/>
            <w:shd w:fill="F0F3F6"/>
          </w:tcPr>
          <w:p>
            <w:r/>
            <w:r>
              <w:rPr>
                <w:rFonts w:ascii="Inter" w:hAnsi="Inter" w:cs="Inter"/>
                <w:b w:val="0"/>
                <w:i w:val="0"/>
                <w:color w:val="2D2D2D"/>
                <w:sz w:val="19"/>
              </w:rPr>
              <w:t>29</w:t>
            </w:r>
          </w:p>
        </w:tc>
        <w:tc>
          <w:tcPr>
            <w:tcW w:type="dxa" w:w="1872"/>
            <w:shd w:fill="F0F3F6"/>
          </w:tcPr>
          <w:p>
            <w:r/>
            <w:r>
              <w:rPr>
                <w:rFonts w:ascii="Inter" w:hAnsi="Inter" w:cs="Inter"/>
                <w:b w:val="0"/>
                <w:i w:val="0"/>
                <w:color w:val="2D2D2D"/>
                <w:sz w:val="19"/>
              </w:rPr>
              <w:t>Bangsamoro communities outside BARMM</w:t>
            </w:r>
          </w:p>
        </w:tc>
        <w:tc>
          <w:tcPr>
            <w:tcW w:type="dxa" w:w="1872"/>
            <w:shd w:fill="F0F3F6"/>
          </w:tcPr>
          <w:p>
            <w:r/>
            <w:r>
              <w:rPr>
                <w:rFonts w:ascii="Inter" w:hAnsi="Inter" w:cs="Inter"/>
                <w:b w:val="0"/>
                <w:i w:val="0"/>
                <w:color w:val="2D2D2D"/>
                <w:sz w:val="19"/>
              </w:rPr>
              <w:t>L</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Primary beneficiaries; deeply affected by OOBC programs but limited formal power to influence government</w:t>
            </w:r>
          </w:p>
        </w:tc>
      </w:tr>
      <w:tr>
        <w:tc>
          <w:tcPr>
            <w:tcW w:type="dxa" w:w="1872"/>
          </w:tcPr>
          <w:p>
            <w:r/>
            <w:r>
              <w:rPr>
                <w:rFonts w:ascii="Inter" w:hAnsi="Inter" w:cs="Inter"/>
                <w:b w:val="0"/>
                <w:i w:val="0"/>
                <w:color w:val="2D2D2D"/>
                <w:sz w:val="19"/>
              </w:rPr>
              <w:t>30</w:t>
            </w:r>
          </w:p>
        </w:tc>
        <w:tc>
          <w:tcPr>
            <w:tcW w:type="dxa" w:w="1872"/>
          </w:tcPr>
          <w:p>
            <w:r/>
            <w:r>
              <w:rPr>
                <w:rFonts w:ascii="Inter" w:hAnsi="Inter" w:cs="Inter"/>
                <w:b w:val="0"/>
                <w:i w:val="0"/>
                <w:color w:val="2D2D2D"/>
                <w:sz w:val="19"/>
              </w:rPr>
              <w:t>IDPs in OBC areas</w:t>
            </w:r>
          </w:p>
        </w:tc>
        <w:tc>
          <w:tcPr>
            <w:tcW w:type="dxa" w:w="1872"/>
          </w:tcPr>
          <w:p>
            <w:r/>
            <w:r>
              <w:rPr>
                <w:rFonts w:ascii="Inter" w:hAnsi="Inter" w:cs="Inter"/>
                <w:b w:val="0"/>
                <w:i w:val="0"/>
                <w:color w:val="2D2D2D"/>
                <w:sz w:val="19"/>
              </w:rPr>
              <w:t>L</w:t>
            </w:r>
          </w:p>
        </w:tc>
        <w:tc>
          <w:tcPr>
            <w:tcW w:type="dxa" w:w="1872"/>
          </w:tcPr>
          <w:p>
            <w:r/>
            <w:r>
              <w:rPr>
                <w:rFonts w:ascii="Inter" w:hAnsi="Inter" w:cs="Inter"/>
                <w:b w:val="0"/>
                <w:i w:val="0"/>
                <w:color w:val="2D2D2D"/>
                <w:sz w:val="19"/>
              </w:rPr>
              <w:t>H</w:t>
            </w:r>
          </w:p>
        </w:tc>
        <w:tc>
          <w:tcPr>
            <w:tcW w:type="dxa" w:w="1872"/>
          </w:tcPr>
          <w:p>
            <w:r/>
            <w:r>
              <w:rPr>
                <w:rFonts w:ascii="Inter" w:hAnsi="Inter" w:cs="Inter"/>
                <w:b w:val="0"/>
                <w:i w:val="0"/>
                <w:color w:val="2D2D2D"/>
                <w:sz w:val="19"/>
              </w:rPr>
              <w:t>Highly vulnerable, directly affected; limited organized voice</w:t>
            </w:r>
          </w:p>
        </w:tc>
      </w:tr>
      <w:tr>
        <w:tc>
          <w:tcPr>
            <w:tcW w:type="dxa" w:w="1872"/>
            <w:shd w:fill="F0F3F6"/>
          </w:tcPr>
          <w:p>
            <w:r/>
            <w:r>
              <w:rPr>
                <w:rFonts w:ascii="Inter" w:hAnsi="Inter" w:cs="Inter"/>
                <w:b w:val="0"/>
                <w:i w:val="0"/>
                <w:color w:val="2D2D2D"/>
                <w:sz w:val="19"/>
              </w:rPr>
              <w:t>31</w:t>
            </w:r>
          </w:p>
        </w:tc>
        <w:tc>
          <w:tcPr>
            <w:tcW w:type="dxa" w:w="1872"/>
            <w:shd w:fill="F0F3F6"/>
          </w:tcPr>
          <w:p>
            <w:r/>
            <w:r>
              <w:rPr>
                <w:rFonts w:ascii="Inter" w:hAnsi="Inter" w:cs="Inter"/>
                <w:b w:val="0"/>
                <w:i w:val="0"/>
                <w:color w:val="2D2D2D"/>
                <w:sz w:val="19"/>
              </w:rPr>
              <w:t>Vulnerable sectors (women, youth, PWDs, elders, orphans)</w:t>
            </w:r>
          </w:p>
        </w:tc>
        <w:tc>
          <w:tcPr>
            <w:tcW w:type="dxa" w:w="1872"/>
            <w:shd w:fill="F0F3F6"/>
          </w:tcPr>
          <w:p>
            <w:r/>
            <w:r>
              <w:rPr>
                <w:rFonts w:ascii="Inter" w:hAnsi="Inter" w:cs="Inter"/>
                <w:b w:val="0"/>
                <w:i w:val="0"/>
                <w:color w:val="2D2D2D"/>
                <w:sz w:val="19"/>
              </w:rPr>
              <w:t>L</w:t>
            </w:r>
          </w:p>
        </w:tc>
        <w:tc>
          <w:tcPr>
            <w:tcW w:type="dxa" w:w="1872"/>
            <w:shd w:fill="F0F3F6"/>
          </w:tcPr>
          <w:p>
            <w:r/>
            <w:r>
              <w:rPr>
                <w:rFonts w:ascii="Inter" w:hAnsi="Inter" w:cs="Inter"/>
                <w:b w:val="0"/>
                <w:i w:val="0"/>
                <w:color w:val="2D2D2D"/>
                <w:sz w:val="19"/>
              </w:rPr>
              <w:t>H</w:t>
            </w:r>
          </w:p>
        </w:tc>
        <w:tc>
          <w:tcPr>
            <w:tcW w:type="dxa" w:w="1872"/>
            <w:shd w:fill="F0F3F6"/>
          </w:tcPr>
          <w:p>
            <w:r/>
            <w:r>
              <w:rPr>
                <w:rFonts w:ascii="Inter" w:hAnsi="Inter" w:cs="Inter"/>
                <w:b w:val="0"/>
                <w:i w:val="0"/>
                <w:color w:val="2D2D2D"/>
                <w:sz w:val="19"/>
              </w:rPr>
              <w:t>Directly affected by OOBC's programs; limited formal power</w:t>
            </w:r>
          </w:p>
        </w:tc>
      </w:tr>
    </w:tbl>
    <w:p/>
    <w:p>
      <w:pPr>
        <w:pStyle w:val="Heading3"/>
      </w:pPr>
      <w:r>
        <w:rPr>
          <w:rFonts w:ascii="Inter" w:hAnsi="Inter" w:cs="Inter"/>
          <w:b/>
          <w:i w:val="0"/>
          <w:color w:val="2C5F7C"/>
          <w:sz w:val="26"/>
        </w:rPr>
        <w:t>Step 3: Plotting the Matrix</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HIGH INTEREST                    LOW INTEREST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w:t>
      </w:r>
    </w:p>
    <w:p>
      <w:pPr>
        <w:pStyle w:val="Heading3"/>
      </w:pPr>
      <w:r>
        <w:rPr>
          <w:rFonts w:ascii="Inter" w:hAnsi="Inter" w:cs="Inter"/>
          <w:b/>
          <w:i w:val="0"/>
          <w:color w:val="2C5F7C"/>
          <w:sz w:val="26"/>
        </w:rPr>
        <w:t>Step 4: Assigning Engagement Strategies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Quadrant</w:t>
            </w:r>
          </w:p>
        </w:tc>
        <w:tc>
          <w:tcPr>
            <w:tcW w:type="dxa" w:w="2340"/>
            <w:shd w:fill="1B365D"/>
          </w:tcPr>
          <w:p>
            <w:r/>
            <w:r>
              <w:rPr>
                <w:rFonts w:ascii="Inter" w:hAnsi="Inter" w:cs="Inter"/>
                <w:b/>
                <w:i w:val="0"/>
                <w:color w:val="FFFFFF"/>
                <w:sz w:val="19"/>
              </w:rPr>
              <w:t>Stakeholders</w:t>
            </w:r>
          </w:p>
        </w:tc>
        <w:tc>
          <w:tcPr>
            <w:tcW w:type="dxa" w:w="2340"/>
            <w:shd w:fill="1B365D"/>
          </w:tcPr>
          <w:p>
            <w:r/>
            <w:r>
              <w:rPr>
                <w:rFonts w:ascii="Inter" w:hAnsi="Inter" w:cs="Inter"/>
                <w:b/>
                <w:i w:val="0"/>
                <w:color w:val="FFFFFF"/>
                <w:sz w:val="19"/>
              </w:rPr>
              <w:t>Engagement Level</w:t>
            </w:r>
          </w:p>
        </w:tc>
        <w:tc>
          <w:tcPr>
            <w:tcW w:type="dxa" w:w="2340"/>
            <w:shd w:fill="1B365D"/>
          </w:tcPr>
          <w:p>
            <w:r/>
            <w:r>
              <w:rPr>
                <w:rFonts w:ascii="Inter" w:hAnsi="Inter" w:cs="Inter"/>
                <w:b/>
                <w:i w:val="0"/>
                <w:color w:val="FFFFFF"/>
                <w:sz w:val="19"/>
              </w:rPr>
              <w:t>Key Activities</w:t>
            </w:r>
          </w:p>
        </w:tc>
      </w:tr>
      <w:tr>
        <w:tc>
          <w:tcPr>
            <w:tcW w:type="dxa" w:w="2340"/>
          </w:tcPr>
          <w:p>
            <w:r/>
            <w:r>
              <w:rPr>
                <w:rFonts w:ascii="Inter" w:hAnsi="Inter" w:cs="Inter"/>
                <w:b w:val="0"/>
                <w:i w:val="0"/>
                <w:color w:val="2D2D2D"/>
                <w:sz w:val="19"/>
              </w:rPr>
              <w:t>Q1: Manage Closely</w:t>
            </w:r>
          </w:p>
        </w:tc>
        <w:tc>
          <w:tcPr>
            <w:tcW w:type="dxa" w:w="2340"/>
          </w:tcPr>
          <w:p>
            <w:r/>
            <w:r>
              <w:rPr>
                <w:rFonts w:ascii="Inter" w:hAnsi="Inter" w:cs="Inter"/>
                <w:b w:val="0"/>
                <w:i w:val="0"/>
                <w:color w:val="2D2D2D"/>
                <w:sz w:val="19"/>
              </w:rPr>
              <w:t>BTA Committee on OBCs, OCM, BPDA</w:t>
            </w:r>
          </w:p>
        </w:tc>
        <w:tc>
          <w:tcPr>
            <w:tcW w:type="dxa" w:w="2340"/>
          </w:tcPr>
          <w:p>
            <w:r/>
            <w:r>
              <w:rPr>
                <w:rFonts w:ascii="Inter" w:hAnsi="Inter" w:cs="Inter"/>
                <w:b w:val="0"/>
                <w:i w:val="0"/>
                <w:color w:val="2D2D2D"/>
                <w:sz w:val="19"/>
              </w:rPr>
              <w:t>Collaborate</w:t>
            </w:r>
          </w:p>
        </w:tc>
        <w:tc>
          <w:tcPr>
            <w:tcW w:type="dxa" w:w="2340"/>
          </w:tcPr>
          <w:p>
            <w:r/>
            <w:r>
              <w:rPr>
                <w:rFonts w:ascii="Inter" w:hAnsi="Inter" w:cs="Inter"/>
                <w:b w:val="0"/>
                <w:i w:val="0"/>
                <w:color w:val="2D2D2D"/>
                <w:sz w:val="19"/>
              </w:rPr>
              <w:t>Regular briefings to OCM on field operations, quarterly reports to BTA Committee on OBCs, strategic plan submission to BPDA, joint priority-setting with OCM</w:t>
            </w:r>
          </w:p>
        </w:tc>
      </w:tr>
      <w:tr>
        <w:tc>
          <w:tcPr>
            <w:tcW w:type="dxa" w:w="2340"/>
            <w:shd w:fill="F0F3F6"/>
          </w:tcPr>
          <w:p>
            <w:r/>
            <w:r>
              <w:rPr>
                <w:rFonts w:ascii="Inter" w:hAnsi="Inter" w:cs="Inter"/>
                <w:b w:val="0"/>
                <w:i w:val="0"/>
                <w:color w:val="2D2D2D"/>
                <w:sz w:val="19"/>
              </w:rPr>
              <w:t>Q2: Keep Satisfied</w:t>
            </w:r>
          </w:p>
        </w:tc>
        <w:tc>
          <w:tcPr>
            <w:tcW w:type="dxa" w:w="2340"/>
            <w:shd w:fill="F0F3F6"/>
          </w:tcPr>
          <w:p>
            <w:r/>
            <w:r>
              <w:rPr>
                <w:rFonts w:ascii="Inter" w:hAnsi="Inter" w:cs="Inter"/>
                <w:b w:val="0"/>
                <w:i w:val="0"/>
                <w:color w:val="2D2D2D"/>
                <w:sz w:val="19"/>
              </w:rPr>
              <w:t>BTA Committee on Appropriations, MFBM, DILG, MSSD, MBHTE, MAFAR</w:t>
            </w:r>
          </w:p>
        </w:tc>
        <w:tc>
          <w:tcPr>
            <w:tcW w:type="dxa" w:w="2340"/>
            <w:shd w:fill="F0F3F6"/>
          </w:tcPr>
          <w:p>
            <w:r/>
            <w:r>
              <w:rPr>
                <w:rFonts w:ascii="Inter" w:hAnsi="Inter" w:cs="Inter"/>
                <w:b w:val="0"/>
                <w:i w:val="0"/>
                <w:color w:val="2D2D2D"/>
                <w:sz w:val="19"/>
              </w:rPr>
              <w:t>Consult</w:t>
            </w:r>
          </w:p>
        </w:tc>
        <w:tc>
          <w:tcPr>
            <w:tcW w:type="dxa" w:w="2340"/>
            <w:shd w:fill="F0F3F6"/>
          </w:tcPr>
          <w:p>
            <w:r/>
            <w:r>
              <w:rPr>
                <w:rFonts w:ascii="Inter" w:hAnsi="Inter" w:cs="Inter"/>
                <w:b w:val="0"/>
                <w:i w:val="0"/>
                <w:color w:val="2D2D2D"/>
                <w:sz w:val="19"/>
              </w:rPr>
              <w:t>Budget briefings, annual coordination meetings on service extension to OBC areas, written coordination protocols with DILG on LGU engagement</w:t>
            </w:r>
          </w:p>
        </w:tc>
      </w:tr>
      <w:tr>
        <w:tc>
          <w:tcPr>
            <w:tcW w:type="dxa" w:w="2340"/>
          </w:tcPr>
          <w:p>
            <w:r/>
            <w:r>
              <w:rPr>
                <w:rFonts w:ascii="Inter" w:hAnsi="Inter" w:cs="Inter"/>
                <w:b w:val="0"/>
                <w:i w:val="0"/>
                <w:color w:val="2D2D2D"/>
                <w:sz w:val="19"/>
              </w:rPr>
              <w:t>Q3: Keep Informed</w:t>
            </w:r>
          </w:p>
        </w:tc>
        <w:tc>
          <w:tcPr>
            <w:tcW w:type="dxa" w:w="2340"/>
          </w:tcPr>
          <w:p>
            <w:r/>
            <w:r>
              <w:rPr>
                <w:rFonts w:ascii="Inter" w:hAnsi="Inter" w:cs="Inter"/>
                <w:b w:val="0"/>
                <w:i w:val="0"/>
                <w:color w:val="2D2D2D"/>
                <w:sz w:val="19"/>
              </w:rPr>
              <w:t>LGUs nationwide (Caraga, Region 10, Palawan, Sultan Kudarat, etc.), traditional and religious leaders, CFSI, BDA, BLMI, Madrasa sector, OBC communities, IDPs, vulnerable sectors</w:t>
            </w:r>
          </w:p>
        </w:tc>
        <w:tc>
          <w:tcPr>
            <w:tcW w:type="dxa" w:w="2340"/>
          </w:tcPr>
          <w:p>
            <w:r/>
            <w:r>
              <w:rPr>
                <w:rFonts w:ascii="Inter" w:hAnsi="Inter" w:cs="Inter"/>
                <w:b w:val="0"/>
                <w:i w:val="0"/>
                <w:color w:val="2D2D2D"/>
                <w:sz w:val="19"/>
              </w:rPr>
              <w:t>Involve / Inform</w:t>
            </w:r>
          </w:p>
        </w:tc>
        <w:tc>
          <w:tcPr>
            <w:tcW w:type="dxa" w:w="2340"/>
          </w:tcPr>
          <w:p>
            <w:r/>
            <w:r>
              <w:rPr>
                <w:rFonts w:ascii="Inter" w:hAnsi="Inter" w:cs="Inter"/>
                <w:b w:val="0"/>
                <w:i w:val="0"/>
                <w:color w:val="2D2D2D"/>
                <w:sz w:val="19"/>
              </w:rPr>
              <w:t>Community assemblies in OBC areas, coordination meetings with host LGUs, field visits, MOAs with CSO partners, community profiling consultations, feedback mechanisms for beneficiaries</w:t>
            </w:r>
          </w:p>
        </w:tc>
      </w:tr>
      <w:tr>
        <w:tc>
          <w:tcPr>
            <w:tcW w:type="dxa" w:w="2340"/>
            <w:shd w:fill="F0F3F6"/>
          </w:tcPr>
          <w:p>
            <w:r/>
            <w:r>
              <w:rPr>
                <w:rFonts w:ascii="Inter" w:hAnsi="Inter" w:cs="Inter"/>
                <w:b w:val="0"/>
                <w:i w:val="0"/>
                <w:color w:val="2D2D2D"/>
                <w:sz w:val="19"/>
              </w:rPr>
              <w:t>Q4: Monitor</w:t>
            </w:r>
          </w:p>
        </w:tc>
        <w:tc>
          <w:tcPr>
            <w:tcW w:type="dxa" w:w="2340"/>
            <w:shd w:fill="F0F3F6"/>
          </w:tcPr>
          <w:p>
            <w:r/>
            <w:r>
              <w:rPr>
                <w:rFonts w:ascii="Inter" w:hAnsi="Inter" w:cs="Inter"/>
                <w:b w:val="0"/>
                <w:i w:val="0"/>
                <w:color w:val="2D2D2D"/>
                <w:sz w:val="19"/>
              </w:rPr>
              <w:t>MPID, private sector employers in OBC areas</w:t>
            </w:r>
          </w:p>
        </w:tc>
        <w:tc>
          <w:tcPr>
            <w:tcW w:type="dxa" w:w="2340"/>
            <w:shd w:fill="F0F3F6"/>
          </w:tcPr>
          <w:p>
            <w:r/>
            <w:r>
              <w:rPr>
                <w:rFonts w:ascii="Inter" w:hAnsi="Inter" w:cs="Inter"/>
                <w:b w:val="0"/>
                <w:i w:val="0"/>
                <w:color w:val="2D2D2D"/>
                <w:sz w:val="19"/>
              </w:rPr>
              <w:t>Inform</w:t>
            </w:r>
          </w:p>
        </w:tc>
        <w:tc>
          <w:tcPr>
            <w:tcW w:type="dxa" w:w="2340"/>
            <w:shd w:fill="F0F3F6"/>
          </w:tcPr>
          <w:p>
            <w:r/>
            <w:r>
              <w:rPr>
                <w:rFonts w:ascii="Inter" w:hAnsi="Inter" w:cs="Inter"/>
                <w:b w:val="0"/>
                <w:i w:val="0"/>
                <w:color w:val="2D2D2D"/>
                <w:sz w:val="19"/>
              </w:rPr>
              <w:t>Include in general communications, invite to events when relevant to OBC advocacy</w:t>
            </w:r>
          </w:p>
        </w:tc>
      </w:tr>
    </w:tbl>
    <w:p/>
    <w:p>
      <w:pPr>
        <w:pStyle w:val="Heading3"/>
      </w:pPr>
      <w:r>
        <w:rPr>
          <w:rFonts w:ascii="Inter" w:hAnsi="Inter" w:cs="Inter"/>
          <w:b/>
          <w:i w:val="0"/>
          <w:color w:val="2C5F7C"/>
          <w:sz w:val="26"/>
        </w:rPr>
        <w:t>Step 5: Engagement Activities for Key Stakeholders</w:t>
      </w:r>
    </w:p>
    <w:p>
      <w:pPr>
        <w:spacing w:after="120" w:line="276" w:lineRule="auto"/>
      </w:pPr>
      <w:r>
        <w:rPr>
          <w:rFonts w:ascii="Inter" w:hAnsi="Inter" w:cs="Inter"/>
          <w:b w:val="0"/>
          <w:i w:val="0"/>
          <w:color w:val="2D2D2D"/>
          <w:sz w:val="22"/>
        </w:rPr>
        <w:t>For the Quadrant 1 stakeholders:</w:t>
      </w:r>
    </w:p>
    <w:p>
      <w:pPr>
        <w:spacing w:after="120" w:line="276" w:lineRule="auto"/>
      </w:pPr>
      <w:r>
        <w:rPr>
          <w:rFonts w:ascii="Inter" w:hAnsi="Inter" w:cs="Inter"/>
          <w:b w:val="0"/>
          <w:i w:val="0"/>
          <w:color w:val="2D2D2D"/>
          <w:sz w:val="22"/>
        </w:rPr>
      </w:r>
      <w:r>
        <w:rPr>
          <w:rFonts w:ascii="Inter" w:hAnsi="Inter" w:cs="Inter"/>
          <w:b/>
          <w:i w:val="0"/>
          <w:color w:val="2D2D2D"/>
          <w:sz w:val="22"/>
        </w:rPr>
        <w:t>BTA Committee on OBCs:</w:t>
      </w:r>
      <w:r>
        <w:rPr>
          <w:rFonts w:ascii="Inter" w:hAnsi="Inter" w:cs="Inter"/>
          <w:b w:val="0"/>
          <w:i w:val="0"/>
          <w:color w:val="2D2D2D"/>
          <w:sz w:val="22"/>
        </w:rPr>
      </w:r>
    </w:p>
    <w:p>
      <w:pPr>
        <w:pStyle w:val="ListBullet"/>
      </w:pPr>
      <w:r>
        <w:rPr>
          <w:rFonts w:ascii="Inter" w:hAnsi="Inter" w:cs="Inter"/>
          <w:b w:val="0"/>
          <w:i w:val="0"/>
          <w:color w:val="2D2D2D"/>
          <w:sz w:val="22"/>
        </w:rPr>
        <w:t>Submit quarterly written progress reports on all OOBC programs and field activities.</w:t>
      </w:r>
    </w:p>
    <w:p>
      <w:pPr>
        <w:pStyle w:val="ListBullet"/>
      </w:pPr>
      <w:r>
        <w:rPr>
          <w:rFonts w:ascii="Inter" w:hAnsi="Inter" w:cs="Inter"/>
          <w:b w:val="0"/>
          <w:i w:val="0"/>
          <w:color w:val="2D2D2D"/>
          <w:sz w:val="22"/>
        </w:rPr>
        <w:t>Brief the committee chair in person before each parliamentary session on OBC community status and emerging needs.</w:t>
      </w:r>
    </w:p>
    <w:p>
      <w:pPr>
        <w:pStyle w:val="ListBullet"/>
      </w:pPr>
      <w:r>
        <w:rPr>
          <w:rFonts w:ascii="Inter" w:hAnsi="Inter" w:cs="Inter"/>
          <w:b w:val="0"/>
          <w:i w:val="0"/>
          <w:color w:val="2D2D2D"/>
          <w:sz w:val="22"/>
        </w:rPr>
        <w:t>Attend all committee hearings when called.</w:t>
      </w:r>
    </w:p>
    <w:p>
      <w:pPr>
        <w:pStyle w:val="ListBullet"/>
      </w:pPr>
      <w:r>
        <w:rPr>
          <w:rFonts w:ascii="Inter" w:hAnsi="Inter" w:cs="Inter"/>
          <w:b w:val="0"/>
          <w:i w:val="0"/>
          <w:color w:val="2D2D2D"/>
          <w:sz w:val="22"/>
        </w:rPr>
        <w:t>Provide advance copies of OOBC's strategic plan and budget proposals.</w:t>
      </w:r>
    </w:p>
    <w:p>
      <w:pPr>
        <w:pStyle w:val="ListBullet"/>
      </w:pPr>
      <w:r>
        <w:rPr>
          <w:rFonts w:ascii="Inter" w:hAnsi="Inter" w:cs="Inter"/>
          <w:b w:val="0"/>
          <w:i w:val="0"/>
          <w:color w:val="2D2D2D"/>
          <w:sz w:val="22"/>
        </w:rPr>
        <w:t>Designated contact: OOBC Executive Director or designated liaison.</w:t>
      </w:r>
    </w:p>
    <w:p>
      <w:pPr>
        <w:pStyle w:val="ListBullet"/>
      </w:pPr>
      <w:r>
        <w:rPr>
          <w:rFonts w:ascii="Inter" w:hAnsi="Inter" w:cs="Inter"/>
          <w:b w:val="0"/>
          <w:i w:val="0"/>
          <w:color w:val="2D2D2D"/>
          <w:sz w:val="22"/>
        </w:rPr>
        <w:t>Frequency: Quarterly reports, as-needed briefings.</w:t>
      </w:r>
    </w:p>
    <w:p>
      <w:pPr>
        <w:spacing w:after="120" w:line="276" w:lineRule="auto"/>
      </w:pPr>
      <w:r>
        <w:rPr>
          <w:rFonts w:ascii="Inter" w:hAnsi="Inter" w:cs="Inter"/>
          <w:b w:val="0"/>
          <w:i w:val="0"/>
          <w:color w:val="2D2D2D"/>
          <w:sz w:val="22"/>
        </w:rPr>
      </w:r>
      <w:r>
        <w:rPr>
          <w:rFonts w:ascii="Inter" w:hAnsi="Inter" w:cs="Inter"/>
          <w:b/>
          <w:i w:val="0"/>
          <w:color w:val="2D2D2D"/>
          <w:sz w:val="22"/>
        </w:rPr>
        <w:t>Office of the Chief Minister (OCM):</w:t>
      </w:r>
      <w:r>
        <w:rPr>
          <w:rFonts w:ascii="Inter" w:hAnsi="Inter" w:cs="Inter"/>
          <w:b w:val="0"/>
          <w:i w:val="0"/>
          <w:color w:val="2D2D2D"/>
          <w:sz w:val="22"/>
        </w:rPr>
      </w:r>
    </w:p>
    <w:p>
      <w:pPr>
        <w:pStyle w:val="ListBullet"/>
      </w:pPr>
      <w:r>
        <w:rPr>
          <w:rFonts w:ascii="Inter" w:hAnsi="Inter" w:cs="Inter"/>
          <w:b w:val="0"/>
          <w:i w:val="0"/>
          <w:color w:val="2D2D2D"/>
          <w:sz w:val="22"/>
        </w:rPr>
        <w:t>Provide monthly operational updates to the OCM on field activities, LGU coordination, and community concerns.</w:t>
      </w:r>
    </w:p>
    <w:p>
      <w:pPr>
        <w:pStyle w:val="ListBullet"/>
      </w:pPr>
      <w:r>
        <w:rPr>
          <w:rFonts w:ascii="Inter" w:hAnsi="Inter" w:cs="Inter"/>
          <w:b w:val="0"/>
          <w:i w:val="0"/>
          <w:color w:val="2D2D2D"/>
          <w:sz w:val="22"/>
        </w:rPr>
        <w:t>Seek OCM guidance on politically sensitive coordination matters (e.g., LGUs in provinces with complex Bangsamoro-host community dynamics).</w:t>
      </w:r>
    </w:p>
    <w:p>
      <w:pPr>
        <w:pStyle w:val="ListBullet"/>
      </w:pPr>
      <w:r>
        <w:rPr>
          <w:rFonts w:ascii="Inter" w:hAnsi="Inter" w:cs="Inter"/>
          <w:b w:val="0"/>
          <w:i w:val="0"/>
          <w:color w:val="2D2D2D"/>
          <w:sz w:val="22"/>
        </w:rPr>
        <w:t>Coordinate with OCM on inter-governmental communications that require Chief Minister-level engagement.</w:t>
      </w:r>
    </w:p>
    <w:p>
      <w:pPr>
        <w:pStyle w:val="ListBullet"/>
      </w:pPr>
      <w:r>
        <w:rPr>
          <w:rFonts w:ascii="Inter" w:hAnsi="Inter" w:cs="Inter"/>
          <w:b w:val="0"/>
          <w:i w:val="0"/>
          <w:color w:val="2D2D2D"/>
          <w:sz w:val="22"/>
        </w:rPr>
        <w:t>Designated contact: OOBC Executive Director.</w:t>
      </w:r>
    </w:p>
    <w:p>
      <w:pPr>
        <w:pStyle w:val="ListBullet"/>
      </w:pPr>
      <w:r>
        <w:rPr>
          <w:rFonts w:ascii="Inter" w:hAnsi="Inter" w:cs="Inter"/>
          <w:b w:val="0"/>
          <w:i w:val="0"/>
          <w:color w:val="2D2D2D"/>
          <w:sz w:val="22"/>
        </w:rPr>
        <w:t>Frequency: Monthly updates, as-needed coordination.</w:t>
      </w:r>
    </w:p>
    <w:p>
      <w:pPr>
        <w:spacing w:after="120" w:line="276" w:lineRule="auto"/>
      </w:pPr>
      <w:r>
        <w:rPr>
          <w:rFonts w:ascii="Inter" w:hAnsi="Inter" w:cs="Inter"/>
          <w:b w:val="0"/>
          <w:i w:val="0"/>
          <w:color w:val="2D2D2D"/>
          <w:sz w:val="22"/>
        </w:rPr>
      </w:r>
      <w:r>
        <w:rPr>
          <w:rFonts w:ascii="Inter" w:hAnsi="Inter" w:cs="Inter"/>
          <w:b/>
          <w:i w:val="0"/>
          <w:color w:val="2D2D2D"/>
          <w:sz w:val="22"/>
        </w:rPr>
        <w:t>BPDA:</w:t>
      </w:r>
      <w:r>
        <w:rPr>
          <w:rFonts w:ascii="Inter" w:hAnsi="Inter" w:cs="Inter"/>
          <w:b w:val="0"/>
          <w:i w:val="0"/>
          <w:color w:val="2D2D2D"/>
          <w:sz w:val="22"/>
        </w:rPr>
      </w:r>
    </w:p>
    <w:p>
      <w:pPr>
        <w:pStyle w:val="ListBullet"/>
      </w:pPr>
      <w:r>
        <w:rPr>
          <w:rFonts w:ascii="Inter" w:hAnsi="Inter" w:cs="Inter"/>
          <w:b w:val="0"/>
          <w:i w:val="0"/>
          <w:color w:val="2D2D2D"/>
          <w:sz w:val="22"/>
        </w:rPr>
        <w:t>Submit strategic plan for technical review per BPDA timeline.</w:t>
      </w:r>
    </w:p>
    <w:p>
      <w:pPr>
        <w:pStyle w:val="ListBullet"/>
      </w:pPr>
      <w:r>
        <w:rPr>
          <w:rFonts w:ascii="Inter" w:hAnsi="Inter" w:cs="Inter"/>
          <w:b w:val="0"/>
          <w:i w:val="0"/>
          <w:color w:val="2D2D2D"/>
          <w:sz w:val="22"/>
        </w:rPr>
        <w:t>Attend BPDA-organized planning consultations and workshops.</w:t>
      </w:r>
    </w:p>
    <w:p>
      <w:pPr>
        <w:pStyle w:val="ListBullet"/>
      </w:pPr>
      <w:r>
        <w:rPr>
          <w:rFonts w:ascii="Inter" w:hAnsi="Inter" w:cs="Inter"/>
          <w:b w:val="0"/>
          <w:i w:val="0"/>
          <w:color w:val="2D2D2D"/>
          <w:sz w:val="22"/>
        </w:rPr>
        <w:t>Respond to BPDA review comments within 10 working days.</w:t>
      </w:r>
    </w:p>
    <w:p>
      <w:pPr>
        <w:pStyle w:val="ListBullet"/>
      </w:pPr>
      <w:r>
        <w:rPr>
          <w:rFonts w:ascii="Inter" w:hAnsi="Inter" w:cs="Inter"/>
          <w:b w:val="0"/>
          <w:i w:val="0"/>
          <w:color w:val="2D2D2D"/>
          <w:sz w:val="22"/>
        </w:rPr>
        <w:t>Participate in BDIP formulation, ensuring OBC communities are reflected in regional development indicators.</w:t>
      </w:r>
    </w:p>
    <w:p>
      <w:pPr>
        <w:pStyle w:val="ListBullet"/>
      </w:pPr>
      <w:r>
        <w:rPr>
          <w:rFonts w:ascii="Inter" w:hAnsi="Inter" w:cs="Inter"/>
          <w:b w:val="0"/>
          <w:i w:val="0"/>
          <w:color w:val="2D2D2D"/>
          <w:sz w:val="22"/>
        </w:rPr>
        <w:t>Designated contact: OOBC Planning Officer.</w:t>
      </w:r>
    </w:p>
    <w:p>
      <w:pPr>
        <w:pStyle w:val="ListBullet"/>
      </w:pPr>
      <w:r>
        <w:rPr>
          <w:rFonts w:ascii="Inter" w:hAnsi="Inter" w:cs="Inter"/>
          <w:b w:val="0"/>
          <w:i w:val="0"/>
          <w:color w:val="2D2D2D"/>
          <w:sz w:val="22"/>
        </w:rPr>
        <w:t>Frequency: Per BPDA planning calendar.</w:t>
      </w:r>
    </w:p>
    <w:p>
      <w:pPr>
        <w:pStyle w:val="Heading2"/>
      </w:pPr>
      <w:r>
        <w:rPr>
          <w:rFonts w:ascii="Inter" w:hAnsi="Inter" w:cs="Inter"/>
          <w:b/>
          <w:i w:val="0"/>
          <w:color w:val="1B365D"/>
          <w:sz w:val="32"/>
        </w:rPr>
        <w:t>5.5 For Decision-Makers</w:t>
      </w:r>
    </w:p>
    <w:p>
      <w:pPr>
        <w:spacing w:after="120" w:line="276" w:lineRule="auto"/>
        <w:ind w:left="850"/>
      </w:pPr>
      <w:r>
        <w:rPr>
          <w:rFonts w:ascii="Inter" w:hAnsi="Inter" w:cs="Inter"/>
          <w:b w:val="0"/>
          <w:i/>
          <w:color w:val="2D2D2D"/>
          <w:sz w:val="22"/>
        </w:rPr>
      </w:r>
      <w:r>
        <w:rPr>
          <w:rFonts w:ascii="Inter" w:hAnsi="Inter" w:cs="Inter"/>
          <w:b/>
          <w:i w:val="0"/>
          <w:color w:val="2D2D2D"/>
          <w:sz w:val="22"/>
        </w:rPr>
        <w:t>Minister / Executive Director Review</w:t>
      </w:r>
      <w:r>
        <w:rPr>
          <w:rFonts w:ascii="Inter" w:hAnsi="Inter" w:cs="Inter"/>
          <w:b w:val="0"/>
          <w:i/>
          <w:color w:val="2D2D2D"/>
          <w:sz w:val="22"/>
        </w:rPr>
        <w:t xml:space="preserve"> Before finalizing the Stakeholder Register and Engagement Plan, the Minister or Executive Director must review the analysis and confirm four things: </w:t>
      </w:r>
      <w:r>
        <w:rPr>
          <w:rFonts w:ascii="Inter" w:hAnsi="Inter" w:cs="Inter"/>
          <w:b/>
          <w:i w:val="0"/>
          <w:color w:val="2D2D2D"/>
          <w:sz w:val="22"/>
        </w:rPr>
        <w:t>(a) Political completeness.</w:t>
      </w:r>
      <w:r>
        <w:rPr>
          <w:rFonts w:ascii="Inter" w:hAnsi="Inter" w:cs="Inter"/>
          <w:b w:val="0"/>
          <w:i/>
          <w:color w:val="2D2D2D"/>
          <w:sz w:val="22"/>
        </w:rPr>
        <w:t xml:space="preserve"> Are all politically significant stakeholders included? Review the list for completeness in two areas that planning staff often underestimate: - *Parliament.* Your MOA's work will be scrutinized by BTA committee members, district representatives, and Members of Parliament with sector interests. The stakeholder register must include the specific committee(s) with jurisdiction over your MOA, not just "Parliament" as a general entry. - *Traditional leaders.* In BARMM, implementation often depends on the cooperation of Sultanate structures, Ulama councils, and community elders --- especially for programs that affect land, natural resources, cultural heritage, or community welfare. If your stakeholder register does not include traditional and religious leaders in your program areas, it has a significant gap. </w:t>
      </w:r>
      <w:r>
        <w:rPr>
          <w:rFonts w:ascii="Inter" w:hAnsi="Inter" w:cs="Inter"/>
          <w:b/>
          <w:i w:val="0"/>
          <w:color w:val="2D2D2D"/>
          <w:sz w:val="22"/>
        </w:rPr>
        <w:t>(b) Community representation.</w:t>
      </w:r>
      <w:r>
        <w:rPr>
          <w:rFonts w:ascii="Inter" w:hAnsi="Inter" w:cs="Inter"/>
          <w:b w:val="0"/>
          <w:i/>
          <w:color w:val="2D2D2D"/>
          <w:sz w:val="22"/>
        </w:rPr>
        <w:t xml:space="preserve"> Are affected communities --- not just institutional partners --- included? A stakeholder register that lists only government agencies, development partners, and CSOs is incomplete. The people who will receive your services, use your infrastructure, or be regulated by your policies are stakeholders. Indigenous peoples' communities, women and girls, youth, persons with disabilities, and other marginalized groups must be represented. </w:t>
      </w:r>
      <w:r>
        <w:rPr>
          <w:rFonts w:ascii="Inter" w:hAnsi="Inter" w:cs="Inter"/>
          <w:b/>
          <w:i w:val="0"/>
          <w:color w:val="2D2D2D"/>
          <w:sz w:val="22"/>
        </w:rPr>
        <w:t>(c) Opponent recognition.</w:t>
      </w:r>
      <w:r>
        <w:rPr>
          <w:rFonts w:ascii="Inter" w:hAnsi="Inter" w:cs="Inter"/>
          <w:b w:val="0"/>
          <w:i/>
          <w:color w:val="2D2D2D"/>
          <w:sz w:val="22"/>
        </w:rPr>
        <w:t xml:space="preserve"> Are stakeholders who may oppose your programs included? Stakeholder analysis is not a list of allies. It includes critics, competitors, and opponents. A mining company that opposes your environmental regulation is a stakeholder. A CSO that publicly criticizes your MOA's performance is a stakeholder. An LGU that resists an unfunded mandate is a stakeholder. Excluding opponents from the register does not make them disappear. Including them gives you a basis for engagement. </w:t>
      </w:r>
      <w:r>
        <w:rPr>
          <w:rFonts w:ascii="Inter" w:hAnsi="Inter" w:cs="Inter"/>
          <w:b/>
          <w:i w:val="0"/>
          <w:color w:val="2D2D2D"/>
          <w:sz w:val="22"/>
        </w:rPr>
        <w:t>(d) Engagement resourcing.</w:t>
      </w:r>
      <w:r>
        <w:rPr>
          <w:rFonts w:ascii="Inter" w:hAnsi="Inter" w:cs="Inter"/>
          <w:b w:val="0"/>
          <w:i/>
          <w:color w:val="2D2D2D"/>
          <w:sz w:val="22"/>
        </w:rPr>
        <w:t xml:space="preserve"> The engagement activities defined in the register require staff time, travel budget, and institutional attention. The Minister or Executive Director must confirm that the engagement plan is realistic given your MOA's capacity. It is better to engage ten stakeholders well than to list thirty and engage none. Sign off on the Stakeholder Register and Engagement Plan before the planning process moves to Point 5 (Strategy Analysis).</w:t>
      </w:r>
    </w:p>
    <w:p>
      <w:pPr>
        <w:pStyle w:val="Heading2"/>
      </w:pPr>
      <w:r>
        <w:rPr>
          <w:rFonts w:ascii="Inter" w:hAnsi="Inter" w:cs="Inter"/>
          <w:b/>
          <w:i w:val="0"/>
          <w:color w:val="1B365D"/>
          <w:sz w:val="32"/>
        </w:rPr>
        <w:t>5.6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Pitfall 1: Listing only institutional stakeholders.</w:t>
      </w:r>
      <w:r>
        <w:rPr>
          <w:rFonts w:ascii="Inter" w:hAnsi="Inter" w:cs="Inter"/>
          <w:b w:val="0"/>
          <w:i w:val="0"/>
          <w:color w:val="2D2D2D"/>
          <w:sz w:val="22"/>
        </w:rPr>
      </w:r>
    </w:p>
    <w:p>
      <w:pPr>
        <w:spacing w:after="120" w:line="276" w:lineRule="auto"/>
      </w:pPr>
      <w:r>
        <w:rPr>
          <w:rFonts w:ascii="Inter" w:hAnsi="Inter" w:cs="Inter"/>
          <w:b w:val="0"/>
          <w:i w:val="0"/>
          <w:color w:val="2D2D2D"/>
          <w:sz w:val="22"/>
        </w:rPr>
        <w:t>Planning teams instinctively list the organizations they interact with --- other MOAs, development partners, LGUs. They forget the communities and populations that their programs are designed to serve. A health program's stakeholders include patients. An education program's stakeholders include students and parents. An environment program's stakeholders include the farming and fishing communities that depend on natural resources. If your stakeholder register has no entries in Category H (Affected Communities and Beneficiaries), it is incomplete.</w:t>
      </w:r>
    </w:p>
    <w:p>
      <w:pPr>
        <w:spacing w:after="120" w:line="276" w:lineRule="auto"/>
      </w:pPr>
      <w:r>
        <w:rPr>
          <w:rFonts w:ascii="Inter" w:hAnsi="Inter" w:cs="Inter"/>
          <w:b w:val="0"/>
          <w:i w:val="0"/>
          <w:color w:val="2D2D2D"/>
          <w:sz w:val="22"/>
        </w:rPr>
      </w:r>
      <w:r>
        <w:rPr>
          <w:rFonts w:ascii="Inter" w:hAnsi="Inter" w:cs="Inter"/>
          <w:b/>
          <w:i w:val="0"/>
          <w:color w:val="2D2D2D"/>
          <w:sz w:val="22"/>
        </w:rPr>
        <w:t>Pitfall 2: Treating all stakeholders the same.</w:t>
      </w:r>
      <w:r>
        <w:rPr>
          <w:rFonts w:ascii="Inter" w:hAnsi="Inter" w:cs="Inter"/>
          <w:b w:val="0"/>
          <w:i w:val="0"/>
          <w:color w:val="2D2D2D"/>
          <w:sz w:val="22"/>
        </w:rPr>
      </w:r>
    </w:p>
    <w:p>
      <w:pPr>
        <w:spacing w:after="120" w:line="276" w:lineRule="auto"/>
      </w:pPr>
      <w:r>
        <w:rPr>
          <w:rFonts w:ascii="Inter" w:hAnsi="Inter" w:cs="Inter"/>
          <w:b w:val="0"/>
          <w:i w:val="0"/>
          <w:color w:val="2D2D2D"/>
          <w:sz w:val="22"/>
        </w:rPr>
        <w:t>Without a power/interest analysis, planning teams default to one-size-fits-all engagement --- the same meeting invitation to everyone, the same level of communication, the same consultation process. This wastes resources on low-priority stakeholders while underserving high-priority ones. The entire purpose of the matrix is to differentiate your approach. A Quadrant 1 stakeholder gets a fundamentally different engagement strategy than a Quadrant 4 stakeholder.</w:t>
      </w:r>
    </w:p>
    <w:p>
      <w:pPr>
        <w:spacing w:after="120" w:line="276" w:lineRule="auto"/>
      </w:pPr>
      <w:r>
        <w:rPr>
          <w:rFonts w:ascii="Inter" w:hAnsi="Inter" w:cs="Inter"/>
          <w:b w:val="0"/>
          <w:i w:val="0"/>
          <w:color w:val="2D2D2D"/>
          <w:sz w:val="22"/>
        </w:rPr>
      </w:r>
      <w:r>
        <w:rPr>
          <w:rFonts w:ascii="Inter" w:hAnsi="Inter" w:cs="Inter"/>
          <w:b/>
          <w:i w:val="0"/>
          <w:color w:val="2D2D2D"/>
          <w:sz w:val="22"/>
        </w:rPr>
        <w:t>Pitfall 3: Forgetting Parliament.</w:t>
      </w:r>
      <w:r>
        <w:rPr>
          <w:rFonts w:ascii="Inter" w:hAnsi="Inter" w:cs="Inter"/>
          <w:b w:val="0"/>
          <w:i w:val="0"/>
          <w:color w:val="2D2D2D"/>
          <w:sz w:val="22"/>
        </w:rPr>
      </w:r>
    </w:p>
    <w:p>
      <w:pPr>
        <w:spacing w:after="120" w:line="276" w:lineRule="auto"/>
      </w:pPr>
      <w:r>
        <w:rPr>
          <w:rFonts w:ascii="Inter" w:hAnsi="Inter" w:cs="Inter"/>
          <w:b w:val="0"/>
          <w:i w:val="0"/>
          <w:color w:val="2D2D2D"/>
          <w:sz w:val="22"/>
        </w:rPr>
        <w:t>This is the single most common error in BARMM stakeholder analysis. Planning teams focus on the executive branch --- other ministries, LGUs, development partners --- and overlook the BTA Parliament that reviews their budget, conducts oversight, and can summon them to hearings. The BTA committee with jurisdiction over your sector should be in Quadrant 1 of every MOA's matrix. Parliament members from your program areas should be tracked and engaged.</w:t>
      </w:r>
    </w:p>
    <w:p>
      <w:pPr>
        <w:spacing w:after="120" w:line="276" w:lineRule="auto"/>
      </w:pPr>
      <w:r>
        <w:rPr>
          <w:rFonts w:ascii="Inter" w:hAnsi="Inter" w:cs="Inter"/>
          <w:b w:val="0"/>
          <w:i w:val="0"/>
          <w:color w:val="2D2D2D"/>
          <w:sz w:val="22"/>
        </w:rPr>
      </w:r>
      <w:r>
        <w:rPr>
          <w:rFonts w:ascii="Inter" w:hAnsi="Inter" w:cs="Inter"/>
          <w:b/>
          <w:i w:val="0"/>
          <w:color w:val="2D2D2D"/>
          <w:sz w:val="22"/>
        </w:rPr>
        <w:t>Pitfall 4: Ignoring traditional and religious authority structures.</w:t>
      </w:r>
      <w:r>
        <w:rPr>
          <w:rFonts w:ascii="Inter" w:hAnsi="Inter" w:cs="Inter"/>
          <w:b w:val="0"/>
          <w:i w:val="0"/>
          <w:color w:val="2D2D2D"/>
          <w:sz w:val="22"/>
        </w:rPr>
      </w:r>
    </w:p>
    <w:p>
      <w:pPr>
        <w:spacing w:after="120" w:line="276" w:lineRule="auto"/>
      </w:pPr>
      <w:r>
        <w:rPr>
          <w:rFonts w:ascii="Inter" w:hAnsi="Inter" w:cs="Inter"/>
          <w:b w:val="0"/>
          <w:i w:val="0"/>
          <w:color w:val="2D2D2D"/>
          <w:sz w:val="22"/>
        </w:rPr>
        <w:t>BARMM's governance landscape includes institutions that do not appear on any government organizational chart but exercise real influence over community behavior and program acceptance. A watershed management program that does not engage the traditional leaders in the watershed area will struggle to gain community cooperation. A public health program that does not engage Ulama leaders may face resistance on issues that intersect with religious norms. These are not cultural courtesies. They are strategic necessities.</w:t>
      </w:r>
    </w:p>
    <w:p>
      <w:pPr>
        <w:spacing w:after="120" w:line="276" w:lineRule="auto"/>
      </w:pPr>
      <w:r>
        <w:rPr>
          <w:rFonts w:ascii="Inter" w:hAnsi="Inter" w:cs="Inter"/>
          <w:b w:val="0"/>
          <w:i w:val="0"/>
          <w:color w:val="2D2D2D"/>
          <w:sz w:val="22"/>
        </w:rPr>
      </w:r>
      <w:r>
        <w:rPr>
          <w:rFonts w:ascii="Inter" w:hAnsi="Inter" w:cs="Inter"/>
          <w:b/>
          <w:i w:val="0"/>
          <w:color w:val="2D2D2D"/>
          <w:sz w:val="22"/>
        </w:rPr>
        <w:t>Pitfall 5: Not updating stakeholder analysis when the landscape changes.</w:t>
      </w:r>
      <w:r>
        <w:rPr>
          <w:rFonts w:ascii="Inter" w:hAnsi="Inter" w:cs="Inter"/>
          <w:b w:val="0"/>
          <w:i w:val="0"/>
          <w:color w:val="2D2D2D"/>
          <w:sz w:val="22"/>
        </w:rPr>
      </w:r>
    </w:p>
    <w:p>
      <w:pPr>
        <w:spacing w:after="120" w:line="276" w:lineRule="auto"/>
      </w:pPr>
      <w:r>
        <w:rPr>
          <w:rFonts w:ascii="Inter" w:hAnsi="Inter" w:cs="Inter"/>
          <w:b w:val="0"/>
          <w:i w:val="0"/>
          <w:color w:val="2D2D2D"/>
          <w:sz w:val="22"/>
        </w:rPr>
        <w:t>Your stakeholder analysis reflects a specific moment in time. Elections change LGU leadership. Parliamentary reshuffling changes committee compositions. Development partners open and close programs. CSO priorities shift. A stakeholder analysis completed in January may be outdated by June. Build a review trigger into your planning calendar --- update the register at least annually and whenever a significant leadership or institutional change occurs.</w:t>
      </w:r>
    </w:p>
    <w:p>
      <w:pPr>
        <w:spacing w:after="120" w:line="276" w:lineRule="auto"/>
      </w:pPr>
      <w:r>
        <w:rPr>
          <w:rFonts w:ascii="Inter" w:hAnsi="Inter" w:cs="Inter"/>
          <w:b w:val="0"/>
          <w:i w:val="0"/>
          <w:color w:val="2D2D2D"/>
          <w:sz w:val="22"/>
        </w:rPr>
      </w:r>
      <w:r>
        <w:rPr>
          <w:rFonts w:ascii="Inter" w:hAnsi="Inter" w:cs="Inter"/>
          <w:b/>
          <w:i w:val="0"/>
          <w:color w:val="2D2D2D"/>
          <w:sz w:val="22"/>
        </w:rPr>
        <w:t>Pitfall 6: Confusing "stakeholder" with "partner."</w:t>
      </w:r>
      <w:r>
        <w:rPr>
          <w:rFonts w:ascii="Inter" w:hAnsi="Inter" w:cs="Inter"/>
          <w:b w:val="0"/>
          <w:i w:val="0"/>
          <w:color w:val="2D2D2D"/>
          <w:sz w:val="22"/>
        </w:rPr>
      </w:r>
    </w:p>
    <w:p>
      <w:pPr>
        <w:spacing w:after="120" w:line="276" w:lineRule="auto"/>
      </w:pPr>
      <w:r>
        <w:rPr>
          <w:rFonts w:ascii="Inter" w:hAnsi="Inter" w:cs="Inter"/>
          <w:b w:val="0"/>
          <w:i w:val="0"/>
          <w:color w:val="2D2D2D"/>
          <w:sz w:val="22"/>
        </w:rPr>
        <w:t>Not all stakeholders support your MOA. Some oppose your programs. Some compete for the same resources. Some want your MOA to do something entirely different. These actors are still stakeholders --- they have the power or the interest (or both) to affect your work. A stakeholder register that lists only allies and partners gives you a dangerously incomplete picture of the landscape. Include critics, competitors, and opponents, and design engagement strategies for them too.</w:t>
      </w:r>
    </w:p>
    <w:p>
      <w:pPr>
        <w:pStyle w:val="Heading2"/>
      </w:pPr>
      <w:r>
        <w:rPr>
          <w:rFonts w:ascii="Inter" w:hAnsi="Inter" w:cs="Inter"/>
          <w:b/>
          <w:i w:val="0"/>
          <w:color w:val="1B365D"/>
          <w:sz w:val="32"/>
        </w:rPr>
        <w:t>5.7 Template: Stakeholder Register and Engagement Plan</w:t>
      </w:r>
    </w:p>
    <w:p>
      <w:pPr>
        <w:spacing w:after="120" w:line="276" w:lineRule="auto"/>
      </w:pPr>
      <w:r>
        <w:rPr>
          <w:rFonts w:ascii="Inter" w:hAnsi="Inter" w:cs="Inter"/>
          <w:b w:val="0"/>
          <w:i w:val="0"/>
          <w:color w:val="2D2D2D"/>
          <w:sz w:val="22"/>
        </w:rPr>
        <w:t>Use the following table format to document your stakeholder analysis. Each row represents one stakeholder. The first four rows show the OOBC worked example; blank rows follow for your MOA.</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B365D"/>
          </w:tcPr>
          <w:p>
            <w:r/>
            <w:r>
              <w:rPr>
                <w:rFonts w:ascii="Inter" w:hAnsi="Inter" w:cs="Inter"/>
                <w:b/>
                <w:i w:val="0"/>
                <w:color w:val="FFFFFF"/>
                <w:sz w:val="19"/>
              </w:rPr>
              <w:t>Stakeholder</w:t>
            </w:r>
          </w:p>
        </w:tc>
        <w:tc>
          <w:tcPr>
            <w:tcW w:type="dxa" w:w="1040"/>
            <w:shd w:fill="1B365D"/>
          </w:tcPr>
          <w:p>
            <w:r/>
            <w:r>
              <w:rPr>
                <w:rFonts w:ascii="Inter" w:hAnsi="Inter" w:cs="Inter"/>
                <w:b/>
                <w:i w:val="0"/>
                <w:color w:val="FFFFFF"/>
                <w:sz w:val="19"/>
              </w:rPr>
              <w:t>Category</w:t>
            </w:r>
          </w:p>
        </w:tc>
        <w:tc>
          <w:tcPr>
            <w:tcW w:type="dxa" w:w="1040"/>
            <w:shd w:fill="1B365D"/>
          </w:tcPr>
          <w:p>
            <w:r/>
            <w:r>
              <w:rPr>
                <w:rFonts w:ascii="Inter" w:hAnsi="Inter" w:cs="Inter"/>
                <w:b/>
                <w:i w:val="0"/>
                <w:color w:val="FFFFFF"/>
                <w:sz w:val="19"/>
              </w:rPr>
              <w:t>Power (H/M/L)</w:t>
            </w:r>
          </w:p>
        </w:tc>
        <w:tc>
          <w:tcPr>
            <w:tcW w:type="dxa" w:w="1040"/>
            <w:shd w:fill="1B365D"/>
          </w:tcPr>
          <w:p>
            <w:r/>
            <w:r>
              <w:rPr>
                <w:rFonts w:ascii="Inter" w:hAnsi="Inter" w:cs="Inter"/>
                <w:b/>
                <w:i w:val="0"/>
                <w:color w:val="FFFFFF"/>
                <w:sz w:val="19"/>
              </w:rPr>
              <w:t>Interest (H/M/L)</w:t>
            </w:r>
          </w:p>
        </w:tc>
        <w:tc>
          <w:tcPr>
            <w:tcW w:type="dxa" w:w="1040"/>
            <w:shd w:fill="1B365D"/>
          </w:tcPr>
          <w:p>
            <w:r/>
            <w:r>
              <w:rPr>
                <w:rFonts w:ascii="Inter" w:hAnsi="Inter" w:cs="Inter"/>
                <w:b/>
                <w:i w:val="0"/>
                <w:color w:val="FFFFFF"/>
                <w:sz w:val="19"/>
              </w:rPr>
              <w:t>Quadrant</w:t>
            </w:r>
          </w:p>
        </w:tc>
        <w:tc>
          <w:tcPr>
            <w:tcW w:type="dxa" w:w="1040"/>
            <w:shd w:fill="1B365D"/>
          </w:tcPr>
          <w:p>
            <w:r/>
            <w:r>
              <w:rPr>
                <w:rFonts w:ascii="Inter" w:hAnsi="Inter" w:cs="Inter"/>
                <w:b/>
                <w:i w:val="0"/>
                <w:color w:val="FFFFFF"/>
                <w:sz w:val="19"/>
              </w:rPr>
              <w:t>Engagement Level</w:t>
            </w:r>
          </w:p>
        </w:tc>
        <w:tc>
          <w:tcPr>
            <w:tcW w:type="dxa" w:w="1040"/>
            <w:shd w:fill="1B365D"/>
          </w:tcPr>
          <w:p>
            <w:r/>
            <w:r>
              <w:rPr>
                <w:rFonts w:ascii="Inter" w:hAnsi="Inter" w:cs="Inter"/>
                <w:b/>
                <w:i w:val="0"/>
                <w:color w:val="FFFFFF"/>
                <w:sz w:val="19"/>
              </w:rPr>
              <w:t>Engagement Activities</w:t>
            </w:r>
          </w:p>
        </w:tc>
        <w:tc>
          <w:tcPr>
            <w:tcW w:type="dxa" w:w="1040"/>
            <w:shd w:fill="1B365D"/>
          </w:tcPr>
          <w:p>
            <w:r/>
            <w:r>
              <w:rPr>
                <w:rFonts w:ascii="Inter" w:hAnsi="Inter" w:cs="Inter"/>
                <w:b/>
                <w:i w:val="0"/>
                <w:color w:val="FFFFFF"/>
                <w:sz w:val="19"/>
              </w:rPr>
              <w:t>Key Contact</w:t>
            </w:r>
          </w:p>
        </w:tc>
        <w:tc>
          <w:tcPr>
            <w:tcW w:type="dxa" w:w="1040"/>
            <w:shd w:fill="1B365D"/>
          </w:tcPr>
          <w:p>
            <w:r/>
            <w:r>
              <w:rPr>
                <w:rFonts w:ascii="Inter" w:hAnsi="Inter" w:cs="Inter"/>
                <w:b/>
                <w:i w:val="0"/>
                <w:color w:val="FFFFFF"/>
                <w:sz w:val="19"/>
              </w:rPr>
              <w:t>Frequency</w:t>
            </w:r>
          </w:p>
        </w:tc>
      </w:tr>
      <w:tr>
        <w:tc>
          <w:tcPr>
            <w:tcW w:type="dxa" w:w="1040"/>
          </w:tcPr>
          <w:p>
            <w:r/>
            <w:r>
              <w:rPr>
                <w:rFonts w:ascii="Inter" w:hAnsi="Inter" w:cs="Inter"/>
                <w:b w:val="0"/>
                <w:i w:val="0"/>
                <w:color w:val="2D2D2D"/>
                <w:sz w:val="19"/>
              </w:rPr>
              <w:t>BTA Committee on Other Bangsamoro Communities</w:t>
            </w:r>
          </w:p>
        </w:tc>
        <w:tc>
          <w:tcPr>
            <w:tcW w:type="dxa" w:w="1040"/>
          </w:tcPr>
          <w:p>
            <w:r/>
            <w:r>
              <w:rPr>
                <w:rFonts w:ascii="Inter" w:hAnsi="Inter" w:cs="Inter"/>
                <w:b w:val="0"/>
                <w:i w:val="0"/>
                <w:color w:val="2D2D2D"/>
                <w:sz w:val="19"/>
              </w:rPr>
              <w:t>A: Parliament</w:t>
            </w:r>
          </w:p>
        </w:tc>
        <w:tc>
          <w:tcPr>
            <w:tcW w:type="dxa" w:w="1040"/>
          </w:tcPr>
          <w:p>
            <w:r/>
            <w:r>
              <w:rPr>
                <w:rFonts w:ascii="Inter" w:hAnsi="Inter" w:cs="Inter"/>
                <w:b w:val="0"/>
                <w:i w:val="0"/>
                <w:color w:val="2D2D2D"/>
                <w:sz w:val="19"/>
              </w:rPr>
              <w:t>H</w:t>
            </w:r>
          </w:p>
        </w:tc>
        <w:tc>
          <w:tcPr>
            <w:tcW w:type="dxa" w:w="1040"/>
          </w:tcPr>
          <w:p>
            <w:r/>
            <w:r>
              <w:rPr>
                <w:rFonts w:ascii="Inter" w:hAnsi="Inter" w:cs="Inter"/>
                <w:b w:val="0"/>
                <w:i w:val="0"/>
                <w:color w:val="2D2D2D"/>
                <w:sz w:val="19"/>
              </w:rPr>
              <w:t>H</w:t>
            </w:r>
          </w:p>
        </w:tc>
        <w:tc>
          <w:tcPr>
            <w:tcW w:type="dxa" w:w="1040"/>
          </w:tcPr>
          <w:p>
            <w:r/>
            <w:r>
              <w:rPr>
                <w:rFonts w:ascii="Inter" w:hAnsi="Inter" w:cs="Inter"/>
                <w:b w:val="0"/>
                <w:i w:val="0"/>
                <w:color w:val="2D2D2D"/>
                <w:sz w:val="19"/>
              </w:rPr>
              <w:t>Q1: Manage Closely</w:t>
            </w:r>
          </w:p>
        </w:tc>
        <w:tc>
          <w:tcPr>
            <w:tcW w:type="dxa" w:w="1040"/>
          </w:tcPr>
          <w:p>
            <w:r/>
            <w:r>
              <w:rPr>
                <w:rFonts w:ascii="Inter" w:hAnsi="Inter" w:cs="Inter"/>
                <w:b w:val="0"/>
                <w:i w:val="0"/>
                <w:color w:val="2D2D2D"/>
                <w:sz w:val="19"/>
              </w:rPr>
              <w:t>Collaborate</w:t>
            </w:r>
          </w:p>
        </w:tc>
        <w:tc>
          <w:tcPr>
            <w:tcW w:type="dxa" w:w="1040"/>
          </w:tcPr>
          <w:p>
            <w:r/>
            <w:r>
              <w:rPr>
                <w:rFonts w:ascii="Inter" w:hAnsi="Inter" w:cs="Inter"/>
                <w:b w:val="0"/>
                <w:i w:val="0"/>
                <w:color w:val="2D2D2D"/>
                <w:sz w:val="19"/>
              </w:rPr>
              <w:t>Quarterly progress reports, pre-session briefings on OBC community status, committee hearing attendance</w:t>
            </w:r>
          </w:p>
        </w:tc>
        <w:tc>
          <w:tcPr>
            <w:tcW w:type="dxa" w:w="1040"/>
          </w:tcPr>
          <w:p>
            <w:r/>
            <w:r>
              <w:rPr>
                <w:rFonts w:ascii="Inter" w:hAnsi="Inter" w:cs="Inter"/>
                <w:b w:val="0"/>
                <w:i w:val="0"/>
                <w:color w:val="2D2D2D"/>
                <w:sz w:val="19"/>
              </w:rPr>
              <w:t>Committee Chair (via OOBC Executive Director)</w:t>
            </w:r>
          </w:p>
        </w:tc>
        <w:tc>
          <w:tcPr>
            <w:tcW w:type="dxa" w:w="1040"/>
          </w:tcPr>
          <w:p>
            <w:r/>
            <w:r>
              <w:rPr>
                <w:rFonts w:ascii="Inter" w:hAnsi="Inter" w:cs="Inter"/>
                <w:b w:val="0"/>
                <w:i w:val="0"/>
                <w:color w:val="2D2D2D"/>
                <w:sz w:val="19"/>
              </w:rPr>
              <w:t>Quarterly + as needed</w:t>
            </w:r>
          </w:p>
        </w:tc>
      </w:tr>
      <w:tr>
        <w:tc>
          <w:tcPr>
            <w:tcW w:type="dxa" w:w="1040"/>
            <w:shd w:fill="F0F3F6"/>
          </w:tcPr>
          <w:p>
            <w:r/>
            <w:r>
              <w:rPr>
                <w:rFonts w:ascii="Inter" w:hAnsi="Inter" w:cs="Inter"/>
                <w:b w:val="0"/>
                <w:i w:val="0"/>
                <w:color w:val="2D2D2D"/>
                <w:sz w:val="19"/>
              </w:rPr>
              <w:t>Office of the Chief Minister (OCM)</w:t>
            </w:r>
          </w:p>
        </w:tc>
        <w:tc>
          <w:tcPr>
            <w:tcW w:type="dxa" w:w="1040"/>
            <w:shd w:fill="F0F3F6"/>
          </w:tcPr>
          <w:p>
            <w:r/>
            <w:r>
              <w:rPr>
                <w:rFonts w:ascii="Inter" w:hAnsi="Inter" w:cs="Inter"/>
                <w:b w:val="0"/>
                <w:i w:val="0"/>
                <w:color w:val="2D2D2D"/>
                <w:sz w:val="19"/>
              </w:rPr>
              <w:t>B: Other MOAs</w:t>
            </w:r>
          </w:p>
        </w:tc>
        <w:tc>
          <w:tcPr>
            <w:tcW w:type="dxa" w:w="1040"/>
            <w:shd w:fill="F0F3F6"/>
          </w:tcPr>
          <w:p>
            <w:r/>
            <w:r>
              <w:rPr>
                <w:rFonts w:ascii="Inter" w:hAnsi="Inter" w:cs="Inter"/>
                <w:b w:val="0"/>
                <w:i w:val="0"/>
                <w:color w:val="2D2D2D"/>
                <w:sz w:val="19"/>
              </w:rPr>
              <w:t>H</w:t>
            </w:r>
          </w:p>
        </w:tc>
        <w:tc>
          <w:tcPr>
            <w:tcW w:type="dxa" w:w="1040"/>
            <w:shd w:fill="F0F3F6"/>
          </w:tcPr>
          <w:p>
            <w:r/>
            <w:r>
              <w:rPr>
                <w:rFonts w:ascii="Inter" w:hAnsi="Inter" w:cs="Inter"/>
                <w:b w:val="0"/>
                <w:i w:val="0"/>
                <w:color w:val="2D2D2D"/>
                <w:sz w:val="19"/>
              </w:rPr>
              <w:t>H</w:t>
            </w:r>
          </w:p>
        </w:tc>
        <w:tc>
          <w:tcPr>
            <w:tcW w:type="dxa" w:w="1040"/>
            <w:shd w:fill="F0F3F6"/>
          </w:tcPr>
          <w:p>
            <w:r/>
            <w:r>
              <w:rPr>
                <w:rFonts w:ascii="Inter" w:hAnsi="Inter" w:cs="Inter"/>
                <w:b w:val="0"/>
                <w:i w:val="0"/>
                <w:color w:val="2D2D2D"/>
                <w:sz w:val="19"/>
              </w:rPr>
              <w:t>Q1: Manage Closely</w:t>
            </w:r>
          </w:p>
        </w:tc>
        <w:tc>
          <w:tcPr>
            <w:tcW w:type="dxa" w:w="1040"/>
            <w:shd w:fill="F0F3F6"/>
          </w:tcPr>
          <w:p>
            <w:r/>
            <w:r>
              <w:rPr>
                <w:rFonts w:ascii="Inter" w:hAnsi="Inter" w:cs="Inter"/>
                <w:b w:val="0"/>
                <w:i w:val="0"/>
                <w:color w:val="2D2D2D"/>
                <w:sz w:val="19"/>
              </w:rPr>
              <w:t>Collaborate</w:t>
            </w:r>
          </w:p>
        </w:tc>
        <w:tc>
          <w:tcPr>
            <w:tcW w:type="dxa" w:w="1040"/>
            <w:shd w:fill="F0F3F6"/>
          </w:tcPr>
          <w:p>
            <w:r/>
            <w:r>
              <w:rPr>
                <w:rFonts w:ascii="Inter" w:hAnsi="Inter" w:cs="Inter"/>
                <w:b w:val="0"/>
                <w:i w:val="0"/>
                <w:color w:val="2D2D2D"/>
                <w:sz w:val="19"/>
              </w:rPr>
              <w:t>Monthly operational updates, coordination on inter-governmental communications, guidance on sensitive LGU engagement</w:t>
            </w:r>
          </w:p>
        </w:tc>
        <w:tc>
          <w:tcPr>
            <w:tcW w:type="dxa" w:w="1040"/>
            <w:shd w:fill="F0F3F6"/>
          </w:tcPr>
          <w:p>
            <w:r/>
            <w:r>
              <w:rPr>
                <w:rFonts w:ascii="Inter" w:hAnsi="Inter" w:cs="Inter"/>
                <w:b w:val="0"/>
                <w:i w:val="0"/>
                <w:color w:val="2D2D2D"/>
                <w:sz w:val="19"/>
              </w:rPr>
              <w:t>OCM Chief of Staff</w:t>
            </w:r>
          </w:p>
        </w:tc>
        <w:tc>
          <w:tcPr>
            <w:tcW w:type="dxa" w:w="1040"/>
            <w:shd w:fill="F0F3F6"/>
          </w:tcPr>
          <w:p>
            <w:r/>
            <w:r>
              <w:rPr>
                <w:rFonts w:ascii="Inter" w:hAnsi="Inter" w:cs="Inter"/>
                <w:b w:val="0"/>
                <w:i w:val="0"/>
                <w:color w:val="2D2D2D"/>
                <w:sz w:val="19"/>
              </w:rPr>
              <w:t>Monthly + as needed</w:t>
            </w:r>
          </w:p>
        </w:tc>
      </w:tr>
      <w:tr>
        <w:tc>
          <w:tcPr>
            <w:tcW w:type="dxa" w:w="1040"/>
          </w:tcPr>
          <w:p>
            <w:r/>
            <w:r>
              <w:rPr>
                <w:rFonts w:ascii="Inter" w:hAnsi="Inter" w:cs="Inter"/>
                <w:b w:val="0"/>
                <w:i w:val="0"/>
                <w:color w:val="2D2D2D"/>
                <w:sz w:val="19"/>
              </w:rPr>
              <w:t>LGUs in Caraga Region (host LGUs with OBC populations)</w:t>
            </w:r>
          </w:p>
        </w:tc>
        <w:tc>
          <w:tcPr>
            <w:tcW w:type="dxa" w:w="1040"/>
          </w:tcPr>
          <w:p>
            <w:r/>
            <w:r>
              <w:rPr>
                <w:rFonts w:ascii="Inter" w:hAnsi="Inter" w:cs="Inter"/>
                <w:b w:val="0"/>
                <w:i w:val="0"/>
                <w:color w:val="2D2D2D"/>
                <w:sz w:val="19"/>
              </w:rPr>
              <w:t>C: LGUs</w:t>
            </w:r>
          </w:p>
        </w:tc>
        <w:tc>
          <w:tcPr>
            <w:tcW w:type="dxa" w:w="1040"/>
          </w:tcPr>
          <w:p>
            <w:r/>
            <w:r>
              <w:rPr>
                <w:rFonts w:ascii="Inter" w:hAnsi="Inter" w:cs="Inter"/>
                <w:b w:val="0"/>
                <w:i w:val="0"/>
                <w:color w:val="2D2D2D"/>
                <w:sz w:val="19"/>
              </w:rPr>
              <w:t>M</w:t>
            </w:r>
          </w:p>
        </w:tc>
        <w:tc>
          <w:tcPr>
            <w:tcW w:type="dxa" w:w="1040"/>
          </w:tcPr>
          <w:p>
            <w:r/>
            <w:r>
              <w:rPr>
                <w:rFonts w:ascii="Inter" w:hAnsi="Inter" w:cs="Inter"/>
                <w:b w:val="0"/>
                <w:i w:val="0"/>
                <w:color w:val="2D2D2D"/>
                <w:sz w:val="19"/>
              </w:rPr>
              <w:t>H</w:t>
            </w:r>
          </w:p>
        </w:tc>
        <w:tc>
          <w:tcPr>
            <w:tcW w:type="dxa" w:w="1040"/>
          </w:tcPr>
          <w:p>
            <w:r/>
            <w:r>
              <w:rPr>
                <w:rFonts w:ascii="Inter" w:hAnsi="Inter" w:cs="Inter"/>
                <w:b w:val="0"/>
                <w:i w:val="0"/>
                <w:color w:val="2D2D2D"/>
                <w:sz w:val="19"/>
              </w:rPr>
              <w:t>Q3: Keep Informed</w:t>
            </w:r>
          </w:p>
        </w:tc>
        <w:tc>
          <w:tcPr>
            <w:tcW w:type="dxa" w:w="1040"/>
          </w:tcPr>
          <w:p>
            <w:r/>
            <w:r>
              <w:rPr>
                <w:rFonts w:ascii="Inter" w:hAnsi="Inter" w:cs="Inter"/>
                <w:b w:val="0"/>
                <w:i w:val="0"/>
                <w:color w:val="2D2D2D"/>
                <w:sz w:val="19"/>
              </w:rPr>
              <w:t>Involve</w:t>
            </w:r>
          </w:p>
        </w:tc>
        <w:tc>
          <w:tcPr>
            <w:tcW w:type="dxa" w:w="1040"/>
          </w:tcPr>
          <w:p>
            <w:r/>
            <w:r>
              <w:rPr>
                <w:rFonts w:ascii="Inter" w:hAnsi="Inter" w:cs="Inter"/>
                <w:b w:val="0"/>
                <w:i w:val="0"/>
                <w:color w:val="2D2D2D"/>
                <w:sz w:val="19"/>
              </w:rPr>
              <w:t>Coordination meetings on OBC community needs, joint community profiling, MOAs for service extension</w:t>
            </w:r>
          </w:p>
        </w:tc>
        <w:tc>
          <w:tcPr>
            <w:tcW w:type="dxa" w:w="1040"/>
          </w:tcPr>
          <w:p>
            <w:r/>
            <w:r>
              <w:rPr>
                <w:rFonts w:ascii="Inter" w:hAnsi="Inter" w:cs="Inter"/>
                <w:b w:val="0"/>
                <w:i w:val="0"/>
                <w:color w:val="2D2D2D"/>
                <w:sz w:val="19"/>
              </w:rPr>
              <w:t>Provincial/Municipal Planning Officers</w:t>
            </w:r>
          </w:p>
        </w:tc>
        <w:tc>
          <w:tcPr>
            <w:tcW w:type="dxa" w:w="1040"/>
          </w:tcPr>
          <w:p>
            <w:r/>
            <w:r>
              <w:rPr>
                <w:rFonts w:ascii="Inter" w:hAnsi="Inter" w:cs="Inter"/>
                <w:b w:val="0"/>
                <w:i w:val="0"/>
                <w:color w:val="2D2D2D"/>
                <w:sz w:val="19"/>
              </w:rPr>
              <w:t>Biannual + during field visits</w:t>
            </w:r>
          </w:p>
        </w:tc>
      </w:tr>
      <w:tr>
        <w:tc>
          <w:tcPr>
            <w:tcW w:type="dxa" w:w="1040"/>
            <w:shd w:fill="F0F3F6"/>
          </w:tcPr>
          <w:p>
            <w:r/>
            <w:r>
              <w:rPr>
                <w:rFonts w:ascii="Inter" w:hAnsi="Inter" w:cs="Inter"/>
                <w:b w:val="0"/>
                <w:i w:val="0"/>
                <w:color w:val="2D2D2D"/>
                <w:sz w:val="19"/>
              </w:rPr>
              <w:t>Bangsamoro communities outside BARMM (primary beneficiaries)</w:t>
            </w:r>
          </w:p>
        </w:tc>
        <w:tc>
          <w:tcPr>
            <w:tcW w:type="dxa" w:w="1040"/>
            <w:shd w:fill="F0F3F6"/>
          </w:tcPr>
          <w:p>
            <w:r/>
            <w:r>
              <w:rPr>
                <w:rFonts w:ascii="Inter" w:hAnsi="Inter" w:cs="Inter"/>
                <w:b w:val="0"/>
                <w:i w:val="0"/>
                <w:color w:val="2D2D2D"/>
                <w:sz w:val="19"/>
              </w:rPr>
              <w:t>H: Communities</w:t>
            </w:r>
          </w:p>
        </w:tc>
        <w:tc>
          <w:tcPr>
            <w:tcW w:type="dxa" w:w="1040"/>
            <w:shd w:fill="F0F3F6"/>
          </w:tcPr>
          <w:p>
            <w:r/>
            <w:r>
              <w:rPr>
                <w:rFonts w:ascii="Inter" w:hAnsi="Inter" w:cs="Inter"/>
                <w:b w:val="0"/>
                <w:i w:val="0"/>
                <w:color w:val="2D2D2D"/>
                <w:sz w:val="19"/>
              </w:rPr>
              <w:t>L</w:t>
            </w:r>
          </w:p>
        </w:tc>
        <w:tc>
          <w:tcPr>
            <w:tcW w:type="dxa" w:w="1040"/>
            <w:shd w:fill="F0F3F6"/>
          </w:tcPr>
          <w:p>
            <w:r/>
            <w:r>
              <w:rPr>
                <w:rFonts w:ascii="Inter" w:hAnsi="Inter" w:cs="Inter"/>
                <w:b w:val="0"/>
                <w:i w:val="0"/>
                <w:color w:val="2D2D2D"/>
                <w:sz w:val="19"/>
              </w:rPr>
              <w:t>H</w:t>
            </w:r>
          </w:p>
        </w:tc>
        <w:tc>
          <w:tcPr>
            <w:tcW w:type="dxa" w:w="1040"/>
            <w:shd w:fill="F0F3F6"/>
          </w:tcPr>
          <w:p>
            <w:r/>
            <w:r>
              <w:rPr>
                <w:rFonts w:ascii="Inter" w:hAnsi="Inter" w:cs="Inter"/>
                <w:b w:val="0"/>
                <w:i w:val="0"/>
                <w:color w:val="2D2D2D"/>
                <w:sz w:val="19"/>
              </w:rPr>
              <w:t>Q3: Keep Informed</w:t>
            </w:r>
          </w:p>
        </w:tc>
        <w:tc>
          <w:tcPr>
            <w:tcW w:type="dxa" w:w="1040"/>
            <w:shd w:fill="F0F3F6"/>
          </w:tcPr>
          <w:p>
            <w:r/>
            <w:r>
              <w:rPr>
                <w:rFonts w:ascii="Inter" w:hAnsi="Inter" w:cs="Inter"/>
                <w:b w:val="0"/>
                <w:i w:val="0"/>
                <w:color w:val="2D2D2D"/>
                <w:sz w:val="19"/>
              </w:rPr>
              <w:t>Involve</w:t>
            </w:r>
          </w:p>
        </w:tc>
        <w:tc>
          <w:tcPr>
            <w:tcW w:type="dxa" w:w="1040"/>
            <w:shd w:fill="F0F3F6"/>
          </w:tcPr>
          <w:p>
            <w:r/>
            <w:r>
              <w:rPr>
                <w:rFonts w:ascii="Inter" w:hAnsi="Inter" w:cs="Inter"/>
                <w:b w:val="0"/>
                <w:i w:val="0"/>
                <w:color w:val="2D2D2D"/>
                <w:sz w:val="19"/>
              </w:rPr>
              <w:t>Community assemblies during plan formulation, community profiling consultations, feedback mechanisms, representation in stakeholder workshops</w:t>
            </w:r>
          </w:p>
        </w:tc>
        <w:tc>
          <w:tcPr>
            <w:tcW w:type="dxa" w:w="1040"/>
            <w:shd w:fill="F0F3F6"/>
          </w:tcPr>
          <w:p>
            <w:r/>
            <w:r>
              <w:rPr>
                <w:rFonts w:ascii="Inter" w:hAnsi="Inter" w:cs="Inter"/>
                <w:b w:val="0"/>
                <w:i w:val="0"/>
                <w:color w:val="2D2D2D"/>
                <w:sz w:val="19"/>
              </w:rPr>
              <w:t>OOBC field coordinators + community leaders</w:t>
            </w:r>
          </w:p>
        </w:tc>
        <w:tc>
          <w:tcPr>
            <w:tcW w:type="dxa" w:w="1040"/>
            <w:shd w:fill="F0F3F6"/>
          </w:tcPr>
          <w:p>
            <w:r/>
            <w:r>
              <w:rPr>
                <w:rFonts w:ascii="Inter" w:hAnsi="Inter" w:cs="Inter"/>
                <w:b w:val="0"/>
                <w:i w:val="0"/>
                <w:color w:val="2D2D2D"/>
                <w:sz w:val="19"/>
              </w:rPr>
              <w:t>Biannual + during planning</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Column definitions: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Stakeholder:</w:t>
      </w:r>
      <w:r>
        <w:rPr>
          <w:rFonts w:ascii="Inter" w:hAnsi="Inter" w:cs="Inter"/>
          <w:b w:val="0"/>
          <w:i w:val="0"/>
          <w:color w:val="2D2D2D"/>
          <w:sz w:val="22"/>
        </w:rPr>
        <w:t xml:space="preserve"> The full name of the individual, group, organization, or institution.</w:t>
      </w:r>
    </w:p>
    <w:p>
      <w:pPr>
        <w:pStyle w:val="ListBullet"/>
      </w:pPr>
      <w:r>
        <w:rPr>
          <w:rFonts w:ascii="Inter" w:hAnsi="Inter" w:cs="Inter"/>
          <w:b w:val="0"/>
          <w:i w:val="0"/>
          <w:color w:val="2D2D2D"/>
          <w:sz w:val="22"/>
        </w:rPr>
      </w:r>
      <w:r>
        <w:rPr>
          <w:rFonts w:ascii="Inter" w:hAnsi="Inter" w:cs="Inter"/>
          <w:b/>
          <w:i w:val="0"/>
          <w:color w:val="2D2D2D"/>
          <w:sz w:val="22"/>
        </w:rPr>
        <w:t>Category:</w:t>
      </w:r>
      <w:r>
        <w:rPr>
          <w:rFonts w:ascii="Inter" w:hAnsi="Inter" w:cs="Inter"/>
          <w:b w:val="0"/>
          <w:i w:val="0"/>
          <w:color w:val="2D2D2D"/>
          <w:sz w:val="22"/>
        </w:rPr>
        <w:t xml:space="preserve"> One of the eight BARMM categories (A through H) from Section 5.2.</w:t>
      </w:r>
    </w:p>
    <w:p>
      <w:pPr>
        <w:pStyle w:val="ListBullet"/>
      </w:pPr>
      <w:r>
        <w:rPr>
          <w:rFonts w:ascii="Inter" w:hAnsi="Inter" w:cs="Inter"/>
          <w:b w:val="0"/>
          <w:i w:val="0"/>
          <w:color w:val="2D2D2D"/>
          <w:sz w:val="22"/>
        </w:rPr>
      </w:r>
      <w:r>
        <w:rPr>
          <w:rFonts w:ascii="Inter" w:hAnsi="Inter" w:cs="Inter"/>
          <w:b/>
          <w:i w:val="0"/>
          <w:color w:val="2D2D2D"/>
          <w:sz w:val="22"/>
        </w:rPr>
        <w:t>Power (H/M/L):</w:t>
      </w:r>
      <w:r>
        <w:rPr>
          <w:rFonts w:ascii="Inter" w:hAnsi="Inter" w:cs="Inter"/>
          <w:b w:val="0"/>
          <w:i w:val="0"/>
          <w:color w:val="2D2D2D"/>
          <w:sz w:val="22"/>
        </w:rPr>
        <w:t xml:space="preserve"> The stakeholder's ability to influence your MOA's programs --- High, Medium, or Low.</w:t>
      </w:r>
    </w:p>
    <w:p>
      <w:pPr>
        <w:pStyle w:val="ListBullet"/>
      </w:pPr>
      <w:r>
        <w:rPr>
          <w:rFonts w:ascii="Inter" w:hAnsi="Inter" w:cs="Inter"/>
          <w:b w:val="0"/>
          <w:i w:val="0"/>
          <w:color w:val="2D2D2D"/>
          <w:sz w:val="22"/>
        </w:rPr>
      </w:r>
      <w:r>
        <w:rPr>
          <w:rFonts w:ascii="Inter" w:hAnsi="Inter" w:cs="Inter"/>
          <w:b/>
          <w:i w:val="0"/>
          <w:color w:val="2D2D2D"/>
          <w:sz w:val="22"/>
        </w:rPr>
        <w:t>Interest (H/M/L):</w:t>
      </w:r>
      <w:r>
        <w:rPr>
          <w:rFonts w:ascii="Inter" w:hAnsi="Inter" w:cs="Inter"/>
          <w:b w:val="0"/>
          <w:i w:val="0"/>
          <w:color w:val="2D2D2D"/>
          <w:sz w:val="22"/>
        </w:rPr>
        <w:t xml:space="preserve"> The stakeholder's degree of concern about your MOA's programs --- High, Medium, or Low.</w:t>
      </w:r>
    </w:p>
    <w:p>
      <w:pPr>
        <w:pStyle w:val="ListBullet"/>
      </w:pPr>
      <w:r>
        <w:rPr>
          <w:rFonts w:ascii="Inter" w:hAnsi="Inter" w:cs="Inter"/>
          <w:b w:val="0"/>
          <w:i w:val="0"/>
          <w:color w:val="2D2D2D"/>
          <w:sz w:val="22"/>
        </w:rPr>
      </w:r>
      <w:r>
        <w:rPr>
          <w:rFonts w:ascii="Inter" w:hAnsi="Inter" w:cs="Inter"/>
          <w:b/>
          <w:i w:val="0"/>
          <w:color w:val="2D2D2D"/>
          <w:sz w:val="22"/>
        </w:rPr>
        <w:t>Quadrant:</w:t>
      </w:r>
      <w:r>
        <w:rPr>
          <w:rFonts w:ascii="Inter" w:hAnsi="Inter" w:cs="Inter"/>
          <w:b w:val="0"/>
          <w:i w:val="0"/>
          <w:color w:val="2D2D2D"/>
          <w:sz w:val="22"/>
        </w:rPr>
        <w:t xml:space="preserve"> The Power/Interest matrix quadrant (Q1 through Q4).</w:t>
      </w:r>
    </w:p>
    <w:p>
      <w:pPr>
        <w:pStyle w:val="ListBullet"/>
      </w:pPr>
      <w:r>
        <w:rPr>
          <w:rFonts w:ascii="Inter" w:hAnsi="Inter" w:cs="Inter"/>
          <w:b w:val="0"/>
          <w:i w:val="0"/>
          <w:color w:val="2D2D2D"/>
          <w:sz w:val="22"/>
        </w:rPr>
      </w:r>
      <w:r>
        <w:rPr>
          <w:rFonts w:ascii="Inter" w:hAnsi="Inter" w:cs="Inter"/>
          <w:b/>
          <w:i w:val="0"/>
          <w:color w:val="2D2D2D"/>
          <w:sz w:val="22"/>
        </w:rPr>
        <w:t>Engagement Level:</w:t>
      </w:r>
      <w:r>
        <w:rPr>
          <w:rFonts w:ascii="Inter" w:hAnsi="Inter" w:cs="Inter"/>
          <w:b w:val="0"/>
          <w:i w:val="0"/>
          <w:color w:val="2D2D2D"/>
          <w:sz w:val="22"/>
        </w:rPr>
        <w:t xml:space="preserve"> The depth of engagement --- Inform, Consult, Involve, Collaborate, or Empower.</w:t>
      </w:r>
    </w:p>
    <w:p>
      <w:pPr>
        <w:pStyle w:val="ListBullet"/>
      </w:pPr>
      <w:r>
        <w:rPr>
          <w:rFonts w:ascii="Inter" w:hAnsi="Inter" w:cs="Inter"/>
          <w:b w:val="0"/>
          <w:i w:val="0"/>
          <w:color w:val="2D2D2D"/>
          <w:sz w:val="22"/>
        </w:rPr>
      </w:r>
      <w:r>
        <w:rPr>
          <w:rFonts w:ascii="Inter" w:hAnsi="Inter" w:cs="Inter"/>
          <w:b/>
          <w:i w:val="0"/>
          <w:color w:val="2D2D2D"/>
          <w:sz w:val="22"/>
        </w:rPr>
        <w:t>Engagement Activities:</w:t>
      </w:r>
      <w:r>
        <w:rPr>
          <w:rFonts w:ascii="Inter" w:hAnsi="Inter" w:cs="Inter"/>
          <w:b w:val="0"/>
          <w:i w:val="0"/>
          <w:color w:val="2D2D2D"/>
          <w:sz w:val="22"/>
        </w:rPr>
        <w:t xml:space="preserve"> Specific actions your MOA will take to engage this stakeholder.</w:t>
      </w:r>
    </w:p>
    <w:p>
      <w:pPr>
        <w:pStyle w:val="ListBullet"/>
      </w:pPr>
      <w:r>
        <w:rPr>
          <w:rFonts w:ascii="Inter" w:hAnsi="Inter" w:cs="Inter"/>
          <w:b w:val="0"/>
          <w:i w:val="0"/>
          <w:color w:val="2D2D2D"/>
          <w:sz w:val="22"/>
        </w:rPr>
      </w:r>
      <w:r>
        <w:rPr>
          <w:rFonts w:ascii="Inter" w:hAnsi="Inter" w:cs="Inter"/>
          <w:b/>
          <w:i w:val="0"/>
          <w:color w:val="2D2D2D"/>
          <w:sz w:val="22"/>
        </w:rPr>
        <w:t>Key Contact:</w:t>
      </w:r>
      <w:r>
        <w:rPr>
          <w:rFonts w:ascii="Inter" w:hAnsi="Inter" w:cs="Inter"/>
          <w:b w:val="0"/>
          <w:i w:val="0"/>
          <w:color w:val="2D2D2D"/>
          <w:sz w:val="22"/>
        </w:rPr>
        <w:t xml:space="preserve"> The person or office responsible for maintaining the relationship (on both sides if possible).</w:t>
      </w:r>
    </w:p>
    <w:p>
      <w:pPr>
        <w:pStyle w:val="ListBullet"/>
      </w:pPr>
      <w:r>
        <w:rPr>
          <w:rFonts w:ascii="Inter" w:hAnsi="Inter" w:cs="Inter"/>
          <w:b w:val="0"/>
          <w:i w:val="0"/>
          <w:color w:val="2D2D2D"/>
          <w:sz w:val="22"/>
        </w:rPr>
      </w:r>
      <w:r>
        <w:rPr>
          <w:rFonts w:ascii="Inter" w:hAnsi="Inter" w:cs="Inter"/>
          <w:b/>
          <w:i w:val="0"/>
          <w:color w:val="2D2D2D"/>
          <w:sz w:val="22"/>
        </w:rPr>
        <w:t>Frequency:</w:t>
      </w:r>
      <w:r>
        <w:rPr>
          <w:rFonts w:ascii="Inter" w:hAnsi="Inter" w:cs="Inter"/>
          <w:b w:val="0"/>
          <w:i w:val="0"/>
          <w:color w:val="2D2D2D"/>
          <w:sz w:val="22"/>
        </w:rPr>
        <w:t xml:space="preserve"> How often the engagement activities occur.</w:t>
      </w:r>
    </w:p>
    <w:p>
      <w:pPr>
        <w:spacing w:after="120" w:line="276" w:lineRule="auto"/>
      </w:pPr>
      <w:r>
        <w:rPr>
          <w:rFonts w:ascii="Inter" w:hAnsi="Inter" w:cs="Inter"/>
          <w:b w:val="0"/>
          <w:i w:val="0"/>
          <w:color w:val="2D2D2D"/>
          <w:sz w:val="22"/>
        </w:rPr>
      </w:r>
      <w:r>
        <w:rPr>
          <w:rFonts w:ascii="Inter" w:hAnsi="Inter" w:cs="Inter"/>
          <w:b/>
          <w:i w:val="0"/>
          <w:color w:val="2D2D2D"/>
          <w:sz w:val="22"/>
        </w:rPr>
        <w:t>Instructions:</w:t>
      </w:r>
      <w:r>
        <w:rPr>
          <w:rFonts w:ascii="Inter" w:hAnsi="Inter" w:cs="Inter"/>
          <w:b w:val="0"/>
          <w:i w:val="0"/>
          <w:color w:val="2D2D2D"/>
          <w:sz w:val="22"/>
        </w:rPr>
      </w:r>
    </w:p>
    <w:p>
      <w:pPr>
        <w:pStyle w:val="ListNumber"/>
      </w:pPr>
      <w:r>
        <w:rPr>
          <w:rFonts w:ascii="Inter" w:hAnsi="Inter" w:cs="Inter"/>
          <w:b w:val="0"/>
          <w:i w:val="0"/>
          <w:color w:val="2D2D2D"/>
          <w:sz w:val="22"/>
        </w:rPr>
        <w:t>Complete one row for every stakeholder identified in Step 1.</w:t>
      </w:r>
    </w:p>
    <w:p>
      <w:pPr>
        <w:pStyle w:val="ListNumber"/>
      </w:pPr>
      <w:r>
        <w:rPr>
          <w:rFonts w:ascii="Inter" w:hAnsi="Inter" w:cs="Inter"/>
          <w:b w:val="0"/>
          <w:i w:val="0"/>
          <w:color w:val="2D2D2D"/>
          <w:sz w:val="22"/>
        </w:rPr>
        <w:t>Ensure all eight categories (A through H) are represented unless a category is genuinely irrelevant to your MOA.</w:t>
      </w:r>
    </w:p>
    <w:p>
      <w:pPr>
        <w:pStyle w:val="ListNumber"/>
      </w:pPr>
      <w:r>
        <w:rPr>
          <w:rFonts w:ascii="Inter" w:hAnsi="Inter" w:cs="Inter"/>
          <w:b w:val="0"/>
          <w:i w:val="0"/>
          <w:color w:val="2D2D2D"/>
          <w:sz w:val="22"/>
        </w:rPr>
        <w:t>Every Quadrant 1 (Manage Closely) stakeholder must have specific engagement activities, a designated contact, and a defined frequency. Do not leave these columns blank.</w:t>
      </w:r>
    </w:p>
    <w:p>
      <w:pPr>
        <w:pStyle w:val="ListNumber"/>
      </w:pPr>
      <w:r>
        <w:rPr>
          <w:rFonts w:ascii="Inter" w:hAnsi="Inter" w:cs="Inter"/>
          <w:b w:val="0"/>
          <w:i w:val="0"/>
          <w:color w:val="2D2D2D"/>
          <w:sz w:val="22"/>
        </w:rPr>
        <w:t>Submit the completed register to your Minister or Executive Director for review (see Section 5.5).</w:t>
      </w:r>
    </w:p>
    <w:p>
      <w:pPr>
        <w:pStyle w:val="ListNumber"/>
      </w:pPr>
      <w:r>
        <w:rPr>
          <w:rFonts w:ascii="Inter" w:hAnsi="Inter" w:cs="Inter"/>
          <w:b w:val="0"/>
          <w:i w:val="0"/>
          <w:color w:val="2D2D2D"/>
          <w:sz w:val="22"/>
        </w:rPr>
        <w:t>File the register as an annex to your MOA Strategic Plan.</w:t>
      </w:r>
    </w:p>
    <w:p>
      <w:pPr>
        <w:pStyle w:val="Heading2"/>
      </w:pPr>
      <w:r>
        <w:rPr>
          <w:rFonts w:ascii="Inter" w:hAnsi="Inter" w:cs="Inter"/>
          <w:b/>
          <w:i w:val="0"/>
          <w:color w:val="1B365D"/>
          <w:sz w:val="32"/>
        </w:rPr>
        <w:t>5.8 Quality Checklist</w:t>
      </w:r>
    </w:p>
    <w:p>
      <w:pPr>
        <w:spacing w:after="120" w:line="276" w:lineRule="auto"/>
      </w:pPr>
      <w:r>
        <w:rPr>
          <w:rFonts w:ascii="Inter" w:hAnsi="Inter" w:cs="Inter"/>
          <w:b w:val="0"/>
          <w:i w:val="0"/>
          <w:color w:val="2D2D2D"/>
          <w:sz w:val="22"/>
        </w:rPr>
        <w:t>Before proceeding to Point 5 (Strategy Analysis), confirm the following:</w:t>
      </w:r>
    </w:p>
    <w:p>
      <w:pPr>
        <w:pStyle w:val="ListBullet"/>
      </w:pPr>
      <w:r>
        <w:rPr>
          <w:rFonts w:ascii="Inter" w:hAnsi="Inter" w:cs="Inter"/>
          <w:b w:val="0"/>
          <w:i w:val="0"/>
          <w:color w:val="2D2D2D"/>
          <w:sz w:val="22"/>
        </w:rPr>
        <w:t>[ ] All eight BARMM stakeholder categories have been considered (Parliament, other MOAs, LGUs, CSOs, development partners, private sector, traditional/religious leaders, affected communities).</w:t>
      </w:r>
    </w:p>
    <w:p>
      <w:pPr>
        <w:pStyle w:val="ListBullet"/>
      </w:pPr>
      <w:r>
        <w:rPr>
          <w:rFonts w:ascii="Inter" w:hAnsi="Inter" w:cs="Inter"/>
          <w:b w:val="0"/>
          <w:i w:val="0"/>
          <w:color w:val="2D2D2D"/>
          <w:sz w:val="22"/>
        </w:rPr>
        <w:t>[ ] The BTA committee(s) with oversight jurisdiction over your MOA are identified and placed in the appropriate quadrant.</w:t>
      </w:r>
    </w:p>
    <w:p>
      <w:pPr>
        <w:pStyle w:val="ListBullet"/>
      </w:pPr>
      <w:r>
        <w:rPr>
          <w:rFonts w:ascii="Inter" w:hAnsi="Inter" w:cs="Inter"/>
          <w:b w:val="0"/>
          <w:i w:val="0"/>
          <w:color w:val="2D2D2D"/>
          <w:sz w:val="22"/>
        </w:rPr>
        <w:t>[ ] Affected communities and beneficiaries are included --- not just institutional stakeholders.</w:t>
      </w:r>
    </w:p>
    <w:p>
      <w:pPr>
        <w:pStyle w:val="ListBullet"/>
      </w:pPr>
      <w:r>
        <w:rPr>
          <w:rFonts w:ascii="Inter" w:hAnsi="Inter" w:cs="Inter"/>
          <w:b w:val="0"/>
          <w:i w:val="0"/>
          <w:color w:val="2D2D2D"/>
          <w:sz w:val="22"/>
        </w:rPr>
        <w:t>[ ] Traditional and religious leaders relevant to your program areas are included (Sultanate structures, Ulama councils, community elders).</w:t>
      </w:r>
    </w:p>
    <w:p>
      <w:pPr>
        <w:pStyle w:val="ListBullet"/>
      </w:pPr>
      <w:r>
        <w:rPr>
          <w:rFonts w:ascii="Inter" w:hAnsi="Inter" w:cs="Inter"/>
          <w:b w:val="0"/>
          <w:i w:val="0"/>
          <w:color w:val="2D2D2D"/>
          <w:sz w:val="22"/>
        </w:rPr>
        <w:t>[ ] Each stakeholder has been assessed for power and interest and placed on the Power/Interest matrix.</w:t>
      </w:r>
    </w:p>
    <w:p>
      <w:pPr>
        <w:pStyle w:val="ListBullet"/>
      </w:pPr>
      <w:r>
        <w:rPr>
          <w:rFonts w:ascii="Inter" w:hAnsi="Inter" w:cs="Inter"/>
          <w:b w:val="0"/>
          <w:i w:val="0"/>
          <w:color w:val="2D2D2D"/>
          <w:sz w:val="22"/>
        </w:rPr>
        <w:t>[ ] Engagement levels have been assigned to each quadrant, with specific engagement activities defined for all Quadrant 1 stakeholders.</w:t>
      </w:r>
    </w:p>
    <w:p>
      <w:pPr>
        <w:pStyle w:val="ListBullet"/>
      </w:pPr>
      <w:r>
        <w:rPr>
          <w:rFonts w:ascii="Inter" w:hAnsi="Inter" w:cs="Inter"/>
          <w:b w:val="0"/>
          <w:i w:val="0"/>
          <w:color w:val="2D2D2D"/>
          <w:sz w:val="22"/>
        </w:rPr>
        <w:t>[ ] Stakeholders who may oppose your programs are included and have engagement strategies, not just allies and partners.</w:t>
      </w:r>
    </w:p>
    <w:p>
      <w:pPr>
        <w:pStyle w:val="ListBullet"/>
      </w:pPr>
      <w:r>
        <w:rPr>
          <w:rFonts w:ascii="Inter" w:hAnsi="Inter" w:cs="Inter"/>
          <w:b w:val="0"/>
          <w:i w:val="0"/>
          <w:color w:val="2D2D2D"/>
          <w:sz w:val="22"/>
        </w:rPr>
        <w:t>[ ] Critical relationships for plan approval, implementation, resource mobilization, and political support have been identified.</w:t>
      </w:r>
    </w:p>
    <w:p>
      <w:pPr>
        <w:pStyle w:val="ListBullet"/>
      </w:pPr>
      <w:r>
        <w:rPr>
          <w:rFonts w:ascii="Inter" w:hAnsi="Inter" w:cs="Inter"/>
          <w:b w:val="0"/>
          <w:i w:val="0"/>
          <w:color w:val="2D2D2D"/>
          <w:sz w:val="22"/>
        </w:rPr>
        <w:t>[ ] The Stakeholder Register and Engagement Plan is complete and has been reviewed by the Minister or Executive Director.</w:t>
      </w:r>
    </w:p>
    <w:p>
      <w:pPr>
        <w:pStyle w:val="ListBullet"/>
      </w:pPr>
      <w:r>
        <w:rPr>
          <w:rFonts w:ascii="Inter" w:hAnsi="Inter" w:cs="Inter"/>
          <w:b w:val="0"/>
          <w:i w:val="0"/>
          <w:color w:val="2D2D2D"/>
          <w:sz w:val="22"/>
        </w:rPr>
        <w:t>[ ] A process is in place to update the stakeholder analysis when leadership changes, new programs launch, or the political/institutional landscape shifts.</w:t>
      </w:r>
    </w:p>
    <w:p>
      <w:pPr>
        <w:pStyle w:val="Heading2"/>
      </w:pPr>
      <w:r>
        <w:rPr>
          <w:rFonts w:ascii="Inter" w:hAnsi="Inter" w:cs="Inter"/>
          <w:b/>
          <w:i w:val="0"/>
          <w:color w:val="1B365D"/>
          <w:sz w:val="32"/>
        </w:rPr>
        <w:t>Key Takeaways</w:t>
      </w:r>
    </w:p>
    <w:p>
      <w:pPr>
        <w:pStyle w:val="ListNumber"/>
      </w:pPr>
      <w:r>
        <w:rPr>
          <w:rFonts w:ascii="Inter" w:hAnsi="Inter" w:cs="Inter"/>
          <w:b w:val="0"/>
          <w:i w:val="0"/>
          <w:color w:val="2D2D2D"/>
          <w:sz w:val="22"/>
        </w:rPr>
      </w:r>
      <w:r>
        <w:rPr>
          <w:rFonts w:ascii="Inter" w:hAnsi="Inter" w:cs="Inter"/>
          <w:b/>
          <w:i w:val="0"/>
          <w:color w:val="2D2D2D"/>
          <w:sz w:val="22"/>
        </w:rPr>
        <w:t>Stakeholder analysis is not a list of partners.</w:t>
      </w:r>
      <w:r>
        <w:rPr>
          <w:rFonts w:ascii="Inter" w:hAnsi="Inter" w:cs="Inter"/>
          <w:b w:val="0"/>
          <w:i w:val="0"/>
          <w:color w:val="2D2D2D"/>
          <w:sz w:val="22"/>
        </w:rPr>
        <w:t xml:space="preserve"> It is a systematic assessment of everyone who can affect or is affected by your work --- including opponents, communities, and institutions you may not work with directly.</w:t>
      </w:r>
    </w:p>
    <w:p>
      <w:pPr>
        <w:pStyle w:val="ListNumber"/>
      </w:pPr>
      <w:r>
        <w:rPr>
          <w:rFonts w:ascii="Inter" w:hAnsi="Inter" w:cs="Inter"/>
          <w:b w:val="0"/>
          <w:i w:val="0"/>
          <w:color w:val="2D2D2D"/>
          <w:sz w:val="22"/>
        </w:rPr>
      </w:r>
      <w:r>
        <w:rPr>
          <w:rFonts w:ascii="Inter" w:hAnsi="Inter" w:cs="Inter"/>
          <w:b/>
          <w:i w:val="0"/>
          <w:color w:val="2D2D2D"/>
          <w:sz w:val="22"/>
        </w:rPr>
        <w:t>The eight BARMM categories are your checklist.</w:t>
      </w:r>
      <w:r>
        <w:rPr>
          <w:rFonts w:ascii="Inter" w:hAnsi="Inter" w:cs="Inter"/>
          <w:b w:val="0"/>
          <w:i w:val="0"/>
          <w:color w:val="2D2D2D"/>
          <w:sz w:val="22"/>
        </w:rPr>
        <w:t xml:space="preserve"> Work through all eight: Parliament, other MOAs, LGUs, CSOs, development partners, private sector, traditional/religious leaders, and affected communities. Most MOAs miss at least one category on the first pass.</w:t>
      </w:r>
    </w:p>
    <w:p>
      <w:pPr>
        <w:pStyle w:val="ListNumber"/>
      </w:pPr>
      <w:r>
        <w:rPr>
          <w:rFonts w:ascii="Inter" w:hAnsi="Inter" w:cs="Inter"/>
          <w:b w:val="0"/>
          <w:i w:val="0"/>
          <w:color w:val="2D2D2D"/>
          <w:sz w:val="22"/>
        </w:rPr>
      </w:r>
      <w:r>
        <w:rPr>
          <w:rFonts w:ascii="Inter" w:hAnsi="Inter" w:cs="Inter"/>
          <w:b/>
          <w:i w:val="0"/>
          <w:color w:val="2D2D2D"/>
          <w:sz w:val="22"/>
        </w:rPr>
        <w:t>Parliament is a stakeholder in every MOA's plan.</w:t>
      </w:r>
      <w:r>
        <w:rPr>
          <w:rFonts w:ascii="Inter" w:hAnsi="Inter" w:cs="Inter"/>
          <w:b w:val="0"/>
          <w:i w:val="0"/>
          <w:color w:val="2D2D2D"/>
          <w:sz w:val="22"/>
        </w:rPr>
        <w:t xml:space="preserve"> The BTA committee with jurisdiction over your sector belongs in Quadrant 1. Budget review, legislative oversight, and policy direction all flow through Parliament.</w:t>
      </w:r>
    </w:p>
    <w:p>
      <w:pPr>
        <w:pStyle w:val="ListNumber"/>
      </w:pPr>
      <w:r>
        <w:rPr>
          <w:rFonts w:ascii="Inter" w:hAnsi="Inter" w:cs="Inter"/>
          <w:b w:val="0"/>
          <w:i w:val="0"/>
          <w:color w:val="2D2D2D"/>
          <w:sz w:val="22"/>
        </w:rPr>
      </w:r>
      <w:r>
        <w:rPr>
          <w:rFonts w:ascii="Inter" w:hAnsi="Inter" w:cs="Inter"/>
          <w:b/>
          <w:i w:val="0"/>
          <w:color w:val="2D2D2D"/>
          <w:sz w:val="22"/>
        </w:rPr>
        <w:t>Traditional and religious leaders are strategic, not ceremonial.</w:t>
      </w:r>
      <w:r>
        <w:rPr>
          <w:rFonts w:ascii="Inter" w:hAnsi="Inter" w:cs="Inter"/>
          <w:b w:val="0"/>
          <w:i w:val="0"/>
          <w:color w:val="2D2D2D"/>
          <w:sz w:val="22"/>
        </w:rPr>
        <w:t xml:space="preserve"> In BARMM, implementation at the community level often depends on the endorsement of Sultanate structures, Ulama councils, and traditional governance systems. Include them in your analysis and engage them meaningfully.</w:t>
      </w:r>
    </w:p>
    <w:p>
      <w:pPr>
        <w:pStyle w:val="ListNumber"/>
      </w:pPr>
      <w:r>
        <w:rPr>
          <w:rFonts w:ascii="Inter" w:hAnsi="Inter" w:cs="Inter"/>
          <w:b w:val="0"/>
          <w:i w:val="0"/>
          <w:color w:val="2D2D2D"/>
          <w:sz w:val="22"/>
        </w:rPr>
      </w:r>
      <w:r>
        <w:rPr>
          <w:rFonts w:ascii="Inter" w:hAnsi="Inter" w:cs="Inter"/>
          <w:b/>
          <w:i w:val="0"/>
          <w:color w:val="2D2D2D"/>
          <w:sz w:val="22"/>
        </w:rPr>
        <w:t>Differentiate your engagement.</w:t>
      </w:r>
      <w:r>
        <w:rPr>
          <w:rFonts w:ascii="Inter" w:hAnsi="Inter" w:cs="Inter"/>
          <w:b w:val="0"/>
          <w:i w:val="0"/>
          <w:color w:val="2D2D2D"/>
          <w:sz w:val="22"/>
        </w:rPr>
        <w:t xml:space="preserve"> The Power/Interest matrix exists so you can invest your limited resources where they matter most. A Quadrant 1 stakeholder gets collaborative engagement. A Quadrant 4 stakeholder gets monitoring. Treating everyone the same is not equitable --- it is wasteful.</w:t>
      </w:r>
    </w:p>
    <w:p>
      <w:pPr>
        <w:pStyle w:val="ListNumber"/>
      </w:pPr>
      <w:r>
        <w:rPr>
          <w:rFonts w:ascii="Inter" w:hAnsi="Inter" w:cs="Inter"/>
          <w:b w:val="0"/>
          <w:i w:val="0"/>
          <w:color w:val="2D2D2D"/>
          <w:sz w:val="22"/>
        </w:rPr>
      </w:r>
      <w:r>
        <w:rPr>
          <w:rFonts w:ascii="Inter" w:hAnsi="Inter" w:cs="Inter"/>
          <w:b/>
          <w:i w:val="0"/>
          <w:color w:val="2D2D2D"/>
          <w:sz w:val="22"/>
        </w:rPr>
        <w:t>Update continuously.</w:t>
      </w:r>
      <w:r>
        <w:rPr>
          <w:rFonts w:ascii="Inter" w:hAnsi="Inter" w:cs="Inter"/>
          <w:b w:val="0"/>
          <w:i w:val="0"/>
          <w:color w:val="2D2D2D"/>
          <w:sz w:val="22"/>
        </w:rPr>
        <w:t xml:space="preserve"> Stakeholder positions change with elections, appointments, new programs, and shifting political landscapes. Your register is a living document, not a one-time exercise.</w:t>
      </w:r>
    </w:p>
    <w:p>
      <w:pPr>
        <w:spacing w:after="120" w:line="276" w:lineRule="auto"/>
      </w:pPr>
      <w:r>
        <w:rPr>
          <w:rFonts w:ascii="Inter" w:hAnsi="Inter" w:cs="Inter"/>
          <w:b w:val="0"/>
          <w:i w:val="0"/>
          <w:color w:val="2D2D2D"/>
          <w:sz w:val="22"/>
        </w:rPr>
        <w:t>[^1]: Bangsamoro Autonomy Act No. 13, Section 15(1). The BEDC shall "direct the plan formulation and recommend for approval by the Parliament the Bangsamoro Development Plan."</w:t>
      </w:r>
    </w:p>
    <w:p>
      <w:pPr>
        <w:spacing w:after="120" w:line="276" w:lineRule="auto"/>
      </w:pPr>
      <w:r>
        <w:rPr>
          <w:rFonts w:ascii="Inter" w:hAnsi="Inter" w:cs="Inter"/>
          <w:b w:val="0"/>
          <w:i w:val="0"/>
          <w:color w:val="2D2D2D"/>
          <w:sz w:val="22"/>
        </w:rPr>
        <w:t>[^2]: Republic Act No. 11054, Article VII, Section 3. The Bangsamoro Parliament has "the authority to enact laws on matters that are within the powers and competencies of the Bangsamoro Government" and exercises oversight over all executive agencies of the Bangsamoro Government.</w:t>
      </w:r>
    </w:p>
    <w:p>
      <w:pPr>
        <w:spacing w:after="120" w:line="276" w:lineRule="auto"/>
      </w:pPr>
      <w:r>
        <w:rPr>
          <w:rFonts w:ascii="Inter" w:hAnsi="Inter" w:cs="Inter"/>
          <w:b w:val="0"/>
          <w:i w:val="0"/>
          <w:color w:val="2D2D2D"/>
          <w:sz w:val="22"/>
        </w:rPr>
        <w:t>[^3]: Bangsamoro Autonomy Act No. 13, Book II, Title IV, Section 13. The Bangsamoro Cabinet is composed of 15 primary ministries.</w:t>
      </w:r>
    </w:p>
    <w:p>
      <w:pPr>
        <w:spacing w:after="120" w:line="276" w:lineRule="auto"/>
      </w:pPr>
      <w:r>
        <w:rPr>
          <w:rFonts w:ascii="Inter" w:hAnsi="Inter" w:cs="Inter"/>
          <w:b w:val="0"/>
          <w:i w:val="0"/>
          <w:color w:val="2D2D2D"/>
          <w:sz w:val="22"/>
        </w:rPr>
        <w:t>[^4]: Republic Act No. 11054, Article III, Section 3. The Bangsamoro Autonomous Region comprises the provinces, cities, municipalities, barangays, and geographical areas that voted for inclusion in the plebiscite.</w:t>
      </w:r>
    </w:p>
    <w:p>
      <w:pPr>
        <w:spacing w:after="120" w:line="276" w:lineRule="auto"/>
      </w:pPr>
      <w:r>
        <w:rPr>
          <w:rFonts w:ascii="Inter" w:hAnsi="Inter" w:cs="Inter"/>
          <w:b w:val="0"/>
          <w:i w:val="0"/>
          <w:color w:val="2D2D2D"/>
          <w:sz w:val="22"/>
        </w:rPr>
        <w:t>[^5]: The development partner landscape in BARMM is dynamic. Active programs as of 2026 include the World Bank's Bangsamoro Autonomy and Development Fund (BADF), UNDP's environmental governance programs, GIZ's Good Governance program, USAID's governance and economic growth programs, and JICA's technical cooperation projects. This list should be verified against current program directories.</w:t>
      </w:r>
    </w:p>
    <w:p>
      <w:pPr>
        <w:spacing w:after="120" w:line="276" w:lineRule="auto"/>
      </w:pPr>
      <w:r>
        <w:rPr>
          <w:rFonts w:ascii="Inter" w:hAnsi="Inter" w:cs="Inter"/>
          <w:b w:val="0"/>
          <w:i w:val="0"/>
          <w:color w:val="2D2D2D"/>
          <w:sz w:val="22"/>
        </w:rPr>
        <w:t>[^6]: Republic Act No. 11054, Article IX, Section 4. The BOL provides: "The Bangsamoro Government shall adopt measures for the recognition, protection, and promotion of the rights of indigenous peoples in the Bangsamoro Autonomous Region consistent with international standards." See also Article IX, Section 3, recognizing the rights of indigenous cultural communities.</w:t>
      </w:r>
    </w:p>
    <w:p>
      <w:pPr>
        <w:spacing w:after="120" w:line="276" w:lineRule="auto"/>
      </w:pPr>
      <w:r>
        <w:rPr>
          <w:rFonts w:ascii="Inter" w:hAnsi="Inter" w:cs="Inter"/>
          <w:b w:val="0"/>
          <w:i w:val="0"/>
          <w:color w:val="2D2D2D"/>
          <w:sz w:val="22"/>
        </w:rPr>
        <w:t>[^7]: Republic Act No. 11054, Article X, Section 3. The Shari'ah courts have jurisdiction over cases involving personal and family law of Muslims, including marriage, divorce, custody, inheritance, and related matters.</w:t>
      </w:r>
    </w:p>
    <w:p>
      <w:pPr>
        <w:spacing w:after="120" w:line="276" w:lineRule="auto"/>
      </w:pPr>
      <w:r>
        <w:rPr>
          <w:rFonts w:ascii="Inter" w:hAnsi="Inter" w:cs="Inter"/>
          <w:b w:val="0"/>
          <w:i w:val="0"/>
          <w:color w:val="2D2D2D"/>
          <w:sz w:val="22"/>
        </w:rPr>
        <w:t>[^8]: The five-level engagement spectrum (Inform, Consult, Involve, Collaborate, Empower) is adapted from the International Association for Public Participation (IAP2) Spectrum of Public Participation, widely used in international development planning and governance reform.</w:t>
      </w:r>
    </w:p>
    <w:p>
      <w:pPr>
        <w:pageBreakBefore/>
      </w:pPr>
    </w:p>
    <w:p>
      <w:pPr>
        <w:pStyle w:val="Heading1"/>
      </w:pPr>
      <w:r>
        <w:rPr>
          <w:rFonts w:ascii="Inter" w:hAnsi="Inter" w:cs="Inter"/>
          <w:b/>
          <w:i w:val="0"/>
          <w:color w:val="1B365D"/>
          <w:sz w:val="44"/>
        </w:rPr>
        <w:t>Chapter 6: Defining Your Strategic Direction</w:t>
      </w:r>
    </w:p>
    <w:p>
      <w:pPr>
        <w:spacing w:after="120" w:line="276" w:lineRule="auto"/>
      </w:pPr>
      <w:r>
        <w:rPr>
          <w:rFonts w:ascii="Inter" w:hAnsi="Inter" w:cs="Inter"/>
          <w:b w:val="0"/>
          <w:i w:val="0"/>
          <w:color w:val="2D2D2D"/>
          <w:sz w:val="22"/>
        </w:rPr>
        <w:t>Points 1 through 4 established the institutional foundations of your strategic plan. You documented your MOA's legal mandate and the authorities it derives from law. You mapped your programs to the Bangsamoro Development Plan and identified which BDP goals your work contributes to. You traced your MOA's contributions to the Chief Minister's 12-Point Enhanced Priority Agenda. You identified the stakeholders who can shape, support, or undermine your plans.</w:t>
      </w:r>
    </w:p>
    <w:p>
      <w:pPr>
        <w:spacing w:after="120" w:line="276" w:lineRule="auto"/>
      </w:pPr>
      <w:r>
        <w:rPr>
          <w:rFonts w:ascii="Inter" w:hAnsi="Inter" w:cs="Inter"/>
          <w:b w:val="0"/>
          <w:i w:val="0"/>
          <w:color w:val="2D2D2D"/>
          <w:sz w:val="22"/>
        </w:rPr>
        <w:t>All of that work answered one essential question: *What is your MOA authorized to do, and for whom?*</w:t>
      </w:r>
    </w:p>
    <w:p>
      <w:pPr>
        <w:spacing w:after="120" w:line="276" w:lineRule="auto"/>
      </w:pPr>
      <w:r>
        <w:rPr>
          <w:rFonts w:ascii="Inter" w:hAnsi="Inter" w:cs="Inter"/>
          <w:b w:val="0"/>
          <w:i w:val="0"/>
          <w:color w:val="2D2D2D"/>
          <w:sz w:val="22"/>
        </w:rPr>
        <w:t>Point 5 answers the question that follows: *Where is your MOA going, and how will it get there?*</w:t>
      </w:r>
    </w:p>
    <w:p>
      <w:pPr>
        <w:spacing w:after="120" w:line="276" w:lineRule="auto"/>
      </w:pPr>
      <w:r>
        <w:rPr>
          <w:rFonts w:ascii="Inter" w:hAnsi="Inter" w:cs="Inter"/>
          <w:b w:val="0"/>
          <w:i w:val="0"/>
          <w:color w:val="2D2D2D"/>
          <w:sz w:val="22"/>
        </w:rPr>
        <w:t>This is the work of strategic direction --- articulating a clear, shared Vision of the future your MOA exists to help create; a Mission statement that defines what your MOA does, for whom, and how; Core Values that describe the principles guiding every decision and action; a SWOT Analysis that gives you an honest picture of your MOA's current position; Problem Statements that translate SWOT findings into structured articulations of the issues your plan must address; and Strategic Objectives that set the specific, measurable, achievable, relevant, and time-bound goals that will carry your MOA from its current state to its desired future.</w:t>
      </w:r>
    </w:p>
    <w:p>
      <w:pPr>
        <w:spacing w:after="120" w:line="276" w:lineRule="auto"/>
      </w:pPr>
      <w:r>
        <w:rPr>
          <w:rFonts w:ascii="Inter" w:hAnsi="Inter" w:cs="Inter"/>
          <w:b w:val="0"/>
          <w:i w:val="0"/>
          <w:color w:val="2D2D2D"/>
          <w:sz w:val="22"/>
        </w:rPr>
        <w:t>Point 5 is the pivot point of the entire framework. Everything before it is analysis and foundation. Everything after it --- Theory of Change, Program and Project development, implementation, monitoring and evaluation --- flows from the strategic direction you establish here. If your Vision and Objectives are vague, your PPAs will be unfocused, your budget proposals will be difficult to defend, and your M&amp;E framework will have nothing concrete to measure.</w:t>
      </w:r>
    </w:p>
    <w:p>
      <w:pPr>
        <w:pStyle w:val="Heading2"/>
      </w:pPr>
      <w:r>
        <w:rPr>
          <w:rFonts w:ascii="Inter" w:hAnsi="Inter" w:cs="Inter"/>
          <w:b/>
          <w:i w:val="0"/>
          <w:color w:val="1B365D"/>
          <w:sz w:val="32"/>
        </w:rPr>
        <w:t>6.1 Purpose</w:t>
      </w:r>
    </w:p>
    <w:p>
      <w:pPr>
        <w:spacing w:after="120" w:line="276" w:lineRule="auto"/>
      </w:pPr>
      <w:r>
        <w:rPr>
          <w:rFonts w:ascii="Inter" w:hAnsi="Inter" w:cs="Inter"/>
          <w:b w:val="0"/>
          <w:i w:val="0"/>
          <w:color w:val="2D2D2D"/>
          <w:sz w:val="22"/>
        </w:rPr>
        <w:t>Point 5 has six specific purposes in your planning process:</w:t>
      </w:r>
    </w:p>
    <w:p>
      <w:pPr>
        <w:spacing w:after="120" w:line="276" w:lineRule="auto"/>
      </w:pPr>
      <w:r>
        <w:rPr>
          <w:rFonts w:ascii="Inter" w:hAnsi="Inter" w:cs="Inter"/>
          <w:b w:val="0"/>
          <w:i w:val="0"/>
          <w:color w:val="2D2D2D"/>
          <w:sz w:val="22"/>
        </w:rPr>
      </w:r>
      <w:r>
        <w:rPr>
          <w:rFonts w:ascii="Inter" w:hAnsi="Inter" w:cs="Inter"/>
          <w:b/>
          <w:i w:val="0"/>
          <w:color w:val="2D2D2D"/>
          <w:sz w:val="22"/>
        </w:rPr>
        <w:t>First, it translates legal mandates into organizational aspirations.</w:t>
      </w:r>
      <w:r>
        <w:rPr>
          <w:rFonts w:ascii="Inter" w:hAnsi="Inter" w:cs="Inter"/>
          <w:b w:val="0"/>
          <w:i w:val="0"/>
          <w:color w:val="2D2D2D"/>
          <w:sz w:val="22"/>
        </w:rPr>
        <w:t xml:space="preserve"> Your MOA's legal mandate (from Point 1) defines what you are authorized to do. Your Vision and Mission translate that authorization into a statement of what your MOA aspires to *become* and what it *does every day*. The mandate is the floor. The Vision is the direction.</w:t>
      </w:r>
    </w:p>
    <w:p>
      <w:pPr>
        <w:spacing w:after="120" w:line="276" w:lineRule="auto"/>
      </w:pPr>
      <w:r>
        <w:rPr>
          <w:rFonts w:ascii="Inter" w:hAnsi="Inter" w:cs="Inter"/>
          <w:b w:val="0"/>
          <w:i w:val="0"/>
          <w:color w:val="2D2D2D"/>
          <w:sz w:val="22"/>
        </w:rPr>
      </w:r>
      <w:r>
        <w:rPr>
          <w:rFonts w:ascii="Inter" w:hAnsi="Inter" w:cs="Inter"/>
          <w:b/>
          <w:i w:val="0"/>
          <w:color w:val="2D2D2D"/>
          <w:sz w:val="22"/>
        </w:rPr>
        <w:t>Second, it converts BDP alignment into concrete goals.</w:t>
      </w:r>
      <w:r>
        <w:rPr>
          <w:rFonts w:ascii="Inter" w:hAnsi="Inter" w:cs="Inter"/>
          <w:b w:val="0"/>
          <w:i w:val="0"/>
          <w:color w:val="2D2D2D"/>
          <w:sz w:val="22"/>
        </w:rPr>
        <w:t xml:space="preserve"> BDP alignment (from Point 2) tells you which regional development goals your MOA contributes to. Your Strategic Objectives operationalize that alignment into specific, measurable commitments. A Strategic Objective is not "we align with BDP Goal 3." It is: "Reduce the incidence of conflict-related displacement in our areas of operation from X to Y by December 2028."</w:t>
      </w:r>
    </w:p>
    <w:p>
      <w:pPr>
        <w:spacing w:after="120" w:line="276" w:lineRule="auto"/>
      </w:pPr>
      <w:r>
        <w:rPr>
          <w:rFonts w:ascii="Inter" w:hAnsi="Inter" w:cs="Inter"/>
          <w:b w:val="0"/>
          <w:i w:val="0"/>
          <w:color w:val="2D2D2D"/>
          <w:sz w:val="22"/>
        </w:rPr>
      </w:r>
      <w:r>
        <w:rPr>
          <w:rFonts w:ascii="Inter" w:hAnsi="Inter" w:cs="Inter"/>
          <w:b/>
          <w:i w:val="0"/>
          <w:color w:val="2D2D2D"/>
          <w:sz w:val="22"/>
        </w:rPr>
        <w:t>Third, it surfaces your MOA's real situation.</w:t>
      </w:r>
      <w:r>
        <w:rPr>
          <w:rFonts w:ascii="Inter" w:hAnsi="Inter" w:cs="Inter"/>
          <w:b w:val="0"/>
          <w:i w:val="0"/>
          <w:color w:val="2D2D2D"/>
          <w:sz w:val="22"/>
        </w:rPr>
        <w:t xml:space="preserve"> The SWOT Analysis forces an honest assessment of your MOA's internal capabilities and the external environment it operates in. MOAs that skip this step often write plans that are aspirational but disconnected from reality --- plans that do not account for budget constraints, staffing gaps, or institutional threats that will undermine implementation.</w:t>
      </w:r>
    </w:p>
    <w:p>
      <w:pPr>
        <w:spacing w:after="120" w:line="276" w:lineRule="auto"/>
      </w:pPr>
      <w:r>
        <w:rPr>
          <w:rFonts w:ascii="Inter" w:hAnsi="Inter" w:cs="Inter"/>
          <w:b w:val="0"/>
          <w:i w:val="0"/>
          <w:color w:val="2D2D2D"/>
          <w:sz w:val="22"/>
        </w:rPr>
      </w:r>
      <w:r>
        <w:rPr>
          <w:rFonts w:ascii="Inter" w:hAnsi="Inter" w:cs="Inter"/>
          <w:b/>
          <w:i w:val="0"/>
          <w:color w:val="2D2D2D"/>
          <w:sz w:val="22"/>
        </w:rPr>
        <w:t>Fourth, it names the problems your MOA exists to solve.</w:t>
      </w:r>
      <w:r>
        <w:rPr>
          <w:rFonts w:ascii="Inter" w:hAnsi="Inter" w:cs="Inter"/>
          <w:b w:val="0"/>
          <w:i w:val="0"/>
          <w:color w:val="2D2D2D"/>
          <w:sz w:val="22"/>
        </w:rPr>
        <w:t xml:space="preserve"> Problem Statements translate SWOT findings into structured articulations of the specific issues your MOA must address. They provide the analytical basis for your Strategic Objectives: each objective should address one or more identified problems.</w:t>
      </w:r>
    </w:p>
    <w:p>
      <w:pPr>
        <w:spacing w:after="120" w:line="276" w:lineRule="auto"/>
      </w:pPr>
      <w:r>
        <w:rPr>
          <w:rFonts w:ascii="Inter" w:hAnsi="Inter" w:cs="Inter"/>
          <w:b w:val="0"/>
          <w:i w:val="0"/>
          <w:color w:val="2D2D2D"/>
          <w:sz w:val="22"/>
        </w:rPr>
      </w:r>
      <w:r>
        <w:rPr>
          <w:rFonts w:ascii="Inter" w:hAnsi="Inter" w:cs="Inter"/>
          <w:b/>
          <w:i w:val="0"/>
          <w:color w:val="2D2D2D"/>
          <w:sz w:val="22"/>
        </w:rPr>
        <w:t>Fifth, it creates the standard against which your plan will be evaluated.</w:t>
      </w:r>
      <w:r>
        <w:rPr>
          <w:rFonts w:ascii="Inter" w:hAnsi="Inter" w:cs="Inter"/>
          <w:b w:val="0"/>
          <w:i w:val="0"/>
          <w:color w:val="2D2D2D"/>
          <w:sz w:val="22"/>
        </w:rPr>
        <w:t xml:space="preserve"> BPDA reviewers, budget defenders in Parliament, and your own leadership will assess your plan against the Strategic Objectives you set here. Objectives that are clear and measurable enable accountability. Objectives that are vague protect no one and mislead everyone.</w:t>
      </w:r>
    </w:p>
    <w:p>
      <w:pPr>
        <w:spacing w:after="120" w:line="276" w:lineRule="auto"/>
      </w:pPr>
      <w:r>
        <w:rPr>
          <w:rFonts w:ascii="Inter" w:hAnsi="Inter" w:cs="Inter"/>
          <w:b w:val="0"/>
          <w:i w:val="0"/>
          <w:color w:val="2D2D2D"/>
          <w:sz w:val="22"/>
        </w:rPr>
      </w:r>
      <w:r>
        <w:rPr>
          <w:rFonts w:ascii="Inter" w:hAnsi="Inter" w:cs="Inter"/>
          <w:b/>
          <w:i w:val="0"/>
          <w:color w:val="2D2D2D"/>
          <w:sz w:val="22"/>
        </w:rPr>
        <w:t>Sixth, it establishes organizational identity and culture.</w:t>
      </w:r>
      <w:r>
        <w:rPr>
          <w:rFonts w:ascii="Inter" w:hAnsi="Inter" w:cs="Inter"/>
          <w:b w:val="0"/>
          <w:i w:val="0"/>
          <w:color w:val="2D2D2D"/>
          <w:sz w:val="22"/>
        </w:rPr>
        <w:t xml:space="preserve"> Your Vision, Mission, and Core Values are not bureaucratic formalities. They are the answer to the question every staff member should be able to answer: *Why does our MOA exist, and what does it stand for?* MOAs with a shared sense of purpose and clear values make better decisions, especially when those decisions are difficult or contested.</w:t>
      </w:r>
    </w:p>
    <w:p>
      <w:pPr>
        <w:pStyle w:val="Heading2"/>
      </w:pPr>
      <w:r>
        <w:rPr>
          <w:rFonts w:ascii="Inter" w:hAnsi="Inter" w:cs="Inter"/>
          <w:b/>
          <w:i w:val="0"/>
          <w:color w:val="1B365D"/>
          <w:sz w:val="32"/>
        </w:rPr>
        <w:t>6.2 Key Concepts</w:t>
      </w:r>
    </w:p>
    <w:p>
      <w:pPr>
        <w:pStyle w:val="Heading3"/>
      </w:pPr>
      <w:r>
        <w:rPr>
          <w:rFonts w:ascii="Inter" w:hAnsi="Inter" w:cs="Inter"/>
          <w:b/>
          <w:i w:val="0"/>
          <w:color w:val="2C5F7C"/>
          <w:sz w:val="26"/>
        </w:rPr>
        <w:t>Vision Statement</w:t>
      </w:r>
    </w:p>
    <w:p>
      <w:pPr>
        <w:spacing w:after="120" w:line="276" w:lineRule="auto"/>
      </w:pPr>
      <w:r>
        <w:rPr>
          <w:rFonts w:ascii="Inter" w:hAnsi="Inter" w:cs="Inter"/>
          <w:b w:val="0"/>
          <w:i w:val="0"/>
          <w:color w:val="2D2D2D"/>
          <w:sz w:val="22"/>
        </w:rPr>
        <w:t>A Vision statement is a forward-looking declaration of the desired future state that your MOA is working to bring about. It answers the question: *What will the world look like if our MOA succeeds over the next 5 to 10 years?*</w:t>
      </w:r>
    </w:p>
    <w:p>
      <w:pPr>
        <w:spacing w:after="120" w:line="276" w:lineRule="auto"/>
      </w:pPr>
      <w:r>
        <w:rPr>
          <w:rFonts w:ascii="Inter" w:hAnsi="Inter" w:cs="Inter"/>
          <w:b w:val="0"/>
          <w:i w:val="0"/>
          <w:color w:val="2D2D2D"/>
          <w:sz w:val="22"/>
        </w:rPr>
        <w:t>Vision statements are aspirational, not operational. They describe an outcome --- a condition of society, communities, or the environment --- not a set of activities. "A Bangsamoro where natural resources are managed sustainably for the benefit of present and future generations" is a Vision. "Conduct annual forest surveys and enforce forestry regulations" is not.</w:t>
      </w:r>
    </w:p>
    <w:p>
      <w:pPr>
        <w:spacing w:after="120" w:line="276" w:lineRule="auto"/>
      </w:pPr>
      <w:r>
        <w:rPr>
          <w:rFonts w:ascii="Inter" w:hAnsi="Inter" w:cs="Inter"/>
          <w:b w:val="0"/>
          <w:i w:val="0"/>
          <w:color w:val="2D2D2D"/>
          <w:sz w:val="22"/>
        </w:rPr>
        <w:t>A well-constructed Vision statement has three qualities:</w:t>
      </w:r>
    </w:p>
    <w:p>
      <w:pPr>
        <w:pStyle w:val="ListBullet"/>
      </w:pPr>
      <w:r>
        <w:rPr>
          <w:rFonts w:ascii="Inter" w:hAnsi="Inter" w:cs="Inter"/>
          <w:b w:val="0"/>
          <w:i w:val="0"/>
          <w:color w:val="2D2D2D"/>
          <w:sz w:val="22"/>
        </w:rPr>
      </w:r>
      <w:r>
        <w:rPr>
          <w:rFonts w:ascii="Inter" w:hAnsi="Inter" w:cs="Inter"/>
          <w:b/>
          <w:i w:val="0"/>
          <w:color w:val="2D2D2D"/>
          <w:sz w:val="22"/>
        </w:rPr>
        <w:t>Aspirational.</w:t>
      </w:r>
      <w:r>
        <w:rPr>
          <w:rFonts w:ascii="Inter" w:hAnsi="Inter" w:cs="Inter"/>
          <w:b w:val="0"/>
          <w:i w:val="0"/>
          <w:color w:val="2D2D2D"/>
          <w:sz w:val="22"/>
        </w:rPr>
        <w:t xml:space="preserve"> It describes a future that does not yet fully exist but that your MOA's work is designed to help create.</w:t>
      </w:r>
    </w:p>
    <w:p>
      <w:pPr>
        <w:pStyle w:val="ListBullet"/>
      </w:pPr>
      <w:r>
        <w:rPr>
          <w:rFonts w:ascii="Inter" w:hAnsi="Inter" w:cs="Inter"/>
          <w:b w:val="0"/>
          <w:i w:val="0"/>
          <w:color w:val="2D2D2D"/>
          <w:sz w:val="22"/>
        </w:rPr>
      </w:r>
      <w:r>
        <w:rPr>
          <w:rFonts w:ascii="Inter" w:hAnsi="Inter" w:cs="Inter"/>
          <w:b/>
          <w:i w:val="0"/>
          <w:color w:val="2D2D2D"/>
          <w:sz w:val="22"/>
        </w:rPr>
        <w:t>Directional.</w:t>
      </w:r>
      <w:r>
        <w:rPr>
          <w:rFonts w:ascii="Inter" w:hAnsi="Inter" w:cs="Inter"/>
          <w:b w:val="0"/>
          <w:i w:val="0"/>
          <w:color w:val="2D2D2D"/>
          <w:sz w:val="22"/>
        </w:rPr>
        <w:t xml:space="preserve"> It points your MOA in a specific direction. Someone reading your Vision should be able to infer what your MOA works on.</w:t>
      </w:r>
    </w:p>
    <w:p>
      <w:pPr>
        <w:pStyle w:val="ListBullet"/>
      </w:pPr>
      <w:r>
        <w:rPr>
          <w:rFonts w:ascii="Inter" w:hAnsi="Inter" w:cs="Inter"/>
          <w:b w:val="0"/>
          <w:i w:val="0"/>
          <w:color w:val="2D2D2D"/>
          <w:sz w:val="22"/>
        </w:rPr>
      </w:r>
      <w:r>
        <w:rPr>
          <w:rFonts w:ascii="Inter" w:hAnsi="Inter" w:cs="Inter"/>
          <w:b/>
          <w:i w:val="0"/>
          <w:color w:val="2D2D2D"/>
          <w:sz w:val="22"/>
        </w:rPr>
        <w:t>Achievable in principle.</w:t>
      </w:r>
      <w:r>
        <w:rPr>
          <w:rFonts w:ascii="Inter" w:hAnsi="Inter" w:cs="Inter"/>
          <w:b w:val="0"/>
          <w:i w:val="0"/>
          <w:color w:val="2D2D2D"/>
          <w:sz w:val="22"/>
        </w:rPr>
        <w:t xml:space="preserve"> It does not describe a utopia. It describes a realistic and meaningful improvement in the conditions your MOA is responsible for.</w:t>
      </w:r>
    </w:p>
    <w:p>
      <w:pPr>
        <w:spacing w:after="120" w:line="276" w:lineRule="auto"/>
      </w:pPr>
      <w:r>
        <w:rPr>
          <w:rFonts w:ascii="Inter" w:hAnsi="Inter" w:cs="Inter"/>
          <w:b w:val="0"/>
          <w:i w:val="0"/>
          <w:color w:val="2D2D2D"/>
          <w:sz w:val="22"/>
        </w:rPr>
        <w:t>Vision statements are typically 1 to 2 sentences. They should not contain jargon, bureaucratic phrasing, or lists of activities. They are public-facing --- the kind of statement a Minister can read at a public event and have it mean something to an ordinary citizen.</w:t>
      </w:r>
    </w:p>
    <w:p>
      <w:pPr>
        <w:pStyle w:val="Heading3"/>
      </w:pPr>
      <w:r>
        <w:rPr>
          <w:rFonts w:ascii="Inter" w:hAnsi="Inter" w:cs="Inter"/>
          <w:b/>
          <w:i w:val="0"/>
          <w:color w:val="2C5F7C"/>
          <w:sz w:val="26"/>
        </w:rPr>
        <w:t>Mission Statement</w:t>
      </w:r>
    </w:p>
    <w:p>
      <w:pPr>
        <w:spacing w:after="120" w:line="276" w:lineRule="auto"/>
      </w:pPr>
      <w:r>
        <w:rPr>
          <w:rFonts w:ascii="Inter" w:hAnsi="Inter" w:cs="Inter"/>
          <w:b w:val="0"/>
          <w:i w:val="0"/>
          <w:color w:val="2D2D2D"/>
          <w:sz w:val="22"/>
        </w:rPr>
        <w:t>A Mission statement defines what your MOA does, for whom it does it, and how it does it. It is written in the present tense and describes your MOA's current operating purpose.</w:t>
      </w:r>
    </w:p>
    <w:p>
      <w:pPr>
        <w:spacing w:after="120" w:line="276" w:lineRule="auto"/>
      </w:pPr>
      <w:r>
        <w:rPr>
          <w:rFonts w:ascii="Inter" w:hAnsi="Inter" w:cs="Inter"/>
          <w:b w:val="0"/>
          <w:i w:val="0"/>
          <w:color w:val="2D2D2D"/>
          <w:sz w:val="22"/>
        </w:rPr>
        <w:t>The Mission answers three questions simultaneously:</w:t>
      </w:r>
    </w:p>
    <w:p>
      <w:pPr>
        <w:pStyle w:val="ListNumber"/>
      </w:pPr>
      <w:r>
        <w:rPr>
          <w:rFonts w:ascii="Inter" w:hAnsi="Inter" w:cs="Inter"/>
          <w:b w:val="0"/>
          <w:i w:val="0"/>
          <w:color w:val="2D2D2D"/>
          <w:sz w:val="22"/>
        </w:rPr>
      </w:r>
      <w:r>
        <w:rPr>
          <w:rFonts w:ascii="Inter" w:hAnsi="Inter" w:cs="Inter"/>
          <w:b/>
          <w:i w:val="0"/>
          <w:color w:val="2D2D2D"/>
          <w:sz w:val="22"/>
        </w:rPr>
        <w:t>What does your MOA do?</w:t>
      </w:r>
      <w:r>
        <w:rPr>
          <w:rFonts w:ascii="Inter" w:hAnsi="Inter" w:cs="Inter"/>
          <w:b w:val="0"/>
          <w:i w:val="0"/>
          <w:color w:val="2D2D2D"/>
          <w:sz w:val="22"/>
        </w:rPr>
        <w:t xml:space="preserve"> (Its core functions and responsibilities)</w:t>
      </w:r>
    </w:p>
    <w:p>
      <w:pPr>
        <w:pStyle w:val="ListNumber"/>
      </w:pPr>
      <w:r>
        <w:rPr>
          <w:rFonts w:ascii="Inter" w:hAnsi="Inter" w:cs="Inter"/>
          <w:b w:val="0"/>
          <w:i w:val="0"/>
          <w:color w:val="2D2D2D"/>
          <w:sz w:val="22"/>
        </w:rPr>
      </w:r>
      <w:r>
        <w:rPr>
          <w:rFonts w:ascii="Inter" w:hAnsi="Inter" w:cs="Inter"/>
          <w:b/>
          <w:i w:val="0"/>
          <w:color w:val="2D2D2D"/>
          <w:sz w:val="22"/>
        </w:rPr>
        <w:t>For whom?</w:t>
      </w:r>
      <w:r>
        <w:rPr>
          <w:rFonts w:ascii="Inter" w:hAnsi="Inter" w:cs="Inter"/>
          <w:b w:val="0"/>
          <w:i w:val="0"/>
          <w:color w:val="2D2D2D"/>
          <w:sz w:val="22"/>
        </w:rPr>
        <w:t xml:space="preserve"> (Its primary beneficiaries and stakeholders)</w:t>
      </w:r>
    </w:p>
    <w:p>
      <w:pPr>
        <w:pStyle w:val="ListNumber"/>
      </w:pPr>
      <w:r>
        <w:rPr>
          <w:rFonts w:ascii="Inter" w:hAnsi="Inter" w:cs="Inter"/>
          <w:b w:val="0"/>
          <w:i w:val="0"/>
          <w:color w:val="2D2D2D"/>
          <w:sz w:val="22"/>
        </w:rPr>
      </w:r>
      <w:r>
        <w:rPr>
          <w:rFonts w:ascii="Inter" w:hAnsi="Inter" w:cs="Inter"/>
          <w:b/>
          <w:i w:val="0"/>
          <w:color w:val="2D2D2D"/>
          <w:sz w:val="22"/>
        </w:rPr>
        <w:t>How?</w:t>
      </w:r>
      <w:r>
        <w:rPr>
          <w:rFonts w:ascii="Inter" w:hAnsi="Inter" w:cs="Inter"/>
          <w:b w:val="0"/>
          <w:i w:val="0"/>
          <w:color w:val="2D2D2D"/>
          <w:sz w:val="22"/>
        </w:rPr>
        <w:t xml:space="preserve"> (Its approach, methods, or distinguishing characteristics)</w:t>
      </w:r>
    </w:p>
    <w:p>
      <w:pPr>
        <w:spacing w:after="120" w:line="276" w:lineRule="auto"/>
      </w:pPr>
      <w:r>
        <w:rPr>
          <w:rFonts w:ascii="Inter" w:hAnsi="Inter" w:cs="Inter"/>
          <w:b w:val="0"/>
          <w:i w:val="0"/>
          <w:color w:val="2D2D2D"/>
          <w:sz w:val="22"/>
        </w:rPr>
        <w:t>A Mission statement is not a list of functions. It is a synthesis of those functions into a coherent statement of purpose. "To manage, protect, and develop the natural resources of the Bangsamoro Autonomous Region in partnership with communities, in compliance with the BOL, and for the benefit of current and future generations" is a Mission. "We do forest management, land management, environmental enforcement, and mines and minerals regulation" is a list.</w:t>
      </w:r>
    </w:p>
    <w:p>
      <w:pPr>
        <w:spacing w:after="120" w:line="276" w:lineRule="auto"/>
      </w:pPr>
      <w:r>
        <w:rPr>
          <w:rFonts w:ascii="Inter" w:hAnsi="Inter" w:cs="Inter"/>
          <w:b w:val="0"/>
          <w:i w:val="0"/>
          <w:color w:val="2D2D2D"/>
          <w:sz w:val="22"/>
        </w:rPr>
        <w:t>Mission statements are grounded in your legal mandate. They are not purely aspirational, like the Vision, but they are not purely descriptive either. They articulate the *purpose* behind the functions.</w:t>
      </w:r>
    </w:p>
    <w:p>
      <w:pPr>
        <w:pStyle w:val="Heading3"/>
      </w:pPr>
      <w:r>
        <w:rPr>
          <w:rFonts w:ascii="Inter" w:hAnsi="Inter" w:cs="Inter"/>
          <w:b/>
          <w:i w:val="0"/>
          <w:color w:val="2C5F7C"/>
          <w:sz w:val="26"/>
        </w:rPr>
        <w:t>Core Values</w:t>
      </w:r>
    </w:p>
    <w:p>
      <w:pPr>
        <w:spacing w:after="120" w:line="276" w:lineRule="auto"/>
      </w:pPr>
      <w:r>
        <w:rPr>
          <w:rFonts w:ascii="Inter" w:hAnsi="Inter" w:cs="Inter"/>
          <w:b w:val="0"/>
          <w:i w:val="0"/>
          <w:color w:val="2D2D2D"/>
          <w:sz w:val="22"/>
        </w:rPr>
        <w:t>Core Values are the principles that guide your MOA's behavior and decision-making. They describe *how* your MOA conducts itself --- not just what it does, but the standards it upholds in doing it.</w:t>
      </w:r>
    </w:p>
    <w:p>
      <w:pPr>
        <w:spacing w:after="120" w:line="276" w:lineRule="auto"/>
      </w:pPr>
      <w:r>
        <w:rPr>
          <w:rFonts w:ascii="Inter" w:hAnsi="Inter" w:cs="Inter"/>
          <w:b w:val="0"/>
          <w:i w:val="0"/>
          <w:color w:val="2D2D2D"/>
          <w:sz w:val="22"/>
        </w:rPr>
        <w:t>In BARMM, Core Values carry additional weight because the Bangsamoro Organic Law (RA 11054) established Moral Governance as a foundational principle of the Bangsamoro Government. The BOL's Preamble calls for governance "reflective of their system of life as prescribed by their faith, in harmony with their customary laws, cultures and traditions, within the framework of the Constitution and the national sovereignty as well as territorial integrity of the Republic of the Philippines."[^1] The Chief Minister's Priority 1 elevates Moral Governance --- including the 12 Pillars of Moral Governance --- as the operating standard for every MOA.</w:t>
      </w:r>
    </w:p>
    <w:p>
      <w:pPr>
        <w:spacing w:after="120" w:line="276" w:lineRule="auto"/>
      </w:pPr>
      <w:r>
        <w:rPr>
          <w:rFonts w:ascii="Inter" w:hAnsi="Inter" w:cs="Inter"/>
          <w:b w:val="0"/>
          <w:i w:val="0"/>
          <w:color w:val="2D2D2D"/>
          <w:sz w:val="22"/>
        </w:rPr>
        <w:t>This means your Core Values must do two things. They must reflect the particular mission and culture of your MOA. And they must connect to the Bangsamoro governance values that the BOL and the Priority Agenda establish. An MOA in the environment sector, for example, should not ignore the values of environmental stewardship and intergenerational responsibility. An MOA in social services should foreground equity and dignity. All MOAs should reflect integrity, accountability, transparency, and public service.</w:t>
      </w:r>
    </w:p>
    <w:p>
      <w:pPr>
        <w:spacing w:after="120" w:line="276" w:lineRule="auto"/>
      </w:pPr>
      <w:r>
        <w:rPr>
          <w:rFonts w:ascii="Inter" w:hAnsi="Inter" w:cs="Inter"/>
          <w:b w:val="0"/>
          <w:i w:val="0"/>
          <w:color w:val="2D2D2D"/>
          <w:sz w:val="22"/>
        </w:rPr>
        <w:t>Core Values are most useful when they are paired with behavioral indicators --- specific, observable descriptions of what each value looks like in practice. "Integrity" by itself is easy to claim and impossible to evaluate. "Integrity: We disclose conflicts of interest, acknowledge errors, and do not compromise our regulatory decisions for personal or political benefit" is something a staff member can actually be held to.</w:t>
      </w:r>
    </w:p>
    <w:p>
      <w:pPr>
        <w:pStyle w:val="Heading3"/>
      </w:pPr>
      <w:r>
        <w:rPr>
          <w:rFonts w:ascii="Inter" w:hAnsi="Inter" w:cs="Inter"/>
          <w:b/>
          <w:i w:val="0"/>
          <w:color w:val="2C5F7C"/>
          <w:sz w:val="26"/>
        </w:rPr>
        <w:t>SWOT Analysis</w:t>
      </w:r>
    </w:p>
    <w:p>
      <w:pPr>
        <w:spacing w:after="120" w:line="276" w:lineRule="auto"/>
      </w:pPr>
      <w:r>
        <w:rPr>
          <w:rFonts w:ascii="Inter" w:hAnsi="Inter" w:cs="Inter"/>
          <w:b w:val="0"/>
          <w:i w:val="0"/>
          <w:color w:val="2D2D2D"/>
          <w:sz w:val="22"/>
        </w:rPr>
        <w:t>SWOT is a structured analytical framework for assessing your MOA's strategic position. It examines four dimensions:</w:t>
      </w:r>
    </w:p>
    <w:p>
      <w:pPr>
        <w:pStyle w:val="ListBullet"/>
      </w:pPr>
      <w:r>
        <w:rPr>
          <w:rFonts w:ascii="Inter" w:hAnsi="Inter" w:cs="Inter"/>
          <w:b w:val="0"/>
          <w:i w:val="0"/>
          <w:color w:val="2D2D2D"/>
          <w:sz w:val="22"/>
        </w:rPr>
      </w:r>
      <w:r>
        <w:rPr>
          <w:rFonts w:ascii="Inter" w:hAnsi="Inter" w:cs="Inter"/>
          <w:b/>
          <w:i w:val="0"/>
          <w:color w:val="2D2D2D"/>
          <w:sz w:val="22"/>
        </w:rPr>
        <w:t>Strengths (S) --- internal, positive.</w:t>
      </w:r>
      <w:r>
        <w:rPr>
          <w:rFonts w:ascii="Inter" w:hAnsi="Inter" w:cs="Inter"/>
          <w:b w:val="0"/>
          <w:i w:val="0"/>
          <w:color w:val="2D2D2D"/>
          <w:sz w:val="22"/>
        </w:rPr>
        <w:t xml:space="preserve"> Capabilities, resources, practices, and assets your MOA possesses that give it an advantage in pursuing its mandate.</w:t>
      </w:r>
    </w:p>
    <w:p>
      <w:pPr>
        <w:pStyle w:val="ListBullet"/>
      </w:pPr>
      <w:r>
        <w:rPr>
          <w:rFonts w:ascii="Inter" w:hAnsi="Inter" w:cs="Inter"/>
          <w:b w:val="0"/>
          <w:i w:val="0"/>
          <w:color w:val="2D2D2D"/>
          <w:sz w:val="22"/>
        </w:rPr>
      </w:r>
      <w:r>
        <w:rPr>
          <w:rFonts w:ascii="Inter" w:hAnsi="Inter" w:cs="Inter"/>
          <w:b/>
          <w:i w:val="0"/>
          <w:color w:val="2D2D2D"/>
          <w:sz w:val="22"/>
        </w:rPr>
        <w:t>Weaknesses (W) --- internal, negative.</w:t>
      </w:r>
      <w:r>
        <w:rPr>
          <w:rFonts w:ascii="Inter" w:hAnsi="Inter" w:cs="Inter"/>
          <w:b w:val="0"/>
          <w:i w:val="0"/>
          <w:color w:val="2D2D2D"/>
          <w:sz w:val="22"/>
        </w:rPr>
        <w:t xml:space="preserve"> Gaps, constraints, and limitations within your MOA that impede its ability to fulfill its mandate.</w:t>
      </w:r>
    </w:p>
    <w:p>
      <w:pPr>
        <w:pStyle w:val="ListBullet"/>
      </w:pPr>
      <w:r>
        <w:rPr>
          <w:rFonts w:ascii="Inter" w:hAnsi="Inter" w:cs="Inter"/>
          <w:b w:val="0"/>
          <w:i w:val="0"/>
          <w:color w:val="2D2D2D"/>
          <w:sz w:val="22"/>
        </w:rPr>
      </w:r>
      <w:r>
        <w:rPr>
          <w:rFonts w:ascii="Inter" w:hAnsi="Inter" w:cs="Inter"/>
          <w:b/>
          <w:i w:val="0"/>
          <w:color w:val="2D2D2D"/>
          <w:sz w:val="22"/>
        </w:rPr>
        <w:t>Opportunities (O) --- external, positive.</w:t>
      </w:r>
      <w:r>
        <w:rPr>
          <w:rFonts w:ascii="Inter" w:hAnsi="Inter" w:cs="Inter"/>
          <w:b w:val="0"/>
          <w:i w:val="0"/>
          <w:color w:val="2D2D2D"/>
          <w:sz w:val="22"/>
        </w:rPr>
        <w:t xml:space="preserve"> Conditions, developments, and changes in the external environment that your MOA can exploit to advance its mission.</w:t>
      </w:r>
    </w:p>
    <w:p>
      <w:pPr>
        <w:pStyle w:val="ListBullet"/>
      </w:pPr>
      <w:r>
        <w:rPr>
          <w:rFonts w:ascii="Inter" w:hAnsi="Inter" w:cs="Inter"/>
          <w:b w:val="0"/>
          <w:i w:val="0"/>
          <w:color w:val="2D2D2D"/>
          <w:sz w:val="22"/>
        </w:rPr>
      </w:r>
      <w:r>
        <w:rPr>
          <w:rFonts w:ascii="Inter" w:hAnsi="Inter" w:cs="Inter"/>
          <w:b/>
          <w:i w:val="0"/>
          <w:color w:val="2D2D2D"/>
          <w:sz w:val="22"/>
        </w:rPr>
        <w:t>Threats (T) --- external, negative.</w:t>
      </w:r>
      <w:r>
        <w:rPr>
          <w:rFonts w:ascii="Inter" w:hAnsi="Inter" w:cs="Inter"/>
          <w:b w:val="0"/>
          <w:i w:val="0"/>
          <w:color w:val="2D2D2D"/>
          <w:sz w:val="22"/>
        </w:rPr>
        <w:t xml:space="preserve"> Conditions, developments, and pressures in the external environment that could undermine your MOA's ability to achieve its mission.</w:t>
      </w:r>
    </w:p>
    <w:p>
      <w:pPr>
        <w:spacing w:after="120" w:line="276" w:lineRule="auto"/>
      </w:pPr>
      <w:r>
        <w:rPr>
          <w:rFonts w:ascii="Inter" w:hAnsi="Inter" w:cs="Inter"/>
          <w:b w:val="0"/>
          <w:i w:val="0"/>
          <w:color w:val="2D2D2D"/>
          <w:sz w:val="22"/>
        </w:rPr>
        <w:t>The internal/external distinction matters. Strengths and Weaknesses describe your MOA as it is. You can work on Weaknesses from the inside. Opportunities and Threats describe what is happening outside your MOA. You cannot change them, only respond to them.</w:t>
      </w:r>
    </w:p>
    <w:p>
      <w:pPr>
        <w:spacing w:after="120" w:line="276" w:lineRule="auto"/>
      </w:pPr>
      <w:r>
        <w:rPr>
          <w:rFonts w:ascii="Inter" w:hAnsi="Inter" w:cs="Inter"/>
          <w:b w:val="0"/>
          <w:i w:val="0"/>
          <w:color w:val="2D2D2D"/>
          <w:sz w:val="22"/>
        </w:rPr>
        <w:t>SWOT Analysis is not a brainstorm exercise. It is an analytical exercise. The output of a SWOT is not a list of 40 random items. It is a set of prioritized factors --- typically 3 to 5 per quadrant --- that are genuinely significant for your MOA's strategic direction. A SWOT with more than 6 items per quadrant usually means insufficient prioritization. A SWOT with 2 or fewer items per quadrant usually means the analysis was not thorough enough.</w:t>
      </w:r>
    </w:p>
    <w:p>
      <w:pPr>
        <w:spacing w:after="120" w:line="276" w:lineRule="auto"/>
      </w:pPr>
      <w:r>
        <w:rPr>
          <w:rFonts w:ascii="Inter" w:hAnsi="Inter" w:cs="Inter"/>
          <w:b w:val="0"/>
          <w:i w:val="0"/>
          <w:color w:val="2D2D2D"/>
          <w:sz w:val="22"/>
        </w:rPr>
        <w:t>The value of SWOT comes from the connections across quadrants. The most important question in strategic planning is not "what are our strengths?" but "how do we use our strengths to capture our opportunities and counter our threats, and how do we address our weaknesses before they become critical vulnerabilities?" Strategic thinking begins where the individual quadrants end.</w:t>
      </w:r>
    </w:p>
    <w:p>
      <w:pPr>
        <w:pStyle w:val="Heading3"/>
      </w:pPr>
      <w:r>
        <w:rPr>
          <w:rFonts w:ascii="Inter" w:hAnsi="Inter" w:cs="Inter"/>
          <w:b/>
          <w:i w:val="0"/>
          <w:color w:val="2C5F7C"/>
          <w:sz w:val="26"/>
        </w:rPr>
        <w:t>Problem Statements</w:t>
      </w:r>
    </w:p>
    <w:p>
      <w:pPr>
        <w:spacing w:after="120" w:line="276" w:lineRule="auto"/>
      </w:pPr>
      <w:r>
        <w:rPr>
          <w:rFonts w:ascii="Inter" w:hAnsi="Inter" w:cs="Inter"/>
          <w:b w:val="0"/>
          <w:i w:val="0"/>
          <w:color w:val="2D2D2D"/>
          <w:sz w:val="22"/>
        </w:rPr>
        <w:t>A Problem Statement is a structured, evidence-based articulation of a specific issue that your MOA must address. It translates SWOT findings --- particularly Weaknesses and Threats --- into the concrete problems that your Strategic Objectives are designed to solve.</w:t>
      </w:r>
    </w:p>
    <w:p>
      <w:pPr>
        <w:spacing w:after="120" w:line="276" w:lineRule="auto"/>
      </w:pPr>
      <w:r>
        <w:rPr>
          <w:rFonts w:ascii="Inter" w:hAnsi="Inter" w:cs="Inter"/>
          <w:b w:val="0"/>
          <w:i w:val="0"/>
          <w:color w:val="2D2D2D"/>
          <w:sz w:val="22"/>
        </w:rPr>
        <w:t>A well-written Problem Statement has four components:</w:t>
      </w:r>
    </w:p>
    <w:p>
      <w:pPr>
        <w:pStyle w:val="ListNumber"/>
      </w:pPr>
      <w:r>
        <w:rPr>
          <w:rFonts w:ascii="Inter" w:hAnsi="Inter" w:cs="Inter"/>
          <w:b w:val="0"/>
          <w:i w:val="0"/>
          <w:color w:val="2D2D2D"/>
          <w:sz w:val="22"/>
        </w:rPr>
      </w:r>
      <w:r>
        <w:rPr>
          <w:rFonts w:ascii="Inter" w:hAnsi="Inter" w:cs="Inter"/>
          <w:b/>
          <w:i w:val="0"/>
          <w:color w:val="2D2D2D"/>
          <w:sz w:val="22"/>
        </w:rPr>
        <w:t>The problem.</w:t>
      </w:r>
      <w:r>
        <w:rPr>
          <w:rFonts w:ascii="Inter" w:hAnsi="Inter" w:cs="Inter"/>
          <w:b w:val="0"/>
          <w:i w:val="0"/>
          <w:color w:val="2D2D2D"/>
          <w:sz w:val="22"/>
        </w:rPr>
        <w:t xml:space="preserve"> A clear, specific description of the condition that needs to change.</w:t>
      </w:r>
    </w:p>
    <w:p>
      <w:pPr>
        <w:pStyle w:val="ListNumber"/>
      </w:pPr>
      <w:r>
        <w:rPr>
          <w:rFonts w:ascii="Inter" w:hAnsi="Inter" w:cs="Inter"/>
          <w:b w:val="0"/>
          <w:i w:val="0"/>
          <w:color w:val="2D2D2D"/>
          <w:sz w:val="22"/>
        </w:rPr>
      </w:r>
      <w:r>
        <w:rPr>
          <w:rFonts w:ascii="Inter" w:hAnsi="Inter" w:cs="Inter"/>
          <w:b/>
          <w:i w:val="0"/>
          <w:color w:val="2D2D2D"/>
          <w:sz w:val="22"/>
        </w:rPr>
        <w:t>Root causes.</w:t>
      </w:r>
      <w:r>
        <w:rPr>
          <w:rFonts w:ascii="Inter" w:hAnsi="Inter" w:cs="Inter"/>
          <w:b w:val="0"/>
          <w:i w:val="0"/>
          <w:color w:val="2D2D2D"/>
          <w:sz w:val="22"/>
        </w:rPr>
        <w:t xml:space="preserve"> The underlying factors driving the problem (not the symptoms).</w:t>
      </w:r>
    </w:p>
    <w:p>
      <w:pPr>
        <w:pStyle w:val="ListNumber"/>
      </w:pPr>
      <w:r>
        <w:rPr>
          <w:rFonts w:ascii="Inter" w:hAnsi="Inter" w:cs="Inter"/>
          <w:b w:val="0"/>
          <w:i w:val="0"/>
          <w:color w:val="2D2D2D"/>
          <w:sz w:val="22"/>
        </w:rPr>
      </w:r>
      <w:r>
        <w:rPr>
          <w:rFonts w:ascii="Inter" w:hAnsi="Inter" w:cs="Inter"/>
          <w:b/>
          <w:i w:val="0"/>
          <w:color w:val="2D2D2D"/>
          <w:sz w:val="22"/>
        </w:rPr>
        <w:t>Affected stakeholders.</w:t>
      </w:r>
      <w:r>
        <w:rPr>
          <w:rFonts w:ascii="Inter" w:hAnsi="Inter" w:cs="Inter"/>
          <w:b w:val="0"/>
          <w:i w:val="0"/>
          <w:color w:val="2D2D2D"/>
          <w:sz w:val="22"/>
        </w:rPr>
        <w:t xml:space="preserve"> Who is affected by this problem and how.</w:t>
      </w:r>
    </w:p>
    <w:p>
      <w:pPr>
        <w:pStyle w:val="ListNumber"/>
      </w:pPr>
      <w:r>
        <w:rPr>
          <w:rFonts w:ascii="Inter" w:hAnsi="Inter" w:cs="Inter"/>
          <w:b w:val="0"/>
          <w:i w:val="0"/>
          <w:color w:val="2D2D2D"/>
          <w:sz w:val="22"/>
        </w:rPr>
      </w:r>
      <w:r>
        <w:rPr>
          <w:rFonts w:ascii="Inter" w:hAnsi="Inter" w:cs="Inter"/>
          <w:b/>
          <w:i w:val="0"/>
          <w:color w:val="2D2D2D"/>
          <w:sz w:val="22"/>
        </w:rPr>
        <w:t>Evidence.</w:t>
      </w:r>
      <w:r>
        <w:rPr>
          <w:rFonts w:ascii="Inter" w:hAnsi="Inter" w:cs="Inter"/>
          <w:b w:val="0"/>
          <w:i w:val="0"/>
          <w:color w:val="2D2D2D"/>
          <w:sz w:val="22"/>
        </w:rPr>
        <w:t xml:space="preserve"> Data, reports, or documented experience that confirm the problem exists.</w:t>
      </w:r>
    </w:p>
    <w:p>
      <w:pPr>
        <w:spacing w:after="120" w:line="276" w:lineRule="auto"/>
      </w:pPr>
      <w:r>
        <w:rPr>
          <w:rFonts w:ascii="Inter" w:hAnsi="Inter" w:cs="Inter"/>
          <w:b w:val="0"/>
          <w:i w:val="0"/>
          <w:color w:val="2D2D2D"/>
          <w:sz w:val="22"/>
        </w:rPr>
        <w:t>Problem Statements are important because Strategic Objectives written without a problem analysis tend to be solution-statements rather than outcome-statements. "Build five forest ranger outposts" is a solution. The underlying Problem Statement is something like: "Insufficient patrol presence in classified forestlands enables illegal logging, which has reduced closed forest cover from 102,153 hectares to 84,468 hectares between 2010 and 2015, accelerating watershed degradation and reducing water availability for downstream communities."[^2] A Strategic Objective written in response to that problem would target the reduction of illegal logging incidents, or the restoration of forest cover, or the improvement of patrol coverage ratios --- not the construction of outposts, which is a PPA.</w:t>
      </w:r>
    </w:p>
    <w:p>
      <w:pPr>
        <w:pStyle w:val="Heading3"/>
      </w:pPr>
      <w:r>
        <w:rPr>
          <w:rFonts w:ascii="Inter" w:hAnsi="Inter" w:cs="Inter"/>
          <w:b/>
          <w:i w:val="0"/>
          <w:color w:val="2C5F7C"/>
          <w:sz w:val="26"/>
        </w:rPr>
        <w:t>Strategic Objectives</w:t>
      </w:r>
    </w:p>
    <w:p>
      <w:pPr>
        <w:spacing w:after="120" w:line="276" w:lineRule="auto"/>
      </w:pPr>
      <w:r>
        <w:rPr>
          <w:rFonts w:ascii="Inter" w:hAnsi="Inter" w:cs="Inter"/>
          <w:b w:val="0"/>
          <w:i w:val="0"/>
          <w:color w:val="2D2D2D"/>
          <w:sz w:val="22"/>
        </w:rPr>
        <w:t>A Strategic Objective is a SMART statement of a specific, significant change your MOA commits to achieving within a defined time period. Strategic Objectives bridge your current situation (as revealed by the SWOT and Problem Statements) and your desired future (as described by the Vision).</w:t>
      </w:r>
    </w:p>
    <w:p>
      <w:pPr>
        <w:spacing w:after="120" w:line="276" w:lineRule="auto"/>
      </w:pPr>
      <w:r>
        <w:rPr>
          <w:rFonts w:ascii="Inter" w:hAnsi="Inter" w:cs="Inter"/>
          <w:b w:val="0"/>
          <w:i w:val="0"/>
          <w:color w:val="2D2D2D"/>
          <w:sz w:val="22"/>
        </w:rPr>
      </w:r>
      <w:r>
        <w:rPr>
          <w:rFonts w:ascii="Inter" w:hAnsi="Inter" w:cs="Inter"/>
          <w:b/>
          <w:i w:val="0"/>
          <w:color w:val="2D2D2D"/>
          <w:sz w:val="22"/>
        </w:rPr>
        <w:t>SMART</w:t>
      </w:r>
      <w:r>
        <w:rPr>
          <w:rFonts w:ascii="Inter" w:hAnsi="Inter" w:cs="Inter"/>
          <w:b w:val="0"/>
          <w:i w:val="0"/>
          <w:color w:val="2D2D2D"/>
          <w:sz w:val="22"/>
        </w:rPr>
        <w:t xml:space="preserve"> is an acronym for the five criteria that every Strategic Objective must meet: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Criterion</w:t>
            </w:r>
          </w:p>
        </w:tc>
        <w:tc>
          <w:tcPr>
            <w:tcW w:type="dxa" w:w="2340"/>
            <w:shd w:fill="1B365D"/>
          </w:tcPr>
          <w:p>
            <w:r/>
            <w:r>
              <w:rPr>
                <w:rFonts w:ascii="Inter" w:hAnsi="Inter" w:cs="Inter"/>
                <w:b/>
                <w:i w:val="0"/>
                <w:color w:val="FFFFFF"/>
                <w:sz w:val="19"/>
              </w:rPr>
              <w:t>Question to Test</w:t>
            </w:r>
          </w:p>
        </w:tc>
        <w:tc>
          <w:tcPr>
            <w:tcW w:type="dxa" w:w="2340"/>
            <w:shd w:fill="1B365D"/>
          </w:tcPr>
          <w:p>
            <w:r/>
            <w:r>
              <w:rPr>
                <w:rFonts w:ascii="Inter" w:hAnsi="Inter" w:cs="Inter"/>
                <w:b/>
                <w:i w:val="0"/>
                <w:color w:val="FFFFFF"/>
                <w:sz w:val="19"/>
              </w:rPr>
              <w:t>Pass Example</w:t>
            </w:r>
          </w:p>
        </w:tc>
        <w:tc>
          <w:tcPr>
            <w:tcW w:type="dxa" w:w="2340"/>
            <w:shd w:fill="1B365D"/>
          </w:tcPr>
          <w:p>
            <w:r/>
            <w:r>
              <w:rPr>
                <w:rFonts w:ascii="Inter" w:hAnsi="Inter" w:cs="Inter"/>
                <w:b/>
                <w:i w:val="0"/>
                <w:color w:val="FFFFFF"/>
                <w:sz w:val="19"/>
              </w:rPr>
              <w:t>Fail Example</w:t>
            </w:r>
          </w:p>
        </w:tc>
      </w:tr>
      <w:tr>
        <w:tc>
          <w:tcPr>
            <w:tcW w:type="dxa" w:w="2340"/>
          </w:tcPr>
          <w:p>
            <w:r/>
            <w:r>
              <w:rPr>
                <w:rFonts w:ascii="Inter" w:hAnsi="Inter" w:cs="Inter"/>
                <w:b w:val="0"/>
                <w:i w:val="0"/>
                <w:color w:val="2D2D2D"/>
                <w:sz w:val="19"/>
              </w:rPr>
              <w:t>**Specific**</w:t>
            </w:r>
          </w:p>
        </w:tc>
        <w:tc>
          <w:tcPr>
            <w:tcW w:type="dxa" w:w="2340"/>
          </w:tcPr>
          <w:p>
            <w:r/>
            <w:r>
              <w:rPr>
                <w:rFonts w:ascii="Inter" w:hAnsi="Inter" w:cs="Inter"/>
                <w:b w:val="0"/>
                <w:i w:val="0"/>
                <w:color w:val="2D2D2D"/>
                <w:sz w:val="19"/>
              </w:rPr>
              <w:t>Does the objective clearly state what will change and where?</w:t>
            </w:r>
          </w:p>
        </w:tc>
        <w:tc>
          <w:tcPr>
            <w:tcW w:type="dxa" w:w="2340"/>
          </w:tcPr>
          <w:p>
            <w:r/>
            <w:r>
              <w:rPr>
                <w:rFonts w:ascii="Inter" w:hAnsi="Inter" w:cs="Inter"/>
                <w:b w:val="0"/>
                <w:i w:val="0"/>
                <w:color w:val="2D2D2D"/>
                <w:sz w:val="19"/>
              </w:rPr>
              <w:t>"Increase forest cover in the upland watersheds of Lanao del Sur"</w:t>
            </w:r>
          </w:p>
        </w:tc>
        <w:tc>
          <w:tcPr>
            <w:tcW w:type="dxa" w:w="2340"/>
          </w:tcPr>
          <w:p>
            <w:r/>
            <w:r>
              <w:rPr>
                <w:rFonts w:ascii="Inter" w:hAnsi="Inter" w:cs="Inter"/>
                <w:b w:val="0"/>
                <w:i w:val="0"/>
                <w:color w:val="2D2D2D"/>
                <w:sz w:val="19"/>
              </w:rPr>
              <w:t>"Improve environmental conditions"</w:t>
            </w:r>
          </w:p>
        </w:tc>
      </w:tr>
      <w:tr>
        <w:tc>
          <w:tcPr>
            <w:tcW w:type="dxa" w:w="2340"/>
            <w:shd w:fill="F0F3F6"/>
          </w:tcPr>
          <w:p>
            <w:r/>
            <w:r>
              <w:rPr>
                <w:rFonts w:ascii="Inter" w:hAnsi="Inter" w:cs="Inter"/>
                <w:b w:val="0"/>
                <w:i w:val="0"/>
                <w:color w:val="2D2D2D"/>
                <w:sz w:val="19"/>
              </w:rPr>
              <w:t>**Measurable**</w:t>
            </w:r>
          </w:p>
        </w:tc>
        <w:tc>
          <w:tcPr>
            <w:tcW w:type="dxa" w:w="2340"/>
            <w:shd w:fill="F0F3F6"/>
          </w:tcPr>
          <w:p>
            <w:r/>
            <w:r>
              <w:rPr>
                <w:rFonts w:ascii="Inter" w:hAnsi="Inter" w:cs="Inter"/>
                <w:b w:val="0"/>
                <w:i w:val="0"/>
                <w:color w:val="2D2D2D"/>
                <w:sz w:val="19"/>
              </w:rPr>
              <w:t>Does the objective have a quantifiable target that can be verified?</w:t>
            </w:r>
          </w:p>
        </w:tc>
        <w:tc>
          <w:tcPr>
            <w:tcW w:type="dxa" w:w="2340"/>
            <w:shd w:fill="F0F3F6"/>
          </w:tcPr>
          <w:p>
            <w:r/>
            <w:r>
              <w:rPr>
                <w:rFonts w:ascii="Inter" w:hAnsi="Inter" w:cs="Inter"/>
                <w:b w:val="0"/>
                <w:i w:val="0"/>
                <w:color w:val="2D2D2D"/>
                <w:sz w:val="19"/>
              </w:rPr>
              <w:t>"from 84,468 hectares to 95,000 hectares"</w:t>
            </w:r>
          </w:p>
        </w:tc>
        <w:tc>
          <w:tcPr>
            <w:tcW w:type="dxa" w:w="2340"/>
            <w:shd w:fill="F0F3F6"/>
          </w:tcPr>
          <w:p>
            <w:r/>
            <w:r>
              <w:rPr>
                <w:rFonts w:ascii="Inter" w:hAnsi="Inter" w:cs="Inter"/>
                <w:b w:val="0"/>
                <w:i w:val="0"/>
                <w:color w:val="2D2D2D"/>
                <w:sz w:val="19"/>
              </w:rPr>
              <w:t>"significantly increase forest cover"</w:t>
            </w:r>
          </w:p>
        </w:tc>
      </w:tr>
      <w:tr>
        <w:tc>
          <w:tcPr>
            <w:tcW w:type="dxa" w:w="2340"/>
          </w:tcPr>
          <w:p>
            <w:r/>
            <w:r>
              <w:rPr>
                <w:rFonts w:ascii="Inter" w:hAnsi="Inter" w:cs="Inter"/>
                <w:b w:val="0"/>
                <w:i w:val="0"/>
                <w:color w:val="2D2D2D"/>
                <w:sz w:val="19"/>
              </w:rPr>
              <w:t>**Achievable**</w:t>
            </w:r>
          </w:p>
        </w:tc>
        <w:tc>
          <w:tcPr>
            <w:tcW w:type="dxa" w:w="2340"/>
          </w:tcPr>
          <w:p>
            <w:r/>
            <w:r>
              <w:rPr>
                <w:rFonts w:ascii="Inter" w:hAnsi="Inter" w:cs="Inter"/>
                <w:b w:val="0"/>
                <w:i w:val="0"/>
                <w:color w:val="2D2D2D"/>
                <w:sz w:val="19"/>
              </w:rPr>
              <w:t>Is the target realistic given your baseline, resources, and timeline?</w:t>
            </w:r>
          </w:p>
        </w:tc>
        <w:tc>
          <w:tcPr>
            <w:tcW w:type="dxa" w:w="2340"/>
          </w:tcPr>
          <w:p>
            <w:r/>
            <w:r>
              <w:rPr>
                <w:rFonts w:ascii="Inter" w:hAnsi="Inter" w:cs="Inter"/>
                <w:b w:val="0"/>
                <w:i w:val="0"/>
                <w:color w:val="2D2D2D"/>
                <w:sz w:val="19"/>
              </w:rPr>
              <w:t>A 13% increase over 5 years with existing reforestation capacity</w:t>
            </w:r>
          </w:p>
        </w:tc>
        <w:tc>
          <w:tcPr>
            <w:tcW w:type="dxa" w:w="2340"/>
          </w:tcPr>
          <w:p>
            <w:r/>
            <w:r>
              <w:rPr>
                <w:rFonts w:ascii="Inter" w:hAnsi="Inter" w:cs="Inter"/>
                <w:b w:val="0"/>
                <w:i w:val="0"/>
                <w:color w:val="2D2D2D"/>
                <w:sz w:val="19"/>
              </w:rPr>
              <w:t>A 300% increase with no budget allocation</w:t>
            </w:r>
          </w:p>
        </w:tc>
      </w:tr>
      <w:tr>
        <w:tc>
          <w:tcPr>
            <w:tcW w:type="dxa" w:w="2340"/>
            <w:shd w:fill="F0F3F6"/>
          </w:tcPr>
          <w:p>
            <w:r/>
            <w:r>
              <w:rPr>
                <w:rFonts w:ascii="Inter" w:hAnsi="Inter" w:cs="Inter"/>
                <w:b w:val="0"/>
                <w:i w:val="0"/>
                <w:color w:val="2D2D2D"/>
                <w:sz w:val="19"/>
              </w:rPr>
              <w:t>**Relevant**</w:t>
            </w:r>
          </w:p>
        </w:tc>
        <w:tc>
          <w:tcPr>
            <w:tcW w:type="dxa" w:w="2340"/>
            <w:shd w:fill="F0F3F6"/>
          </w:tcPr>
          <w:p>
            <w:r/>
            <w:r>
              <w:rPr>
                <w:rFonts w:ascii="Inter" w:hAnsi="Inter" w:cs="Inter"/>
                <w:b w:val="0"/>
                <w:i w:val="0"/>
                <w:color w:val="2D2D2D"/>
                <w:sz w:val="19"/>
              </w:rPr>
              <w:t>Does the objective directly serve your mandate and link to BDP goals and priorities?</w:t>
            </w:r>
          </w:p>
        </w:tc>
        <w:tc>
          <w:tcPr>
            <w:tcW w:type="dxa" w:w="2340"/>
            <w:shd w:fill="F0F3F6"/>
          </w:tcPr>
          <w:p>
            <w:r/>
            <w:r>
              <w:rPr>
                <w:rFonts w:ascii="Inter" w:hAnsi="Inter" w:cs="Inter"/>
                <w:b w:val="0"/>
                <w:i w:val="0"/>
                <w:color w:val="2D2D2D"/>
                <w:sz w:val="19"/>
              </w:rPr>
              <w:t>Links to BDP Goal 3 and Priority 8</w:t>
            </w:r>
          </w:p>
        </w:tc>
        <w:tc>
          <w:tcPr>
            <w:tcW w:type="dxa" w:w="2340"/>
            <w:shd w:fill="F0F3F6"/>
          </w:tcPr>
          <w:p>
            <w:r/>
            <w:r>
              <w:rPr>
                <w:rFonts w:ascii="Inter" w:hAnsi="Inter" w:cs="Inter"/>
                <w:b w:val="0"/>
                <w:i w:val="0"/>
                <w:color w:val="2D2D2D"/>
                <w:sz w:val="19"/>
              </w:rPr>
              <w:t>Cannot be connected to any BDP goal or priority</w:t>
            </w:r>
          </w:p>
        </w:tc>
      </w:tr>
      <w:tr>
        <w:tc>
          <w:tcPr>
            <w:tcW w:type="dxa" w:w="2340"/>
          </w:tcPr>
          <w:p>
            <w:r/>
            <w:r>
              <w:rPr>
                <w:rFonts w:ascii="Inter" w:hAnsi="Inter" w:cs="Inter"/>
                <w:b w:val="0"/>
                <w:i w:val="0"/>
                <w:color w:val="2D2D2D"/>
                <w:sz w:val="19"/>
              </w:rPr>
              <w:t>**Time-bound**</w:t>
            </w:r>
          </w:p>
        </w:tc>
        <w:tc>
          <w:tcPr>
            <w:tcW w:type="dxa" w:w="2340"/>
          </w:tcPr>
          <w:p>
            <w:r/>
            <w:r>
              <w:rPr>
                <w:rFonts w:ascii="Inter" w:hAnsi="Inter" w:cs="Inter"/>
                <w:b w:val="0"/>
                <w:i w:val="0"/>
                <w:color w:val="2D2D2D"/>
                <w:sz w:val="19"/>
              </w:rPr>
              <w:t>Does the objective specify a clear target date?</w:t>
            </w:r>
          </w:p>
        </w:tc>
        <w:tc>
          <w:tcPr>
            <w:tcW w:type="dxa" w:w="2340"/>
          </w:tcPr>
          <w:p>
            <w:r/>
            <w:r>
              <w:rPr>
                <w:rFonts w:ascii="Inter" w:hAnsi="Inter" w:cs="Inter"/>
                <w:b w:val="0"/>
                <w:i w:val="0"/>
                <w:color w:val="2D2D2D"/>
                <w:sz w:val="19"/>
              </w:rPr>
              <w:t>"by December 2028"</w:t>
            </w:r>
          </w:p>
        </w:tc>
        <w:tc>
          <w:tcPr>
            <w:tcW w:type="dxa" w:w="2340"/>
          </w:tcPr>
          <w:p>
            <w:r/>
            <w:r>
              <w:rPr>
                <w:rFonts w:ascii="Inter" w:hAnsi="Inter" w:cs="Inter"/>
                <w:b w:val="0"/>
                <w:i w:val="0"/>
                <w:color w:val="2D2D2D"/>
                <w:sz w:val="19"/>
              </w:rPr>
              <w:t>No target date specified</w:t>
            </w:r>
          </w:p>
        </w:tc>
      </w:tr>
    </w:tbl>
    <w:p/>
    <w:p>
      <w:pPr>
        <w:spacing w:after="120" w:line="276" w:lineRule="auto"/>
      </w:pPr>
      <w:r>
        <w:rPr>
          <w:rFonts w:ascii="Inter" w:hAnsi="Inter" w:cs="Inter"/>
          <w:b w:val="0"/>
          <w:i w:val="0"/>
          <w:color w:val="2D2D2D"/>
          <w:sz w:val="22"/>
        </w:rPr>
        <w:t>Three to seven Strategic Objectives is the ideal range for most MOAs. Fewer than three usually means insufficient strategic thinking. More than ten dilutes organizational focus and creates accountability problems --- it becomes impossible to determine which objectives drove which results.</w:t>
      </w:r>
    </w:p>
    <w:p>
      <w:pPr>
        <w:spacing w:after="120" w:line="276" w:lineRule="auto"/>
      </w:pPr>
      <w:r>
        <w:rPr>
          <w:rFonts w:ascii="Inter" w:hAnsi="Inter" w:cs="Inter"/>
          <w:b w:val="0"/>
          <w:i w:val="0"/>
          <w:color w:val="2D2D2D"/>
          <w:sz w:val="22"/>
        </w:rPr>
        <w:t>Strategic Objectives describe *outcomes*, not *outputs* or *activities*. An outcome is a change in conditions. An output is a product or service delivered. An activity is something you do. "Conduct 24 forest patrol missions per year" is an activity. "Reduce illegal logging incidents in classified forestlands by 40%" is an objective. The confusion between outputs, activities, and outcomes is one of the most common errors in BARMM strategic planning.</w:t>
      </w:r>
    </w:p>
    <w:p>
      <w:pPr>
        <w:pStyle w:val="Heading2"/>
      </w:pPr>
      <w:r>
        <w:rPr>
          <w:rFonts w:ascii="Inter" w:hAnsi="Inter" w:cs="Inter"/>
          <w:b/>
          <w:i w:val="0"/>
          <w:color w:val="1B365D"/>
          <w:sz w:val="32"/>
        </w:rPr>
        <w:t>6.3 Step-by-Step Instructions</w:t>
      </w:r>
    </w:p>
    <w:p>
      <w:pPr>
        <w:pStyle w:val="Heading3"/>
      </w:pPr>
      <w:r>
        <w:rPr>
          <w:rFonts w:ascii="Inter" w:hAnsi="Inter" w:cs="Inter"/>
          <w:b/>
          <w:i w:val="0"/>
          <w:color w:val="2C5F7C"/>
          <w:sz w:val="26"/>
        </w:rPr>
        <w:t>Step 1: Draft or Review Your MOA's Vision Statement</w:t>
      </w:r>
    </w:p>
    <w:p>
      <w:pPr>
        <w:spacing w:after="120" w:line="276" w:lineRule="auto"/>
      </w:pPr>
      <w:r>
        <w:rPr>
          <w:rFonts w:ascii="Inter" w:hAnsi="Inter" w:cs="Inter"/>
          <w:b w:val="0"/>
          <w:i w:val="0"/>
          <w:color w:val="2D2D2D"/>
          <w:sz w:val="22"/>
        </w:rPr>
        <w:t>If your MOA has an existing Vision statement, retrieve it and read it critically: Is it aspirational and forward-looking? Does it describe a desired future state, not a list of activities? Does it connect to the BDP goals you identified in Chapter 3? Is it specific enough to give direction without being prescriptive about methods?</w:t>
      </w:r>
    </w:p>
    <w:p>
      <w:pPr>
        <w:spacing w:after="120" w:line="276" w:lineRule="auto"/>
      </w:pPr>
      <w:r>
        <w:rPr>
          <w:rFonts w:ascii="Inter" w:hAnsi="Inter" w:cs="Inter"/>
          <w:b w:val="0"/>
          <w:i w:val="0"/>
          <w:color w:val="2D2D2D"/>
          <w:sz w:val="22"/>
        </w:rPr>
        <w:t>If your MOA does not have a Vision statement, or if the existing one does not pass these tests, draft one.</w:t>
      </w:r>
    </w:p>
    <w:p>
      <w:pPr>
        <w:spacing w:after="120" w:line="276" w:lineRule="auto"/>
      </w:pPr>
      <w:r>
        <w:rPr>
          <w:rFonts w:ascii="Inter" w:hAnsi="Inter" w:cs="Inter"/>
          <w:b w:val="0"/>
          <w:i w:val="0"/>
          <w:color w:val="2D2D2D"/>
          <w:sz w:val="22"/>
        </w:rPr>
        <w:t>Begin by reviewing the BDP goals (Chapter 3) that your MOA is most directly responsible for advancing. Your Vision should describe a future that corresponds to the achievement of those goals *in your sector*. A health ministry's Vision points toward a healthy population. An environment ministry's Vision points toward a sustainably managed natural environment. An education ministry's Vision points toward a literate, capable, and educated citizenry.</w:t>
      </w:r>
    </w:p>
    <w:p>
      <w:pPr>
        <w:spacing w:after="120" w:line="276" w:lineRule="auto"/>
      </w:pPr>
      <w:r>
        <w:rPr>
          <w:rFonts w:ascii="Inter" w:hAnsi="Inter" w:cs="Inter"/>
          <w:b w:val="0"/>
          <w:i w:val="0"/>
          <w:color w:val="2D2D2D"/>
          <w:sz w:val="22"/>
        </w:rPr>
        <w:t>Draft two to three candidate Vision statements and evaluate each against these criteria:</w:t>
      </w:r>
    </w:p>
    <w:p>
      <w:pPr>
        <w:pStyle w:val="ListBullet"/>
      </w:pPr>
      <w:r>
        <w:rPr>
          <w:rFonts w:ascii="Inter" w:hAnsi="Inter" w:cs="Inter"/>
          <w:b w:val="0"/>
          <w:i w:val="0"/>
          <w:color w:val="2D2D2D"/>
          <w:sz w:val="22"/>
        </w:rPr>
        <w:t>Does it describe a future state, not an activity?</w:t>
      </w:r>
    </w:p>
    <w:p>
      <w:pPr>
        <w:pStyle w:val="ListBullet"/>
      </w:pPr>
      <w:r>
        <w:rPr>
          <w:rFonts w:ascii="Inter" w:hAnsi="Inter" w:cs="Inter"/>
          <w:b w:val="0"/>
          <w:i w:val="0"/>
          <w:color w:val="2D2D2D"/>
          <w:sz w:val="22"/>
        </w:rPr>
        <w:t>Is it achievable in principle within a 5 to 10 year horizon?</w:t>
      </w:r>
    </w:p>
    <w:p>
      <w:pPr>
        <w:pStyle w:val="ListBullet"/>
      </w:pPr>
      <w:r>
        <w:rPr>
          <w:rFonts w:ascii="Inter" w:hAnsi="Inter" w:cs="Inter"/>
          <w:b w:val="0"/>
          <w:i w:val="0"/>
          <w:color w:val="2D2D2D"/>
          <w:sz w:val="22"/>
        </w:rPr>
        <w:t>Is it specific enough to be meaningful, but broad enough to encompass your MOA's full mandate?</w:t>
      </w:r>
    </w:p>
    <w:p>
      <w:pPr>
        <w:pStyle w:val="ListBullet"/>
      </w:pPr>
      <w:r>
        <w:rPr>
          <w:rFonts w:ascii="Inter" w:hAnsi="Inter" w:cs="Inter"/>
          <w:b w:val="0"/>
          <w:i w:val="0"/>
          <w:color w:val="2D2D2D"/>
          <w:sz w:val="22"/>
        </w:rPr>
        <w:t>Can a non-expert citizen understand it?</w:t>
      </w:r>
    </w:p>
    <w:p>
      <w:pPr>
        <w:spacing w:after="120" w:line="276" w:lineRule="auto"/>
      </w:pPr>
      <w:r>
        <w:rPr>
          <w:rFonts w:ascii="Inter" w:hAnsi="Inter" w:cs="Inter"/>
          <w:b w:val="0"/>
          <w:i w:val="0"/>
          <w:color w:val="2D2D2D"/>
          <w:sz w:val="22"/>
        </w:rPr>
        <w:t>Bring the candidate statements to your planning team for discussion. The Minister or Executive Director should make the final selection or revise the chosen draft. The Vision is leadership's prerogative.</w:t>
      </w:r>
    </w:p>
    <w:p>
      <w:pPr>
        <w:pStyle w:val="Heading3"/>
      </w:pPr>
      <w:r>
        <w:rPr>
          <w:rFonts w:ascii="Inter" w:hAnsi="Inter" w:cs="Inter"/>
          <w:b/>
          <w:i w:val="0"/>
          <w:color w:val="2C5F7C"/>
          <w:sz w:val="26"/>
        </w:rPr>
        <w:t>Step 2: Draft or Review Your MOA's Mission Statement</w:t>
      </w:r>
    </w:p>
    <w:p>
      <w:pPr>
        <w:spacing w:after="120" w:line="276" w:lineRule="auto"/>
      </w:pPr>
      <w:r>
        <w:rPr>
          <w:rFonts w:ascii="Inter" w:hAnsi="Inter" w:cs="Inter"/>
          <w:b w:val="0"/>
          <w:i w:val="0"/>
          <w:color w:val="2D2D2D"/>
          <w:sz w:val="22"/>
        </w:rPr>
        <w:t>Retrieve your MOA's enabling law or the BOL provisions establishing your MOA's mandate (from Point 1). Read the relevant sections carefully. Your Mission statement should capture the *purpose* expressed in those provisions, not just repeat their language.</w:t>
      </w:r>
    </w:p>
    <w:p>
      <w:pPr>
        <w:spacing w:after="120" w:line="276" w:lineRule="auto"/>
      </w:pPr>
      <w:r>
        <w:rPr>
          <w:rFonts w:ascii="Inter" w:hAnsi="Inter" w:cs="Inter"/>
          <w:b w:val="0"/>
          <w:i w:val="0"/>
          <w:color w:val="2D2D2D"/>
          <w:sz w:val="22"/>
        </w:rPr>
        <w:t>A useful drafting exercise is to answer these three questions in one sentence each:</w:t>
      </w:r>
    </w:p>
    <w:p>
      <w:pPr>
        <w:pStyle w:val="ListNumber"/>
      </w:pPr>
      <w:r>
        <w:rPr>
          <w:rFonts w:ascii="Inter" w:hAnsi="Inter" w:cs="Inter"/>
          <w:b w:val="0"/>
          <w:i w:val="0"/>
          <w:color w:val="2D2D2D"/>
          <w:sz w:val="22"/>
        </w:rPr>
        <w:t>What do we do? (Core functions)</w:t>
      </w:r>
    </w:p>
    <w:p>
      <w:pPr>
        <w:pStyle w:val="ListNumber"/>
      </w:pPr>
      <w:r>
        <w:rPr>
          <w:rFonts w:ascii="Inter" w:hAnsi="Inter" w:cs="Inter"/>
          <w:b w:val="0"/>
          <w:i w:val="0"/>
          <w:color w:val="2D2D2D"/>
          <w:sz w:val="22"/>
        </w:rPr>
        <w:t>For whom? (Beneficiaries)</w:t>
      </w:r>
    </w:p>
    <w:p>
      <w:pPr>
        <w:pStyle w:val="ListNumber"/>
      </w:pPr>
      <w:r>
        <w:rPr>
          <w:rFonts w:ascii="Inter" w:hAnsi="Inter" w:cs="Inter"/>
          <w:b w:val="0"/>
          <w:i w:val="0"/>
          <w:color w:val="2D2D2D"/>
          <w:sz w:val="22"/>
        </w:rPr>
        <w:t>How do we do it? (Approach and standards)</w:t>
      </w:r>
    </w:p>
    <w:p>
      <w:pPr>
        <w:spacing w:after="120" w:line="276" w:lineRule="auto"/>
      </w:pPr>
      <w:r>
        <w:rPr>
          <w:rFonts w:ascii="Inter" w:hAnsi="Inter" w:cs="Inter"/>
          <w:b w:val="0"/>
          <w:i w:val="0"/>
          <w:color w:val="2D2D2D"/>
          <w:sz w:val="22"/>
        </w:rPr>
        <w:t>Then synthesize those three sentences into one or two sentences that read as a coherent statement of purpose.</w:t>
      </w:r>
    </w:p>
    <w:p>
      <w:pPr>
        <w:spacing w:after="120" w:line="276" w:lineRule="auto"/>
      </w:pPr>
      <w:r>
        <w:rPr>
          <w:rFonts w:ascii="Inter" w:hAnsi="Inter" w:cs="Inter"/>
          <w:b w:val="0"/>
          <w:i w:val="0"/>
          <w:color w:val="2D2D2D"/>
          <w:sz w:val="22"/>
        </w:rPr>
        <w:t>Test your draft Mission against these criteria:</w:t>
      </w:r>
    </w:p>
    <w:p>
      <w:pPr>
        <w:pStyle w:val="ListBullet"/>
      </w:pPr>
      <w:r>
        <w:rPr>
          <w:rFonts w:ascii="Inter" w:hAnsi="Inter" w:cs="Inter"/>
          <w:b w:val="0"/>
          <w:i w:val="0"/>
          <w:color w:val="2D2D2D"/>
          <w:sz w:val="22"/>
        </w:rPr>
        <w:t>Is it written in the present tense?</w:t>
      </w:r>
    </w:p>
    <w:p>
      <w:pPr>
        <w:pStyle w:val="ListBullet"/>
      </w:pPr>
      <w:r>
        <w:rPr>
          <w:rFonts w:ascii="Inter" w:hAnsi="Inter" w:cs="Inter"/>
          <w:b w:val="0"/>
          <w:i w:val="0"/>
          <w:color w:val="2D2D2D"/>
          <w:sz w:val="22"/>
        </w:rPr>
        <w:t>Does it describe purpose, not just activities?</w:t>
      </w:r>
    </w:p>
    <w:p>
      <w:pPr>
        <w:pStyle w:val="ListBullet"/>
      </w:pPr>
      <w:r>
        <w:rPr>
          <w:rFonts w:ascii="Inter" w:hAnsi="Inter" w:cs="Inter"/>
          <w:b w:val="0"/>
          <w:i w:val="0"/>
          <w:color w:val="2D2D2D"/>
          <w:sz w:val="22"/>
        </w:rPr>
        <w:t>Does it identify the primary beneficiaries?</w:t>
      </w:r>
    </w:p>
    <w:p>
      <w:pPr>
        <w:pStyle w:val="ListBullet"/>
      </w:pPr>
      <w:r>
        <w:rPr>
          <w:rFonts w:ascii="Inter" w:hAnsi="Inter" w:cs="Inter"/>
          <w:b w:val="0"/>
          <w:i w:val="0"/>
          <w:color w:val="2D2D2D"/>
          <w:sz w:val="22"/>
        </w:rPr>
        <w:t>Is it grounded in your legal mandate?</w:t>
      </w:r>
    </w:p>
    <w:p>
      <w:pPr>
        <w:pStyle w:val="ListBullet"/>
      </w:pPr>
      <w:r>
        <w:rPr>
          <w:rFonts w:ascii="Inter" w:hAnsi="Inter" w:cs="Inter"/>
          <w:b w:val="0"/>
          <w:i w:val="0"/>
          <w:color w:val="2D2D2D"/>
          <w:sz w:val="22"/>
        </w:rPr>
        <w:t>Is it distinct from your Vision (which describes a future state)?</w:t>
      </w:r>
    </w:p>
    <w:p>
      <w:pPr>
        <w:pStyle w:val="Heading3"/>
      </w:pPr>
      <w:r>
        <w:rPr>
          <w:rFonts w:ascii="Inter" w:hAnsi="Inter" w:cs="Inter"/>
          <w:b/>
          <w:i w:val="0"/>
          <w:color w:val="2C5F7C"/>
          <w:sz w:val="26"/>
        </w:rPr>
        <w:t>Step 3: Identify Your MOA's Core Values</w:t>
      </w:r>
    </w:p>
    <w:p>
      <w:pPr>
        <w:spacing w:after="120" w:line="276" w:lineRule="auto"/>
      </w:pPr>
      <w:r>
        <w:rPr>
          <w:rFonts w:ascii="Inter" w:hAnsi="Inter" w:cs="Inter"/>
          <w:b w:val="0"/>
          <w:i w:val="0"/>
          <w:color w:val="2D2D2D"/>
          <w:sz w:val="22"/>
        </w:rPr>
        <w:t>Begin by listing the values that are already implicit in your MOA's legal mandate and operating culture. Consider:</w:t>
      </w:r>
    </w:p>
    <w:p>
      <w:pPr>
        <w:pStyle w:val="ListBullet"/>
      </w:pPr>
      <w:r>
        <w:rPr>
          <w:rFonts w:ascii="Inter" w:hAnsi="Inter" w:cs="Inter"/>
          <w:b w:val="0"/>
          <w:i w:val="0"/>
          <w:color w:val="2D2D2D"/>
          <w:sz w:val="22"/>
        </w:rPr>
        <w:t>What principles does your enabling law or the BOL require you to uphold? (e.g., environmental stewardship, community participation, equity, intergenerational responsibility)</w:t>
      </w:r>
    </w:p>
    <w:p>
      <w:pPr>
        <w:pStyle w:val="ListBullet"/>
      </w:pPr>
      <w:r>
        <w:rPr>
          <w:rFonts w:ascii="Inter" w:hAnsi="Inter" w:cs="Inter"/>
          <w:b w:val="0"/>
          <w:i w:val="0"/>
          <w:color w:val="2D2D2D"/>
          <w:sz w:val="22"/>
        </w:rPr>
        <w:t>What values are explicit in the Chief Minister's Priority 1 (Moral Governance)?</w:t>
      </w:r>
    </w:p>
    <w:p>
      <w:pPr>
        <w:pStyle w:val="ListBullet"/>
      </w:pPr>
      <w:r>
        <w:rPr>
          <w:rFonts w:ascii="Inter" w:hAnsi="Inter" w:cs="Inter"/>
          <w:b w:val="0"/>
          <w:i w:val="0"/>
          <w:color w:val="2D2D2D"/>
          <w:sz w:val="22"/>
        </w:rPr>
        <w:t>What values are essential to your MOA's sector? (A justice ministry must foreground due process and impartiality. An environment ministry must foreground ecological integrity. A social services ministry must foreground dignity and equity.)</w:t>
      </w:r>
    </w:p>
    <w:p>
      <w:pPr>
        <w:pStyle w:val="ListBullet"/>
      </w:pPr>
      <w:r>
        <w:rPr>
          <w:rFonts w:ascii="Inter" w:hAnsi="Inter" w:cs="Inter"/>
          <w:b w:val="0"/>
          <w:i w:val="0"/>
          <w:color w:val="2D2D2D"/>
          <w:sz w:val="22"/>
        </w:rPr>
        <w:t>What values does your MOA's leadership want to build into organizational culture?</w:t>
      </w:r>
    </w:p>
    <w:p>
      <w:pPr>
        <w:spacing w:after="120" w:line="276" w:lineRule="auto"/>
      </w:pPr>
      <w:r>
        <w:rPr>
          <w:rFonts w:ascii="Inter" w:hAnsi="Inter" w:cs="Inter"/>
          <w:b w:val="0"/>
          <w:i w:val="0"/>
          <w:color w:val="2D2D2D"/>
          <w:sz w:val="22"/>
        </w:rPr>
        <w:t>Select four to seven Core Values. More than seven dilutes attention and makes the values impossible to internalize. Fewer than four usually means you have not thought carefully about your specific context.</w:t>
      </w:r>
    </w:p>
    <w:p>
      <w:pPr>
        <w:spacing w:after="120" w:line="276" w:lineRule="auto"/>
      </w:pPr>
      <w:r>
        <w:rPr>
          <w:rFonts w:ascii="Inter" w:hAnsi="Inter" w:cs="Inter"/>
          <w:b w:val="0"/>
          <w:i w:val="0"/>
          <w:color w:val="2D2D2D"/>
          <w:sz w:val="22"/>
        </w:rPr>
        <w:t>For each value, write a one-sentence description and two to three behavioral indicators. The behavioral indicators are what makes the value operational rather than decorative.</w:t>
      </w:r>
    </w:p>
    <w:p>
      <w:pPr>
        <w:pStyle w:val="Heading3"/>
      </w:pPr>
      <w:r>
        <w:rPr>
          <w:rFonts w:ascii="Inter" w:hAnsi="Inter" w:cs="Inter"/>
          <w:b/>
          <w:i w:val="0"/>
          <w:color w:val="2C5F7C"/>
          <w:sz w:val="26"/>
        </w:rPr>
        <w:t>Step 4: Conduct Your SWOT Analysis</w:t>
      </w:r>
    </w:p>
    <w:p>
      <w:pPr>
        <w:spacing w:after="120" w:line="276" w:lineRule="auto"/>
      </w:pPr>
      <w:r>
        <w:rPr>
          <w:rFonts w:ascii="Inter" w:hAnsi="Inter" w:cs="Inter"/>
          <w:b w:val="0"/>
          <w:i w:val="0"/>
          <w:color w:val="2D2D2D"/>
          <w:sz w:val="22"/>
        </w:rPr>
        <w:t>SWOT is a team exercise. Do not write your SWOT alone. Convene your planning team, which should include representatives from your key divisions, field offices, and --- where appropriate --- partner agencies and stakeholders. A SWOT written only by senior management tends to understate Weaknesses and overstate Strengths. A SWOT that includes field staff and implementing units is more honest and more useful.</w:t>
      </w:r>
    </w:p>
    <w:p>
      <w:pPr>
        <w:spacing w:after="120" w:line="276" w:lineRule="auto"/>
      </w:pPr>
      <w:r>
        <w:rPr>
          <w:rFonts w:ascii="Inter" w:hAnsi="Inter" w:cs="Inter"/>
          <w:b w:val="0"/>
          <w:i w:val="0"/>
          <w:color w:val="2D2D2D"/>
          <w:sz w:val="22"/>
        </w:rPr>
        <w:t>Work through each quadrant using the guiding questions below. Write responses on a whiteboard or shared document. Do not self-censor at this stage --- generate the full list, then prioritize.</w:t>
      </w:r>
    </w:p>
    <w:p>
      <w:pPr>
        <w:spacing w:after="120" w:line="276" w:lineRule="auto"/>
      </w:pPr>
      <w:r>
        <w:rPr>
          <w:rFonts w:ascii="Inter" w:hAnsi="Inter" w:cs="Inter"/>
          <w:b w:val="0"/>
          <w:i w:val="0"/>
          <w:color w:val="2D2D2D"/>
          <w:sz w:val="22"/>
        </w:rPr>
      </w:r>
      <w:r>
        <w:rPr>
          <w:rFonts w:ascii="Inter" w:hAnsi="Inter" w:cs="Inter"/>
          <w:b/>
          <w:i w:val="0"/>
          <w:color w:val="2D2D2D"/>
          <w:sz w:val="22"/>
        </w:rPr>
        <w:t>Strengths --- Questions to Ask:</w:t>
      </w:r>
      <w:r>
        <w:rPr>
          <w:rFonts w:ascii="Inter" w:hAnsi="Inter" w:cs="Inter"/>
          <w:b w:val="0"/>
          <w:i w:val="0"/>
          <w:color w:val="2D2D2D"/>
          <w:sz w:val="22"/>
        </w:rPr>
      </w:r>
    </w:p>
    <w:p>
      <w:pPr>
        <w:pStyle w:val="ListBullet"/>
      </w:pPr>
      <w:r>
        <w:rPr>
          <w:rFonts w:ascii="Inter" w:hAnsi="Inter" w:cs="Inter"/>
          <w:b w:val="0"/>
          <w:i w:val="0"/>
          <w:color w:val="2D2D2D"/>
          <w:sz w:val="22"/>
        </w:rPr>
        <w:t>What functions does our MOA perform distinctively well compared to similar agencies?</w:t>
      </w:r>
    </w:p>
    <w:p>
      <w:pPr>
        <w:pStyle w:val="ListBullet"/>
      </w:pPr>
      <w:r>
        <w:rPr>
          <w:rFonts w:ascii="Inter" w:hAnsi="Inter" w:cs="Inter"/>
          <w:b w:val="0"/>
          <w:i w:val="0"/>
          <w:color w:val="2D2D2D"/>
          <w:sz w:val="22"/>
        </w:rPr>
        <w:t>What technical capacities, specialized expertise, or institutional knowledge does our MOA possess that others lack?</w:t>
      </w:r>
    </w:p>
    <w:p>
      <w:pPr>
        <w:pStyle w:val="ListBullet"/>
      </w:pPr>
      <w:r>
        <w:rPr>
          <w:rFonts w:ascii="Inter" w:hAnsi="Inter" w:cs="Inter"/>
          <w:b w:val="0"/>
          <w:i w:val="0"/>
          <w:color w:val="2D2D2D"/>
          <w:sz w:val="22"/>
        </w:rPr>
        <w:t>What established relationships --- with LGUs, communities, development partners, or national agencies --- give us an implementation advantage?</w:t>
      </w:r>
    </w:p>
    <w:p>
      <w:pPr>
        <w:pStyle w:val="ListBullet"/>
      </w:pPr>
      <w:r>
        <w:rPr>
          <w:rFonts w:ascii="Inter" w:hAnsi="Inter" w:cs="Inter"/>
          <w:b w:val="0"/>
          <w:i w:val="0"/>
          <w:color w:val="2D2D2D"/>
          <w:sz w:val="22"/>
        </w:rPr>
        <w:t>What resources (budget, equipment, field presence, data systems) does our MOA have that enable our mandate?</w:t>
      </w:r>
    </w:p>
    <w:p>
      <w:pPr>
        <w:pStyle w:val="ListBullet"/>
      </w:pPr>
      <w:r>
        <w:rPr>
          <w:rFonts w:ascii="Inter" w:hAnsi="Inter" w:cs="Inter"/>
          <w:b w:val="0"/>
          <w:i w:val="0"/>
          <w:color w:val="2D2D2D"/>
          <w:sz w:val="22"/>
        </w:rPr>
        <w:t>What does our track record demonstrate we are capable of delivering?</w:t>
      </w:r>
    </w:p>
    <w:p>
      <w:pPr>
        <w:pStyle w:val="ListBullet"/>
      </w:pPr>
      <w:r>
        <w:rPr>
          <w:rFonts w:ascii="Inter" w:hAnsi="Inter" w:cs="Inter"/>
          <w:b w:val="0"/>
          <w:i w:val="0"/>
          <w:color w:val="2D2D2D"/>
          <w:sz w:val="22"/>
        </w:rPr>
        <w:t>Where do external partners or stakeholders recognize and rely on our capability?</w:t>
      </w:r>
    </w:p>
    <w:p>
      <w:pPr>
        <w:spacing w:after="120" w:line="276" w:lineRule="auto"/>
      </w:pPr>
      <w:r>
        <w:rPr>
          <w:rFonts w:ascii="Inter" w:hAnsi="Inter" w:cs="Inter"/>
          <w:b w:val="0"/>
          <w:i w:val="0"/>
          <w:color w:val="2D2D2D"/>
          <w:sz w:val="22"/>
        </w:rPr>
      </w:r>
      <w:r>
        <w:rPr>
          <w:rFonts w:ascii="Inter" w:hAnsi="Inter" w:cs="Inter"/>
          <w:b/>
          <w:i w:val="0"/>
          <w:color w:val="2D2D2D"/>
          <w:sz w:val="22"/>
        </w:rPr>
        <w:t>Weaknesses --- Questions to Ask:</w:t>
      </w:r>
      <w:r>
        <w:rPr>
          <w:rFonts w:ascii="Inter" w:hAnsi="Inter" w:cs="Inter"/>
          <w:b w:val="0"/>
          <w:i w:val="0"/>
          <w:color w:val="2D2D2D"/>
          <w:sz w:val="22"/>
        </w:rPr>
      </w:r>
    </w:p>
    <w:p>
      <w:pPr>
        <w:pStyle w:val="ListBullet"/>
      </w:pPr>
      <w:r>
        <w:rPr>
          <w:rFonts w:ascii="Inter" w:hAnsi="Inter" w:cs="Inter"/>
          <w:b w:val="0"/>
          <w:i w:val="0"/>
          <w:color w:val="2D2D2D"/>
          <w:sz w:val="22"/>
        </w:rPr>
        <w:t>What functions that our mandate requires are we currently performing below acceptable standards?</w:t>
      </w:r>
    </w:p>
    <w:p>
      <w:pPr>
        <w:pStyle w:val="ListBullet"/>
      </w:pPr>
      <w:r>
        <w:rPr>
          <w:rFonts w:ascii="Inter" w:hAnsi="Inter" w:cs="Inter"/>
          <w:b w:val="0"/>
          <w:i w:val="0"/>
          <w:color w:val="2D2D2D"/>
          <w:sz w:val="22"/>
        </w:rPr>
        <w:t>What capacity gaps --- in staffing, technical skills, equipment, or systems --- constrain our delivery?</w:t>
      </w:r>
    </w:p>
    <w:p>
      <w:pPr>
        <w:pStyle w:val="ListBullet"/>
      </w:pPr>
      <w:r>
        <w:rPr>
          <w:rFonts w:ascii="Inter" w:hAnsi="Inter" w:cs="Inter"/>
          <w:b w:val="0"/>
          <w:i w:val="0"/>
          <w:color w:val="2D2D2D"/>
          <w:sz w:val="22"/>
        </w:rPr>
        <w:t>What are the transition-period legacies we have not yet resolved? (Institutional structures inherited from ARMM that do not fit BARMM's governance framework, staff deployed from pre-BOL arrangements, policy gaps not yet filled by Parliament)</w:t>
      </w:r>
    </w:p>
    <w:p>
      <w:pPr>
        <w:pStyle w:val="ListBullet"/>
      </w:pPr>
      <w:r>
        <w:rPr>
          <w:rFonts w:ascii="Inter" w:hAnsi="Inter" w:cs="Inter"/>
          <w:b w:val="0"/>
          <w:i w:val="0"/>
          <w:color w:val="2D2D2D"/>
          <w:sz w:val="22"/>
        </w:rPr>
        <w:t>What internal processes are slow, fragmented, or prone to failure?</w:t>
      </w:r>
    </w:p>
    <w:p>
      <w:pPr>
        <w:pStyle w:val="ListBullet"/>
      </w:pPr>
      <w:r>
        <w:rPr>
          <w:rFonts w:ascii="Inter" w:hAnsi="Inter" w:cs="Inter"/>
          <w:b w:val="0"/>
          <w:i w:val="0"/>
          <w:color w:val="2D2D2D"/>
          <w:sz w:val="22"/>
        </w:rPr>
        <w:t>What feedback have oversight bodies, development partners, or the communities we serve given us about our performance?</w:t>
      </w:r>
    </w:p>
    <w:p>
      <w:pPr>
        <w:pStyle w:val="ListBullet"/>
      </w:pPr>
      <w:r>
        <w:rPr>
          <w:rFonts w:ascii="Inter" w:hAnsi="Inter" w:cs="Inter"/>
          <w:b w:val="0"/>
          <w:i w:val="0"/>
          <w:color w:val="2D2D2D"/>
          <w:sz w:val="22"/>
        </w:rPr>
        <w:t>Where does our budget execution rate consistently fall short of targets?</w:t>
      </w:r>
    </w:p>
    <w:p>
      <w:pPr>
        <w:spacing w:after="120" w:line="276" w:lineRule="auto"/>
      </w:pPr>
      <w:r>
        <w:rPr>
          <w:rFonts w:ascii="Inter" w:hAnsi="Inter" w:cs="Inter"/>
          <w:b w:val="0"/>
          <w:i w:val="0"/>
          <w:color w:val="2D2D2D"/>
          <w:sz w:val="22"/>
        </w:rPr>
      </w:r>
      <w:r>
        <w:rPr>
          <w:rFonts w:ascii="Inter" w:hAnsi="Inter" w:cs="Inter"/>
          <w:b/>
          <w:i w:val="0"/>
          <w:color w:val="2D2D2D"/>
          <w:sz w:val="22"/>
        </w:rPr>
        <w:t>Opportunities --- Questions to Ask:</w:t>
      </w:r>
      <w:r>
        <w:rPr>
          <w:rFonts w:ascii="Inter" w:hAnsi="Inter" w:cs="Inter"/>
          <w:b w:val="0"/>
          <w:i w:val="0"/>
          <w:color w:val="2D2D2D"/>
          <w:sz w:val="22"/>
        </w:rPr>
      </w:r>
    </w:p>
    <w:p>
      <w:pPr>
        <w:pStyle w:val="ListBullet"/>
      </w:pPr>
      <w:r>
        <w:rPr>
          <w:rFonts w:ascii="Inter" w:hAnsi="Inter" w:cs="Inter"/>
          <w:b w:val="0"/>
          <w:i w:val="0"/>
          <w:color w:val="2D2D2D"/>
          <w:sz w:val="22"/>
        </w:rPr>
        <w:t>What national laws, BAAs, or BOL provisions create new or expanded authority for our MOA that we have not yet fully utilized?</w:t>
      </w:r>
    </w:p>
    <w:p>
      <w:pPr>
        <w:pStyle w:val="ListBullet"/>
      </w:pPr>
      <w:r>
        <w:rPr>
          <w:rFonts w:ascii="Inter" w:hAnsi="Inter" w:cs="Inter"/>
          <w:b w:val="0"/>
          <w:i w:val="0"/>
          <w:color w:val="2D2D2D"/>
          <w:sz w:val="22"/>
        </w:rPr>
        <w:t>What current development partner priorities align with our mandate and could be translated into technical or financial support?</w:t>
      </w:r>
    </w:p>
    <w:p>
      <w:pPr>
        <w:pStyle w:val="ListBullet"/>
      </w:pPr>
      <w:r>
        <w:rPr>
          <w:rFonts w:ascii="Inter" w:hAnsi="Inter" w:cs="Inter"/>
          <w:b w:val="0"/>
          <w:i w:val="0"/>
          <w:color w:val="2D2D2D"/>
          <w:sz w:val="22"/>
        </w:rPr>
        <w:t>What shifts in national policy, regional political conditions, or community demand create an opening for programs our MOA has the mandate to deliver?</w:t>
      </w:r>
    </w:p>
    <w:p>
      <w:pPr>
        <w:pStyle w:val="ListBullet"/>
      </w:pPr>
      <w:r>
        <w:rPr>
          <w:rFonts w:ascii="Inter" w:hAnsi="Inter" w:cs="Inter"/>
          <w:b w:val="0"/>
          <w:i w:val="0"/>
          <w:color w:val="2D2D2D"/>
          <w:sz w:val="22"/>
        </w:rPr>
        <w:t>What BDP goals and Priority Agenda items call for programs that our MOA is best positioned to lead?</w:t>
      </w:r>
    </w:p>
    <w:p>
      <w:pPr>
        <w:pStyle w:val="ListBullet"/>
      </w:pPr>
      <w:r>
        <w:rPr>
          <w:rFonts w:ascii="Inter" w:hAnsi="Inter" w:cs="Inter"/>
          <w:b w:val="0"/>
          <w:i w:val="0"/>
          <w:color w:val="2D2D2D"/>
          <w:sz w:val="22"/>
        </w:rPr>
        <w:t>What new technologies, methodologies, or approaches in our sector could improve our delivery if we adopt them?</w:t>
      </w:r>
    </w:p>
    <w:p>
      <w:pPr>
        <w:pStyle w:val="ListBullet"/>
      </w:pPr>
      <w:r>
        <w:rPr>
          <w:rFonts w:ascii="Inter" w:hAnsi="Inter" w:cs="Inter"/>
          <w:b w:val="0"/>
          <w:i w:val="0"/>
          <w:color w:val="2D2D2D"/>
          <w:sz w:val="22"/>
        </w:rPr>
        <w:t>What LGU capacities, community organizations, or private sector partnerships could extend our reach and amplify our impact?</w:t>
      </w:r>
    </w:p>
    <w:p>
      <w:pPr>
        <w:spacing w:after="120" w:line="276" w:lineRule="auto"/>
      </w:pPr>
      <w:r>
        <w:rPr>
          <w:rFonts w:ascii="Inter" w:hAnsi="Inter" w:cs="Inter"/>
          <w:b w:val="0"/>
          <w:i w:val="0"/>
          <w:color w:val="2D2D2D"/>
          <w:sz w:val="22"/>
        </w:rPr>
      </w:r>
      <w:r>
        <w:rPr>
          <w:rFonts w:ascii="Inter" w:hAnsi="Inter" w:cs="Inter"/>
          <w:b/>
          <w:i w:val="0"/>
          <w:color w:val="2D2D2D"/>
          <w:sz w:val="22"/>
        </w:rPr>
        <w:t>Threats --- Questions to Ask:</w:t>
      </w:r>
      <w:r>
        <w:rPr>
          <w:rFonts w:ascii="Inter" w:hAnsi="Inter" w:cs="Inter"/>
          <w:b w:val="0"/>
          <w:i w:val="0"/>
          <w:color w:val="2D2D2D"/>
          <w:sz w:val="22"/>
        </w:rPr>
      </w:r>
    </w:p>
    <w:p>
      <w:pPr>
        <w:pStyle w:val="ListBullet"/>
      </w:pPr>
      <w:r>
        <w:rPr>
          <w:rFonts w:ascii="Inter" w:hAnsi="Inter" w:cs="Inter"/>
          <w:b w:val="0"/>
          <w:i w:val="0"/>
          <w:color w:val="2D2D2D"/>
          <w:sz w:val="22"/>
        </w:rPr>
        <w:t>What environmental, demographic, or socioeconomic trends in BARMM are worsening the problems our MOA is responsible for managing?</w:t>
      </w:r>
    </w:p>
    <w:p>
      <w:pPr>
        <w:pStyle w:val="ListBullet"/>
      </w:pPr>
      <w:r>
        <w:rPr>
          <w:rFonts w:ascii="Inter" w:hAnsi="Inter" w:cs="Inter"/>
          <w:b w:val="0"/>
          <w:i w:val="0"/>
          <w:color w:val="2D2D2D"/>
          <w:sz w:val="22"/>
        </w:rPr>
        <w:t>What political or institutional changes --- shifts in administration priorities, budget cuts, reorganizations, interagency conflicts --- could undermine our capacity to deliver?</w:t>
      </w:r>
    </w:p>
    <w:p>
      <w:pPr>
        <w:pStyle w:val="ListBullet"/>
      </w:pPr>
      <w:r>
        <w:rPr>
          <w:rFonts w:ascii="Inter" w:hAnsi="Inter" w:cs="Inter"/>
          <w:b w:val="0"/>
          <w:i w:val="0"/>
          <w:color w:val="2D2D2D"/>
          <w:sz w:val="22"/>
        </w:rPr>
        <w:t>What overlapping mandates with other MOAs or national agencies create coordination problems or jurisdictional disputes that impede our work?</w:t>
      </w:r>
    </w:p>
    <w:p>
      <w:pPr>
        <w:pStyle w:val="ListBullet"/>
      </w:pPr>
      <w:r>
        <w:rPr>
          <w:rFonts w:ascii="Inter" w:hAnsi="Inter" w:cs="Inter"/>
          <w:b w:val="0"/>
          <w:i w:val="0"/>
          <w:color w:val="2D2D2D"/>
          <w:sz w:val="22"/>
        </w:rPr>
        <w:t>What gaps in national or regional policy leave our mandate partially unenforceable or our communities inadequately protected?</w:t>
      </w:r>
    </w:p>
    <w:p>
      <w:pPr>
        <w:pStyle w:val="ListBullet"/>
      </w:pPr>
      <w:r>
        <w:rPr>
          <w:rFonts w:ascii="Inter" w:hAnsi="Inter" w:cs="Inter"/>
          <w:b w:val="0"/>
          <w:i w:val="0"/>
          <w:color w:val="2D2D2D"/>
          <w:sz w:val="22"/>
        </w:rPr>
        <w:t>What security and conflict dynamics in our operating areas affect our ability to deploy staff, deliver services, or enforce regulations?</w:t>
      </w:r>
    </w:p>
    <w:p>
      <w:pPr>
        <w:pStyle w:val="ListBullet"/>
      </w:pPr>
      <w:r>
        <w:rPr>
          <w:rFonts w:ascii="Inter" w:hAnsi="Inter" w:cs="Inter"/>
          <w:b w:val="0"/>
          <w:i w:val="0"/>
          <w:color w:val="2D2D2D"/>
          <w:sz w:val="22"/>
        </w:rPr>
        <w:t>What climate change risks affect the sector we manage? How are those risks changing the scale or urgency of the problems we face?</w:t>
      </w:r>
    </w:p>
    <w:p>
      <w:pPr>
        <w:spacing w:after="120" w:line="276" w:lineRule="auto"/>
      </w:pPr>
      <w:r>
        <w:rPr>
          <w:rFonts w:ascii="Inter" w:hAnsi="Inter" w:cs="Inter"/>
          <w:b w:val="0"/>
          <w:i w:val="0"/>
          <w:color w:val="2D2D2D"/>
          <w:sz w:val="22"/>
        </w:rPr>
        <w:t>After generating responses to each quadrant, prioritize. Keep the three to five items per quadrant that are most significant for your strategic direction. Archive the rest; they are not lost, but they should not drive your strategy.</w:t>
      </w:r>
    </w:p>
    <w:p>
      <w:pPr>
        <w:pStyle w:val="Heading3"/>
      </w:pPr>
      <w:r>
        <w:rPr>
          <w:rFonts w:ascii="Inter" w:hAnsi="Inter" w:cs="Inter"/>
          <w:b/>
          <w:i w:val="0"/>
          <w:color w:val="2C5F7C"/>
          <w:sz w:val="26"/>
        </w:rPr>
        <w:t>Step 5: Formulate Problem Statements from SWOT Findings</w:t>
      </w:r>
    </w:p>
    <w:p>
      <w:pPr>
        <w:spacing w:after="120" w:line="276" w:lineRule="auto"/>
      </w:pPr>
      <w:r>
        <w:rPr>
          <w:rFonts w:ascii="Inter" w:hAnsi="Inter" w:cs="Inter"/>
          <w:b w:val="0"/>
          <w:i w:val="0"/>
          <w:color w:val="2D2D2D"/>
          <w:sz w:val="22"/>
        </w:rPr>
        <w:t>Review your Weaknesses and Threats and identify the two to five most significant problems your MOA must address. For each, write a Problem Statement using this structure:</w:t>
      </w:r>
    </w:p>
    <w:p>
      <w:pPr>
        <w:spacing w:after="120" w:line="276" w:lineRule="auto"/>
      </w:pPr>
      <w:r>
        <w:rPr>
          <w:rFonts w:ascii="Inter" w:hAnsi="Inter" w:cs="Inter"/>
          <w:b w:val="0"/>
          <w:i w:val="0"/>
          <w:color w:val="2D2D2D"/>
          <w:sz w:val="22"/>
        </w:rPr>
      </w:r>
      <w:r>
        <w:rPr>
          <w:rFonts w:ascii="Inter" w:hAnsi="Inter" w:cs="Inter"/>
          <w:b/>
          <w:i w:val="0"/>
          <w:color w:val="2D2D2D"/>
          <w:sz w:val="22"/>
        </w:rPr>
        <w:t>Problem:</w:t>
      </w:r>
      <w:r>
        <w:rPr>
          <w:rFonts w:ascii="Inter" w:hAnsi="Inter" w:cs="Inter"/>
          <w:b w:val="0"/>
          <w:i w:val="0"/>
          <w:color w:val="2D2D2D"/>
          <w:sz w:val="22"/>
        </w:rPr>
        <w:t xml:space="preserve"> [Specific description of the condition that needs to change.]</w:t>
      </w:r>
    </w:p>
    <w:p>
      <w:pPr>
        <w:spacing w:after="120" w:line="276" w:lineRule="auto"/>
      </w:pPr>
      <w:r>
        <w:rPr>
          <w:rFonts w:ascii="Inter" w:hAnsi="Inter" w:cs="Inter"/>
          <w:b w:val="0"/>
          <w:i w:val="0"/>
          <w:color w:val="2D2D2D"/>
          <w:sz w:val="22"/>
        </w:rPr>
      </w:r>
      <w:r>
        <w:rPr>
          <w:rFonts w:ascii="Inter" w:hAnsi="Inter" w:cs="Inter"/>
          <w:b/>
          <w:i w:val="0"/>
          <w:color w:val="2D2D2D"/>
          <w:sz w:val="22"/>
        </w:rPr>
        <w:t>Root Causes:</w:t>
      </w:r>
      <w:r>
        <w:rPr>
          <w:rFonts w:ascii="Inter" w:hAnsi="Inter" w:cs="Inter"/>
          <w:b w:val="0"/>
          <w:i w:val="0"/>
          <w:color w:val="2D2D2D"/>
          <w:sz w:val="22"/>
        </w:rPr>
      </w:r>
    </w:p>
    <w:p>
      <w:pPr>
        <w:pStyle w:val="ListBullet"/>
      </w:pPr>
      <w:r>
        <w:rPr>
          <w:rFonts w:ascii="Inter" w:hAnsi="Inter" w:cs="Inter"/>
          <w:b w:val="0"/>
          <w:i w:val="0"/>
          <w:color w:val="2D2D2D"/>
          <w:sz w:val="22"/>
        </w:rPr>
        <w:t>[Cause 1]</w:t>
      </w:r>
    </w:p>
    <w:p>
      <w:pPr>
        <w:pStyle w:val="ListBullet"/>
      </w:pPr>
      <w:r>
        <w:rPr>
          <w:rFonts w:ascii="Inter" w:hAnsi="Inter" w:cs="Inter"/>
          <w:b w:val="0"/>
          <w:i w:val="0"/>
          <w:color w:val="2D2D2D"/>
          <w:sz w:val="22"/>
        </w:rPr>
        <w:t>[Cause 2]</w:t>
      </w:r>
    </w:p>
    <w:p>
      <w:pPr>
        <w:pStyle w:val="ListBullet"/>
      </w:pPr>
      <w:r>
        <w:rPr>
          <w:rFonts w:ascii="Inter" w:hAnsi="Inter" w:cs="Inter"/>
          <w:b w:val="0"/>
          <w:i w:val="0"/>
          <w:color w:val="2D2D2D"/>
          <w:sz w:val="22"/>
        </w:rPr>
        <w:t>[Cause 3]</w:t>
      </w:r>
    </w:p>
    <w:p>
      <w:pPr>
        <w:spacing w:after="120" w:line="276" w:lineRule="auto"/>
      </w:pPr>
      <w:r>
        <w:rPr>
          <w:rFonts w:ascii="Inter" w:hAnsi="Inter" w:cs="Inter"/>
          <w:b w:val="0"/>
          <w:i w:val="0"/>
          <w:color w:val="2D2D2D"/>
          <w:sz w:val="22"/>
        </w:rPr>
      </w:r>
      <w:r>
        <w:rPr>
          <w:rFonts w:ascii="Inter" w:hAnsi="Inter" w:cs="Inter"/>
          <w:b/>
          <w:i w:val="0"/>
          <w:color w:val="2D2D2D"/>
          <w:sz w:val="22"/>
        </w:rPr>
        <w:t>Affected Stakeholders:</w:t>
      </w:r>
      <w:r>
        <w:rPr>
          <w:rFonts w:ascii="Inter" w:hAnsi="Inter" w:cs="Inter"/>
          <w:b w:val="0"/>
          <w:i w:val="0"/>
          <w:color w:val="2D2D2D"/>
          <w:sz w:val="22"/>
        </w:rPr>
        <w:t xml:space="preserve"> [Who is affected, and how.]</w:t>
      </w:r>
    </w:p>
    <w:p>
      <w:pPr>
        <w:spacing w:after="120" w:line="276" w:lineRule="auto"/>
      </w:pPr>
      <w:r>
        <w:rPr>
          <w:rFonts w:ascii="Inter" w:hAnsi="Inter" w:cs="Inter"/>
          <w:b w:val="0"/>
          <w:i w:val="0"/>
          <w:color w:val="2D2D2D"/>
          <w:sz w:val="22"/>
        </w:rPr>
      </w:r>
      <w:r>
        <w:rPr>
          <w:rFonts w:ascii="Inter" w:hAnsi="Inter" w:cs="Inter"/>
          <w:b/>
          <w:i w:val="0"/>
          <w:color w:val="2D2D2D"/>
          <w:sz w:val="22"/>
        </w:rPr>
        <w:t>Evidence:</w:t>
      </w:r>
      <w:r>
        <w:rPr>
          <w:rFonts w:ascii="Inter" w:hAnsi="Inter" w:cs="Inter"/>
          <w:b w:val="0"/>
          <w:i w:val="0"/>
          <w:color w:val="2D2D2D"/>
          <w:sz w:val="22"/>
        </w:rPr>
        <w:t xml:space="preserve"> [Data, reports, or documented experience confirming the problem.]</w:t>
      </w:r>
    </w:p>
    <w:p>
      <w:pPr>
        <w:spacing w:after="120" w:line="276" w:lineRule="auto"/>
      </w:pPr>
      <w:r>
        <w:rPr>
          <w:rFonts w:ascii="Inter" w:hAnsi="Inter" w:cs="Inter"/>
          <w:b w:val="0"/>
          <w:i w:val="0"/>
          <w:color w:val="2D2D2D"/>
          <w:sz w:val="22"/>
        </w:rPr>
        <w:t>Keep Problem Statements to one paragraph or structured format. They do not need to be long. They need to be specific, evidence-grounded, and clearly linked to your SWOT findings.</w:t>
      </w:r>
    </w:p>
    <w:p>
      <w:pPr>
        <w:pStyle w:val="Heading3"/>
      </w:pPr>
      <w:r>
        <w:rPr>
          <w:rFonts w:ascii="Inter" w:hAnsi="Inter" w:cs="Inter"/>
          <w:b/>
          <w:i w:val="0"/>
          <w:color w:val="2C5F7C"/>
          <w:sz w:val="26"/>
        </w:rPr>
        <w:t>Step 6: Write 3 to 7 Strategic Objectives That Pass the SMART Test</w:t>
      </w:r>
    </w:p>
    <w:p>
      <w:pPr>
        <w:spacing w:after="120" w:line="276" w:lineRule="auto"/>
      </w:pPr>
      <w:r>
        <w:rPr>
          <w:rFonts w:ascii="Inter" w:hAnsi="Inter" w:cs="Inter"/>
          <w:b w:val="0"/>
          <w:i w:val="0"/>
          <w:color w:val="2D2D2D"/>
          <w:sz w:val="22"/>
        </w:rPr>
        <w:t>For each major Problem Statement, develop a corresponding Strategic Objective. Use this process:</w:t>
      </w:r>
    </w:p>
    <w:p>
      <w:pPr>
        <w:pStyle w:val="ListNumber"/>
      </w:pPr>
      <w:r>
        <w:rPr>
          <w:rFonts w:ascii="Inter" w:hAnsi="Inter" w:cs="Inter"/>
          <w:b w:val="0"/>
          <w:i w:val="0"/>
          <w:color w:val="2D2D2D"/>
          <w:sz w:val="22"/>
        </w:rPr>
        <w:t>Identify what change you need to achieve in order to address the problem.</w:t>
      </w:r>
    </w:p>
    <w:p>
      <w:pPr>
        <w:pStyle w:val="ListNumber"/>
      </w:pPr>
      <w:r>
        <w:rPr>
          <w:rFonts w:ascii="Inter" w:hAnsi="Inter" w:cs="Inter"/>
          <w:b w:val="0"/>
          <w:i w:val="0"/>
          <w:color w:val="2D2D2D"/>
          <w:sz w:val="22"/>
        </w:rPr>
        <w:t>State that change as an outcome (not an activity or output).</w:t>
      </w:r>
    </w:p>
    <w:p>
      <w:pPr>
        <w:pStyle w:val="ListNumber"/>
      </w:pPr>
      <w:r>
        <w:rPr>
          <w:rFonts w:ascii="Inter" w:hAnsi="Inter" w:cs="Inter"/>
          <w:b w:val="0"/>
          <w:i w:val="0"/>
          <w:color w:val="2D2D2D"/>
          <w:sz w:val="22"/>
        </w:rPr>
        <w:t>Set a quantitative target (or a clearly defined qualitative threshold if quantitative measurement is not feasible).</w:t>
      </w:r>
    </w:p>
    <w:p>
      <w:pPr>
        <w:pStyle w:val="ListNumber"/>
      </w:pPr>
      <w:r>
        <w:rPr>
          <w:rFonts w:ascii="Inter" w:hAnsi="Inter" w:cs="Inter"/>
          <w:b w:val="0"/>
          <w:i w:val="0"/>
          <w:color w:val="2D2D2D"/>
          <w:sz w:val="22"/>
        </w:rPr>
        <w:t>Establish the baseline --- the current state you are measuring from.</w:t>
      </w:r>
    </w:p>
    <w:p>
      <w:pPr>
        <w:pStyle w:val="ListNumber"/>
      </w:pPr>
      <w:r>
        <w:rPr>
          <w:rFonts w:ascii="Inter" w:hAnsi="Inter" w:cs="Inter"/>
          <w:b w:val="0"/>
          <w:i w:val="0"/>
          <w:color w:val="2D2D2D"/>
          <w:sz w:val="22"/>
        </w:rPr>
        <w:t>Set a realistic target date.</w:t>
      </w:r>
    </w:p>
    <w:p>
      <w:pPr>
        <w:pStyle w:val="ListNumber"/>
      </w:pPr>
      <w:r>
        <w:rPr>
          <w:rFonts w:ascii="Inter" w:hAnsi="Inter" w:cs="Inter"/>
          <w:b w:val="0"/>
          <w:i w:val="0"/>
          <w:color w:val="2D2D2D"/>
          <w:sz w:val="22"/>
        </w:rPr>
        <w:t>Test against all five SMART criteria. Revise until each criterion is met.</w:t>
      </w:r>
    </w:p>
    <w:p>
      <w:pPr>
        <w:spacing w:after="120" w:line="276" w:lineRule="auto"/>
      </w:pPr>
      <w:r>
        <w:rPr>
          <w:rFonts w:ascii="Inter" w:hAnsi="Inter" w:cs="Inter"/>
          <w:b w:val="0"/>
          <w:i w:val="0"/>
          <w:color w:val="2D2D2D"/>
          <w:sz w:val="22"/>
        </w:rPr>
        <w:t>If you find yourself writing more than seven objectives, revisit your prioritization. Ask: Which of these objectives, if achieved, would have the greatest impact on our Vision? Which can be folded into others? Which belong in the PPA level rather than the objective level?</w:t>
      </w:r>
    </w:p>
    <w:p>
      <w:pPr>
        <w:pStyle w:val="Heading3"/>
      </w:pPr>
      <w:r>
        <w:rPr>
          <w:rFonts w:ascii="Inter" w:hAnsi="Inter" w:cs="Inter"/>
          <w:b/>
          <w:i w:val="0"/>
          <w:color w:val="2C5F7C"/>
          <w:sz w:val="26"/>
        </w:rPr>
        <w:t>Step 7: Link Each Objective to BDP Goals and Priority Agenda Items</w:t>
      </w:r>
    </w:p>
    <w:p>
      <w:pPr>
        <w:spacing w:after="120" w:line="276" w:lineRule="auto"/>
      </w:pPr>
      <w:r>
        <w:rPr>
          <w:rFonts w:ascii="Inter" w:hAnsi="Inter" w:cs="Inter"/>
          <w:b w:val="0"/>
          <w:i w:val="0"/>
          <w:color w:val="2D2D2D"/>
          <w:sz w:val="22"/>
        </w:rPr>
        <w:t>Return to your BDP alignment work (Chapter 3) and your Priority Agenda mapping (Chapter 4). For each Strategic Objective, identify:</w:t>
      </w:r>
    </w:p>
    <w:p>
      <w:pPr>
        <w:pStyle w:val="ListBullet"/>
      </w:pPr>
      <w:r>
        <w:rPr>
          <w:rFonts w:ascii="Inter" w:hAnsi="Inter" w:cs="Inter"/>
          <w:b w:val="0"/>
          <w:i w:val="0"/>
          <w:color w:val="2D2D2D"/>
          <w:sz w:val="22"/>
        </w:rPr>
        <w:t>The BDP Goal or Goals it contributes to.</w:t>
      </w:r>
    </w:p>
    <w:p>
      <w:pPr>
        <w:pStyle w:val="ListBullet"/>
      </w:pPr>
      <w:r>
        <w:rPr>
          <w:rFonts w:ascii="Inter" w:hAnsi="Inter" w:cs="Inter"/>
          <w:b w:val="0"/>
          <w:i w:val="0"/>
          <w:color w:val="2D2D2D"/>
          <w:sz w:val="22"/>
        </w:rPr>
        <w:t>The Priority Agenda item or items it advances.</w:t>
      </w:r>
    </w:p>
    <w:p>
      <w:pPr>
        <w:spacing w:after="120" w:line="276" w:lineRule="auto"/>
      </w:pPr>
      <w:r>
        <w:rPr>
          <w:rFonts w:ascii="Inter" w:hAnsi="Inter" w:cs="Inter"/>
          <w:b w:val="0"/>
          <w:i w:val="0"/>
          <w:color w:val="2D2D2D"/>
          <w:sz w:val="22"/>
        </w:rPr>
        <w:t>Every Strategic Objective should link to at least one BDP Goal. If you cannot identify a BDP linkage, reconsider whether the objective belongs in your strategic plan or whether you have stated it at the wrong level of abstraction.</w:t>
      </w:r>
    </w:p>
    <w:p>
      <w:pPr>
        <w:spacing w:after="120" w:line="276" w:lineRule="auto"/>
      </w:pPr>
      <w:r>
        <w:rPr>
          <w:rFonts w:ascii="Inter" w:hAnsi="Inter" w:cs="Inter"/>
          <w:b w:val="0"/>
          <w:i w:val="0"/>
          <w:color w:val="2D2D2D"/>
          <w:sz w:val="22"/>
        </w:rPr>
        <w:t>Record these linkages in your Strategic Objectives table (Section 6.7).</w:t>
      </w:r>
    </w:p>
    <w:p>
      <w:pPr>
        <w:pStyle w:val="Heading3"/>
      </w:pPr>
      <w:r>
        <w:rPr>
          <w:rFonts w:ascii="Inter" w:hAnsi="Inter" w:cs="Inter"/>
          <w:b/>
          <w:i w:val="0"/>
          <w:color w:val="2C5F7C"/>
          <w:sz w:val="26"/>
        </w:rPr>
        <w:t>Step 8: Complete the Vision-Mission-Values Statement and Strategic Objectives Document</w:t>
      </w:r>
    </w:p>
    <w:p>
      <w:pPr>
        <w:spacing w:after="120" w:line="276" w:lineRule="auto"/>
      </w:pPr>
      <w:r>
        <w:rPr>
          <w:rFonts w:ascii="Inter" w:hAnsi="Inter" w:cs="Inter"/>
          <w:b w:val="0"/>
          <w:i w:val="0"/>
          <w:color w:val="2D2D2D"/>
          <w:sz w:val="22"/>
        </w:rPr>
        <w:t>Compile all outputs from Steps 1 through 7 into a complete, formally documented product. This document --- the Vision-Mission-Values Statement and Strategic Objectives --- is a standalone reference document that should be shared with all staff and distributed to BPDA as part of your plan submission. It is also the document your Minister or Executive Director presents to the Chief Minister, Parliament, or development partners when asked about your MOA's strategic direction.</w:t>
      </w:r>
    </w:p>
    <w:p>
      <w:pPr>
        <w:pStyle w:val="Heading2"/>
      </w:pPr>
      <w:r>
        <w:rPr>
          <w:rFonts w:ascii="Inter" w:hAnsi="Inter" w:cs="Inter"/>
          <w:b/>
          <w:i w:val="0"/>
          <w:color w:val="1B365D"/>
          <w:sz w:val="32"/>
        </w:rPr>
        <w:t>6.4 Worked Example: OOBC</w:t>
      </w:r>
    </w:p>
    <w:p>
      <w:pPr>
        <w:spacing w:after="120" w:line="276" w:lineRule="auto"/>
      </w:pPr>
      <w:r>
        <w:rPr>
          <w:rFonts w:ascii="Inter" w:hAnsi="Inter" w:cs="Inter"/>
          <w:b w:val="0"/>
          <w:i w:val="0"/>
          <w:color w:val="2D2D2D"/>
          <w:sz w:val="22"/>
        </w:rPr>
        <w:t>The following worked example uses the Office for Other Bangsamoro Communities (OOBC) to illustrate each component of Point 5. OOBC is an office attached to the Office of the Chief Minister (OCM), mandated under BOL Article VI, Section 12 to ensure equitable access to services and opportunities for Bangsamoro communities living outside the BARMM core territory.</w:t>
      </w:r>
    </w:p>
    <w:p>
      <w:pPr>
        <w:pStyle w:val="Heading3"/>
      </w:pPr>
      <w:r>
        <w:rPr>
          <w:rFonts w:ascii="Inter" w:hAnsi="Inter" w:cs="Inter"/>
          <w:b/>
          <w:i w:val="0"/>
          <w:color w:val="2C5F7C"/>
          <w:sz w:val="26"/>
        </w:rPr>
        <w:t>Vision Statement</w:t>
      </w:r>
    </w:p>
    <w:p>
      <w:pPr>
        <w:spacing w:after="120" w:line="276" w:lineRule="auto"/>
        <w:ind w:left="850"/>
      </w:pPr>
      <w:r>
        <w:rPr>
          <w:rFonts w:ascii="Inter" w:hAnsi="Inter" w:cs="Inter"/>
          <w:b w:val="0"/>
          <w:i/>
          <w:color w:val="2D2D2D"/>
          <w:sz w:val="22"/>
        </w:rPr>
        <w:t>All Bangsamoro communities --- regardless of location --- are included, supported, and given equal opportunities for development.</w:t>
      </w:r>
    </w:p>
    <w:p>
      <w:pPr>
        <w:spacing w:after="120" w:line="276" w:lineRule="auto"/>
      </w:pPr>
      <w:r>
        <w:rPr>
          <w:rFonts w:ascii="Inter" w:hAnsi="Inter" w:cs="Inter"/>
          <w:b w:val="0"/>
          <w:i w:val="0"/>
          <w:color w:val="2D2D2D"/>
          <w:sz w:val="22"/>
        </w:rPr>
      </w:r>
      <w:r>
        <w:rPr>
          <w:rFonts w:ascii="Inter" w:hAnsi="Inter" w:cs="Inter"/>
          <w:b/>
          <w:i w:val="0"/>
          <w:color w:val="2D2D2D"/>
          <w:sz w:val="22"/>
        </w:rPr>
        <w:t>Analysis:</w:t>
      </w:r>
      <w:r>
        <w:rPr>
          <w:rFonts w:ascii="Inter" w:hAnsi="Inter" w:cs="Inter"/>
          <w:b w:val="0"/>
          <w:i w:val="0"/>
          <w:color w:val="2D2D2D"/>
          <w:sz w:val="22"/>
        </w:rPr>
        <w:t xml:space="preserve"> This Vision names OOBC's constituency (Bangsamoro communities regardless of location), describes the desired future state (included, supported, given equal opportunities), and frames the aspiration around development. It does not list OOBC's activities or internal processes. It describes an outcome that matters to the dispersed Bangsamoro populations OOBC serves --- a condition where geographic distance from the BARMM core territory no longer means exclusion from regional development.</w:t>
      </w:r>
    </w:p>
    <w:p>
      <w:pPr>
        <w:pStyle w:val="Heading3"/>
      </w:pPr>
      <w:r>
        <w:rPr>
          <w:rFonts w:ascii="Inter" w:hAnsi="Inter" w:cs="Inter"/>
          <w:b/>
          <w:i w:val="0"/>
          <w:color w:val="2C5F7C"/>
          <w:sz w:val="26"/>
        </w:rPr>
        <w:t>Mission Statement</w:t>
      </w:r>
    </w:p>
    <w:p>
      <w:pPr>
        <w:spacing w:after="120" w:line="276" w:lineRule="auto"/>
        <w:ind w:left="850"/>
      </w:pPr>
      <w:r>
        <w:rPr>
          <w:rFonts w:ascii="Inter" w:hAnsi="Inter" w:cs="Inter"/>
          <w:b w:val="0"/>
          <w:i/>
          <w:color w:val="2D2D2D"/>
          <w:sz w:val="22"/>
        </w:rPr>
        <w:t>To bridge service gaps and strengthen engagement with Bangsamoro populations beyond the BARMM core territory, in accordance with the mandate established under Article VI, Section 12 of the Bangsamoro Organic Law, by coordinating with local government units, national government agencies, BARMM ministries, and development partners to promote inclusive development, preserve cultural identity, and ensure that Other Bangsamoro Communities receive equitable access to the programs and services of the Bangsamoro Government.[^3]</w:t>
      </w:r>
    </w:p>
    <w:p>
      <w:pPr>
        <w:spacing w:after="120" w:line="276" w:lineRule="auto"/>
      </w:pPr>
      <w:r>
        <w:rPr>
          <w:rFonts w:ascii="Inter" w:hAnsi="Inter" w:cs="Inter"/>
          <w:b w:val="0"/>
          <w:i w:val="0"/>
          <w:color w:val="2D2D2D"/>
          <w:sz w:val="22"/>
        </w:rPr>
      </w:r>
      <w:r>
        <w:rPr>
          <w:rFonts w:ascii="Inter" w:hAnsi="Inter" w:cs="Inter"/>
          <w:b/>
          <w:i w:val="0"/>
          <w:color w:val="2D2D2D"/>
          <w:sz w:val="22"/>
        </w:rPr>
        <w:t>Analysis:</w:t>
      </w:r>
      <w:r>
        <w:rPr>
          <w:rFonts w:ascii="Inter" w:hAnsi="Inter" w:cs="Inter"/>
          <w:b w:val="0"/>
          <w:i w:val="0"/>
          <w:color w:val="2D2D2D"/>
          <w:sz w:val="22"/>
        </w:rPr>
        <w:t xml:space="preserve"> The Mission is grounded in BOL Article VI, Section 12, which provides for the rights and welfare of Bangsamoro communities outside the autonomous region. The Mission names OOBC's core function (bridging service gaps and strengthening engagement), identifies its coordination partners (LGUs, NGAs, BARMM ministries, development partners), and articulates its purpose (inclusive development, cultural preservation, equitable access). It is written in the present tense.</w:t>
      </w:r>
    </w:p>
    <w:p>
      <w:pPr>
        <w:pStyle w:val="Heading3"/>
      </w:pPr>
      <w:r>
        <w:rPr>
          <w:rFonts w:ascii="Inter" w:hAnsi="Inter" w:cs="Inter"/>
          <w:b/>
          <w:i w:val="0"/>
          <w:color w:val="2C5F7C"/>
          <w:sz w:val="26"/>
        </w:rPr>
        <w:t>Core Values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Value</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Behavioral Indicators</w:t>
            </w:r>
          </w:p>
        </w:tc>
      </w:tr>
      <w:tr>
        <w:tc>
          <w:tcPr>
            <w:tcW w:type="dxa" w:w="3120"/>
          </w:tcPr>
          <w:p>
            <w:r/>
            <w:r>
              <w:rPr>
                <w:rFonts w:ascii="Inter" w:hAnsi="Inter" w:cs="Inter"/>
                <w:b w:val="0"/>
                <w:i w:val="0"/>
                <w:color w:val="2D2D2D"/>
                <w:sz w:val="19"/>
              </w:rPr>
              <w:t>**Inclusivity**</w:t>
            </w:r>
          </w:p>
        </w:tc>
        <w:tc>
          <w:tcPr>
            <w:tcW w:type="dxa" w:w="3120"/>
          </w:tcPr>
          <w:p>
            <w:r/>
            <w:r>
              <w:rPr>
                <w:rFonts w:ascii="Inter" w:hAnsi="Inter" w:cs="Inter"/>
                <w:b w:val="0"/>
                <w:i w:val="0"/>
                <w:color w:val="2D2D2D"/>
                <w:sz w:val="19"/>
              </w:rPr>
              <w:t>We ensure that no Bangsamoro community is left behind because of geographic location.</w:t>
            </w:r>
          </w:p>
        </w:tc>
        <w:tc>
          <w:tcPr>
            <w:tcW w:type="dxa" w:w="3120"/>
          </w:tcPr>
          <w:p>
            <w:r/>
            <w:r>
              <w:rPr>
                <w:rFonts w:ascii="Inter" w:hAnsi="Inter" w:cs="Inter"/>
                <w:b w:val="0"/>
                <w:i w:val="0"/>
                <w:color w:val="2D2D2D"/>
                <w:sz w:val="19"/>
              </w:rPr>
              <w:t>We actively seek out communities with the least access to services. We design programs that account for the dispersed and varied conditions of OBCs. We track service reach by community and province to identify gaps.</w:t>
            </w:r>
          </w:p>
        </w:tc>
      </w:tr>
      <w:tr>
        <w:tc>
          <w:tcPr>
            <w:tcW w:type="dxa" w:w="3120"/>
            <w:shd w:fill="F0F3F6"/>
          </w:tcPr>
          <w:p>
            <w:r/>
            <w:r>
              <w:rPr>
                <w:rFonts w:ascii="Inter" w:hAnsi="Inter" w:cs="Inter"/>
                <w:b w:val="0"/>
                <w:i w:val="0"/>
                <w:color w:val="2D2D2D"/>
                <w:sz w:val="19"/>
              </w:rPr>
              <w:t>**Moral Governance**</w:t>
            </w:r>
          </w:p>
        </w:tc>
        <w:tc>
          <w:tcPr>
            <w:tcW w:type="dxa" w:w="3120"/>
            <w:shd w:fill="F0F3F6"/>
          </w:tcPr>
          <w:p>
            <w:r/>
            <w:r>
              <w:rPr>
                <w:rFonts w:ascii="Inter" w:hAnsi="Inter" w:cs="Inter"/>
                <w:b w:val="0"/>
                <w:i w:val="0"/>
                <w:color w:val="2D2D2D"/>
                <w:sz w:val="19"/>
              </w:rPr>
              <w:t>We uphold the 12 Pillars of Moral Governance as the standard for all our decisions and conduct.</w:t>
            </w:r>
          </w:p>
        </w:tc>
        <w:tc>
          <w:tcPr>
            <w:tcW w:type="dxa" w:w="3120"/>
            <w:shd w:fill="F0F3F6"/>
          </w:tcPr>
          <w:p>
            <w:r/>
            <w:r>
              <w:rPr>
                <w:rFonts w:ascii="Inter" w:hAnsi="Inter" w:cs="Inter"/>
                <w:b w:val="0"/>
                <w:i w:val="0"/>
                <w:color w:val="2D2D2D"/>
                <w:sz w:val="19"/>
              </w:rPr>
              <w:t>We submit complete and accurate budget utilization reports. We follow competitive procurement processes. We hold staff accountable for performance against targets.</w:t>
            </w:r>
          </w:p>
        </w:tc>
      </w:tr>
      <w:tr>
        <w:tc>
          <w:tcPr>
            <w:tcW w:type="dxa" w:w="3120"/>
          </w:tcPr>
          <w:p>
            <w:r/>
            <w:r>
              <w:rPr>
                <w:rFonts w:ascii="Inter" w:hAnsi="Inter" w:cs="Inter"/>
                <w:b w:val="0"/>
                <w:i w:val="0"/>
                <w:color w:val="2D2D2D"/>
                <w:sz w:val="19"/>
              </w:rPr>
              <w:t>**Cultural Preservation**</w:t>
            </w:r>
          </w:p>
        </w:tc>
        <w:tc>
          <w:tcPr>
            <w:tcW w:type="dxa" w:w="3120"/>
          </w:tcPr>
          <w:p>
            <w:r/>
            <w:r>
              <w:rPr>
                <w:rFonts w:ascii="Inter" w:hAnsi="Inter" w:cs="Inter"/>
                <w:b w:val="0"/>
                <w:i w:val="0"/>
                <w:color w:val="2D2D2D"/>
                <w:sz w:val="19"/>
              </w:rPr>
              <w:t>We recognize that Bangsamoro communities outside BARMM face unique risks to their cultural identity, and we actively support efforts to preserve language, traditions, and heritage.</w:t>
            </w:r>
          </w:p>
        </w:tc>
        <w:tc>
          <w:tcPr>
            <w:tcW w:type="dxa" w:w="3120"/>
          </w:tcPr>
          <w:p>
            <w:r/>
            <w:r>
              <w:rPr>
                <w:rFonts w:ascii="Inter" w:hAnsi="Inter" w:cs="Inter"/>
                <w:b w:val="0"/>
                <w:i w:val="0"/>
                <w:color w:val="2D2D2D"/>
                <w:sz w:val="19"/>
              </w:rPr>
              <w:t>We incorporate cultural identity concerns into program design. We consult community elders and cultural leaders in planning activities. We document and promote traditional practices in our advocacy materials.</w:t>
            </w:r>
          </w:p>
        </w:tc>
      </w:tr>
      <w:tr>
        <w:tc>
          <w:tcPr>
            <w:tcW w:type="dxa" w:w="3120"/>
            <w:shd w:fill="F0F3F6"/>
          </w:tcPr>
          <w:p>
            <w:r/>
            <w:r>
              <w:rPr>
                <w:rFonts w:ascii="Inter" w:hAnsi="Inter" w:cs="Inter"/>
                <w:b w:val="0"/>
                <w:i w:val="0"/>
                <w:color w:val="2D2D2D"/>
                <w:sz w:val="19"/>
              </w:rPr>
              <w:t>**Accountability**</w:t>
            </w:r>
          </w:p>
        </w:tc>
        <w:tc>
          <w:tcPr>
            <w:tcW w:type="dxa" w:w="3120"/>
            <w:shd w:fill="F0F3F6"/>
          </w:tcPr>
          <w:p>
            <w:r/>
            <w:r>
              <w:rPr>
                <w:rFonts w:ascii="Inter" w:hAnsi="Inter" w:cs="Inter"/>
                <w:b w:val="0"/>
                <w:i w:val="0"/>
                <w:color w:val="2D2D2D"/>
                <w:sz w:val="19"/>
              </w:rPr>
              <w:t>We are transparent about how we use resources and what results we achieve for the communities we serve.</w:t>
            </w:r>
          </w:p>
        </w:tc>
        <w:tc>
          <w:tcPr>
            <w:tcW w:type="dxa" w:w="3120"/>
            <w:shd w:fill="F0F3F6"/>
          </w:tcPr>
          <w:p>
            <w:r/>
            <w:r>
              <w:rPr>
                <w:rFonts w:ascii="Inter" w:hAnsi="Inter" w:cs="Inter"/>
                <w:b w:val="0"/>
                <w:i w:val="0"/>
                <w:color w:val="2D2D2D"/>
                <w:sz w:val="19"/>
              </w:rPr>
              <w:t>We publish program accomplishment reports. We respond to community feedback and complaints within defined timeframes. We report results using verifiable indicators, not activity counts alone.</w:t>
            </w:r>
          </w:p>
        </w:tc>
      </w:tr>
      <w:tr>
        <w:tc>
          <w:tcPr>
            <w:tcW w:type="dxa" w:w="3120"/>
          </w:tcPr>
          <w:p>
            <w:r/>
            <w:r>
              <w:rPr>
                <w:rFonts w:ascii="Inter" w:hAnsi="Inter" w:cs="Inter"/>
                <w:b w:val="0"/>
                <w:i w:val="0"/>
                <w:color w:val="2D2D2D"/>
                <w:sz w:val="19"/>
              </w:rPr>
              <w:t>**Service Excellence**</w:t>
            </w:r>
          </w:p>
        </w:tc>
        <w:tc>
          <w:tcPr>
            <w:tcW w:type="dxa" w:w="3120"/>
          </w:tcPr>
          <w:p>
            <w:r/>
            <w:r>
              <w:rPr>
                <w:rFonts w:ascii="Inter" w:hAnsi="Inter" w:cs="Inter"/>
                <w:b w:val="0"/>
                <w:i w:val="0"/>
                <w:color w:val="2D2D2D"/>
                <w:sz w:val="19"/>
              </w:rPr>
              <w:t>We deliver responsive, high-quality services that reflect the urgency and dignity of the communities we serve.</w:t>
            </w:r>
          </w:p>
        </w:tc>
        <w:tc>
          <w:tcPr>
            <w:tcW w:type="dxa" w:w="3120"/>
          </w:tcPr>
          <w:p>
            <w:r/>
            <w:r>
              <w:rPr>
                <w:rFonts w:ascii="Inter" w:hAnsi="Inter" w:cs="Inter"/>
                <w:b w:val="0"/>
                <w:i w:val="0"/>
                <w:color w:val="2D2D2D"/>
                <w:sz w:val="19"/>
              </w:rPr>
              <w:t>We process public service requests within established turnaround times. We follow up on referrals to confirm service delivery. We continuously improve our systems based on feedback and performance data.</w:t>
            </w:r>
          </w:p>
        </w:tc>
      </w:tr>
    </w:tbl>
    <w:p/>
    <w:p>
      <w:pPr>
        <w:pStyle w:val="Heading3"/>
      </w:pPr>
      <w:r>
        <w:rPr>
          <w:rFonts w:ascii="Inter" w:hAnsi="Inter" w:cs="Inter"/>
          <w:b/>
          <w:i w:val="0"/>
          <w:color w:val="2C5F7C"/>
          <w:sz w:val="26"/>
        </w:rPr>
        <w:t>SWOT Analysis</w:t>
      </w:r>
    </w:p>
    <w:p>
      <w:pPr>
        <w:spacing w:after="120" w:line="276" w:lineRule="auto"/>
      </w:pPr>
      <w:r>
        <w:rPr>
          <w:rFonts w:ascii="Inter" w:hAnsi="Inter" w:cs="Inter"/>
          <w:b w:val="0"/>
          <w:i w:val="0"/>
          <w:color w:val="2D2D2D"/>
          <w:sz w:val="22"/>
        </w:rPr>
      </w:r>
      <w:r>
        <w:rPr>
          <w:rFonts w:ascii="Inter" w:hAnsi="Inter" w:cs="Inter"/>
          <w:b/>
          <w:i w:val="0"/>
          <w:color w:val="2D2D2D"/>
          <w:sz w:val="22"/>
        </w:rPr>
        <w:t>Strengths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Direct attachment to the Office of the Chief Minister.</w:t>
      </w:r>
      <w:r>
        <w:rPr>
          <w:rFonts w:ascii="Inter" w:hAnsi="Inter" w:cs="Inter"/>
          <w:b w:val="0"/>
          <w:i w:val="0"/>
          <w:color w:val="2D2D2D"/>
          <w:sz w:val="22"/>
        </w:rPr>
        <w:t xml:space="preserve"> OOBC's institutional placement under the OCM provides high-level executive support and positions the office to coordinate across ministries and agencies with the authority of the Chief Minister's office behind it.[^4]</w:t>
      </w:r>
    </w:p>
    <w:p>
      <w:pPr>
        <w:pStyle w:val="ListNumber"/>
      </w:pPr>
      <w:r>
        <w:rPr>
          <w:rFonts w:ascii="Inter" w:hAnsi="Inter" w:cs="Inter"/>
          <w:b w:val="0"/>
          <w:i w:val="0"/>
          <w:color w:val="2D2D2D"/>
          <w:sz w:val="22"/>
        </w:rPr>
      </w:r>
      <w:r>
        <w:rPr>
          <w:rFonts w:ascii="Inter" w:hAnsi="Inter" w:cs="Inter"/>
          <w:b/>
          <w:i w:val="0"/>
          <w:color w:val="2D2D2D"/>
          <w:sz w:val="22"/>
        </w:rPr>
        <w:t>Expanding field presence and growing partnerships.</w:t>
      </w:r>
      <w:r>
        <w:rPr>
          <w:rFonts w:ascii="Inter" w:hAnsi="Inter" w:cs="Inter"/>
          <w:b w:val="0"/>
          <w:i w:val="0"/>
          <w:color w:val="2D2D2D"/>
          <w:sz w:val="22"/>
        </w:rPr>
        <w:t xml:space="preserve"> OOBC has established and is expanding field operations in provinces with significant OBC populations, building direct relationships with communities and developing coordination linkages with LGUs and NGAs in those areas.</w:t>
      </w:r>
    </w:p>
    <w:p>
      <w:pPr>
        <w:spacing w:after="120" w:line="276" w:lineRule="auto"/>
      </w:pPr>
      <w:r>
        <w:rPr>
          <w:rFonts w:ascii="Inter" w:hAnsi="Inter" w:cs="Inter"/>
          <w:b w:val="0"/>
          <w:i w:val="0"/>
          <w:color w:val="2D2D2D"/>
          <w:sz w:val="22"/>
        </w:rPr>
      </w:r>
      <w:r>
        <w:rPr>
          <w:rFonts w:ascii="Inter" w:hAnsi="Inter" w:cs="Inter"/>
          <w:b/>
          <w:i w:val="0"/>
          <w:color w:val="2D2D2D"/>
          <w:sz w:val="22"/>
        </w:rPr>
        <w:t>Weaknesses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Limited staff complement constraining operational reach.</w:t>
      </w:r>
      <w:r>
        <w:rPr>
          <w:rFonts w:ascii="Inter" w:hAnsi="Inter" w:cs="Inter"/>
          <w:b w:val="0"/>
          <w:i w:val="0"/>
          <w:color w:val="2D2D2D"/>
          <w:sz w:val="22"/>
        </w:rPr>
        <w:t xml:space="preserve"> With approximately 25 personnel, OOBC's staffing is insufficient to maintain consistent field presence across the multiple provinces and regions where OBCs are located, limiting the office's ability to conduct regular community engagement and service coordination.</w:t>
      </w:r>
    </w:p>
    <w:p>
      <w:pPr>
        <w:pStyle w:val="ListNumber"/>
      </w:pPr>
      <w:r>
        <w:rPr>
          <w:rFonts w:ascii="Inter" w:hAnsi="Inter" w:cs="Inter"/>
          <w:b w:val="0"/>
          <w:i w:val="0"/>
          <w:color w:val="2D2D2D"/>
          <w:sz w:val="22"/>
        </w:rPr>
      </w:r>
      <w:r>
        <w:rPr>
          <w:rFonts w:ascii="Inter" w:hAnsi="Inter" w:cs="Inter"/>
          <w:b/>
          <w:i w:val="0"/>
          <w:color w:val="2D2D2D"/>
          <w:sz w:val="22"/>
        </w:rPr>
        <w:t>Manual systems and documentation gaps.</w:t>
      </w:r>
      <w:r>
        <w:rPr>
          <w:rFonts w:ascii="Inter" w:hAnsi="Inter" w:cs="Inter"/>
          <w:b w:val="0"/>
          <w:i w:val="0"/>
          <w:color w:val="2D2D2D"/>
          <w:sz w:val="22"/>
        </w:rPr>
        <w:t xml:space="preserve"> OOBC lacks a unified digital data system for OBC community profiling, service request tracking, and program monitoring. Existing records are fragmented and manually maintained, making it difficult to produce comprehensive reports, track service delivery outcomes, or use data for evidence-based planning. The office also has limited fiscal autonomy, with fund releases subject to delays that constrain operational flexibility.</w:t>
      </w:r>
    </w:p>
    <w:p>
      <w:pPr>
        <w:spacing w:after="120" w:line="276" w:lineRule="auto"/>
      </w:pPr>
      <w:r>
        <w:rPr>
          <w:rFonts w:ascii="Inter" w:hAnsi="Inter" w:cs="Inter"/>
          <w:b w:val="0"/>
          <w:i w:val="0"/>
          <w:color w:val="2D2D2D"/>
          <w:sz w:val="22"/>
        </w:rPr>
      </w:r>
      <w:r>
        <w:rPr>
          <w:rFonts w:ascii="Inter" w:hAnsi="Inter" w:cs="Inter"/>
          <w:b/>
          <w:i w:val="0"/>
          <w:color w:val="2D2D2D"/>
          <w:sz w:val="22"/>
        </w:rPr>
        <w:t>Opportunities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Growing recognition of the OBC agenda within BARMM governance.</w:t>
      </w:r>
      <w:r>
        <w:rPr>
          <w:rFonts w:ascii="Inter" w:hAnsi="Inter" w:cs="Inter"/>
          <w:b w:val="0"/>
          <w:i w:val="0"/>
          <w:color w:val="2D2D2D"/>
          <w:sz w:val="22"/>
        </w:rPr>
        <w:t xml:space="preserve"> Increasing attention to the conditions of Bangsamoro communities outside the core territory --- from the Chief Minister's office, Parliament, and development partners --- creates a favorable environment for OOBC to expand its mandate implementation, secure additional resources, and formalize coordination mechanisms.</w:t>
      </w:r>
    </w:p>
    <w:p>
      <w:pPr>
        <w:pStyle w:val="ListNumber"/>
      </w:pPr>
      <w:r>
        <w:rPr>
          <w:rFonts w:ascii="Inter" w:hAnsi="Inter" w:cs="Inter"/>
          <w:b w:val="0"/>
          <w:i w:val="0"/>
          <w:color w:val="2D2D2D"/>
          <w:sz w:val="22"/>
        </w:rPr>
      </w:r>
      <w:r>
        <w:rPr>
          <w:rFonts w:ascii="Inter" w:hAnsi="Inter" w:cs="Inter"/>
          <w:b/>
          <w:i w:val="0"/>
          <w:color w:val="2D2D2D"/>
          <w:sz w:val="22"/>
        </w:rPr>
        <w:t>BDP alignment and potential for formal coordination agreements.</w:t>
      </w:r>
      <w:r>
        <w:rPr>
          <w:rFonts w:ascii="Inter" w:hAnsi="Inter" w:cs="Inter"/>
          <w:b w:val="0"/>
          <w:i w:val="0"/>
          <w:color w:val="2D2D2D"/>
          <w:sz w:val="22"/>
        </w:rPr>
        <w:t xml:space="preserve"> The 2nd Bangsamoro Development Plan's Goals 1 (Accountable Government), 3 (Resilient Communities), and 4 (Inclusive Social Services) provide a clear policy framework for OOBC programs. The potential to formalize MOUs and MOAs with LGUs, NGAs, and BARMM ministries offers a pathway to institutionalize service delivery coordination for OBCs.</w:t>
      </w:r>
    </w:p>
    <w:p>
      <w:pPr>
        <w:spacing w:after="120" w:line="276" w:lineRule="auto"/>
      </w:pPr>
      <w:r>
        <w:rPr>
          <w:rFonts w:ascii="Inter" w:hAnsi="Inter" w:cs="Inter"/>
          <w:b w:val="0"/>
          <w:i w:val="0"/>
          <w:color w:val="2D2D2D"/>
          <w:sz w:val="22"/>
        </w:rPr>
      </w:r>
      <w:r>
        <w:rPr>
          <w:rFonts w:ascii="Inter" w:hAnsi="Inter" w:cs="Inter"/>
          <w:b/>
          <w:i w:val="0"/>
          <w:color w:val="2D2D2D"/>
          <w:sz w:val="22"/>
        </w:rPr>
        <w:t>Threats</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Continued marginalization and discrimination of OBCs outside BARMM.</w:t>
      </w:r>
      <w:r>
        <w:rPr>
          <w:rFonts w:ascii="Inter" w:hAnsi="Inter" w:cs="Inter"/>
          <w:b w:val="0"/>
          <w:i w:val="0"/>
          <w:color w:val="2D2D2D"/>
          <w:sz w:val="22"/>
        </w:rPr>
        <w:t xml:space="preserve"> Bangsamoro communities living outside the autonomous region continue to face systemic challenges --- limited access to government services, economic exclusion, and erosion of cultural identity --- that OOBC cannot address alone and that may worsen without sustained and coordinated intervention.</w:t>
      </w:r>
    </w:p>
    <w:p>
      <w:pPr>
        <w:pStyle w:val="ListNumber"/>
      </w:pPr>
      <w:r>
        <w:rPr>
          <w:rFonts w:ascii="Inter" w:hAnsi="Inter" w:cs="Inter"/>
          <w:b w:val="0"/>
          <w:i w:val="0"/>
          <w:color w:val="2D2D2D"/>
          <w:sz w:val="22"/>
        </w:rPr>
      </w:r>
      <w:r>
        <w:rPr>
          <w:rFonts w:ascii="Inter" w:hAnsi="Inter" w:cs="Inter"/>
          <w:b/>
          <w:i w:val="0"/>
          <w:color w:val="2D2D2D"/>
          <w:sz w:val="22"/>
        </w:rPr>
        <w:t>Coordination gaps and political changes affecting mandate implementation.</w:t>
      </w:r>
      <w:r>
        <w:rPr>
          <w:rFonts w:ascii="Inter" w:hAnsi="Inter" w:cs="Inter"/>
          <w:b w:val="0"/>
          <w:i w:val="0"/>
          <w:color w:val="2D2D2D"/>
          <w:sz w:val="22"/>
        </w:rPr>
        <w:t xml:space="preserve"> Weak inter-agency coordination between BARMM entities, LGUs, and national agencies limits service delivery to OBCs. Changes in political leadership or administration priorities could reduce institutional support for OOBC's mandate, and resource constraints --- including delayed fund releases and limited fiscal autonomy --- threaten operational continuity.</w:t>
      </w:r>
    </w:p>
    <w:p>
      <w:pPr>
        <w:pStyle w:val="Heading3"/>
      </w:pPr>
      <w:r>
        <w:rPr>
          <w:rFonts w:ascii="Inter" w:hAnsi="Inter" w:cs="Inter"/>
          <w:b/>
          <w:i w:val="0"/>
          <w:color w:val="2C5F7C"/>
          <w:sz w:val="26"/>
        </w:rPr>
        <w:t>Strategic Objectives</w:t>
      </w:r>
    </w:p>
    <w:p>
      <w:pPr>
        <w:spacing w:after="120" w:line="276" w:lineRule="auto"/>
      </w:pPr>
      <w:r>
        <w:rPr>
          <w:rFonts w:ascii="Inter" w:hAnsi="Inter" w:cs="Inter"/>
          <w:b w:val="0"/>
          <w:i w:val="0"/>
          <w:color w:val="2D2D2D"/>
          <w:sz w:val="22"/>
        </w:rPr>
      </w:r>
      <w:r>
        <w:rPr>
          <w:rFonts w:ascii="Inter" w:hAnsi="Inter" w:cs="Inter"/>
          <w:b/>
          <w:i w:val="0"/>
          <w:color w:val="2D2D2D"/>
          <w:sz w:val="22"/>
        </w:rPr>
        <w:t>SO-1: Establish a comprehensive OBC community database covering [X] provinces by December 2028, consolidating community profiles, needs assessments, and service delivery records into a unified digital system.</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BDP Alignment:</w:t>
      </w:r>
      <w:r>
        <w:rPr>
          <w:rFonts w:ascii="Inter" w:hAnsi="Inter" w:cs="Inter"/>
          <w:b w:val="0"/>
          <w:i w:val="0"/>
          <w:color w:val="2D2D2D"/>
          <w:sz w:val="22"/>
        </w:rPr>
        <w:t xml:space="preserve"> Goal 1 (Stable, Just, and Accountable Government --- evidence-based governance), Goal 4 (Inclusive, Responsive, and Quality Social Services --- data-driven service delivery)</w:t>
      </w:r>
    </w:p>
    <w:p>
      <w:pPr>
        <w:pStyle w:val="ListBullet"/>
      </w:pPr>
      <w:r>
        <w:rPr>
          <w:rFonts w:ascii="Inter" w:hAnsi="Inter" w:cs="Inter"/>
          <w:b w:val="0"/>
          <w:i w:val="0"/>
          <w:color w:val="2D2D2D"/>
          <w:sz w:val="22"/>
        </w:rPr>
      </w:r>
      <w:r>
        <w:rPr>
          <w:rFonts w:ascii="Inter" w:hAnsi="Inter" w:cs="Inter"/>
          <w:b/>
          <w:i w:val="0"/>
          <w:color w:val="2D2D2D"/>
          <w:sz w:val="22"/>
        </w:rPr>
        <w:t>Priority Alignment:</w:t>
      </w:r>
      <w:r>
        <w:rPr>
          <w:rFonts w:ascii="Inter" w:hAnsi="Inter" w:cs="Inter"/>
          <w:b w:val="0"/>
          <w:i w:val="0"/>
          <w:color w:val="2D2D2D"/>
          <w:sz w:val="22"/>
        </w:rPr>
        <w:t xml:space="preserve"> Priority 1 (Moral Governance --- transparency and accountability), Priority 5 (Social Services --- inclusive access)</w:t>
      </w:r>
    </w:p>
    <w:p>
      <w:pPr>
        <w:pStyle w:val="ListBullet"/>
      </w:pPr>
      <w:r>
        <w:rPr>
          <w:rFonts w:ascii="Inter" w:hAnsi="Inter" w:cs="Inter"/>
          <w:b w:val="0"/>
          <w:i w:val="0"/>
          <w:color w:val="2D2D2D"/>
          <w:sz w:val="22"/>
        </w:rPr>
      </w:r>
      <w:r>
        <w:rPr>
          <w:rFonts w:ascii="Inter" w:hAnsi="Inter" w:cs="Inter"/>
          <w:b/>
          <w:i w:val="0"/>
          <w:color w:val="2D2D2D"/>
          <w:sz w:val="22"/>
        </w:rPr>
        <w:t>SMART Assessment:</w:t>
      </w:r>
      <w:r>
        <w:rPr>
          <w:rFonts w:ascii="Inter" w:hAnsi="Inter" w:cs="Inter"/>
          <w:b w:val="0"/>
          <w:i w:val="0"/>
          <w:color w:val="2D2D2D"/>
          <w:sz w:val="22"/>
        </w:rPr>
        <w:t xml:space="preserve"> Specific (OBC community database covering identified provinces), Measurable (number of provinces with complete community profiles in the system), Achievable (phased deployment starting with provinces where OOBC already has field presence), Relevant (addresses documented gap in OBC data, directly supports evidence-based planning), Time-bound (December 2028)</w:t>
      </w:r>
    </w:p>
    <w:p>
      <w:pPr>
        <w:spacing w:after="120" w:line="276" w:lineRule="auto"/>
      </w:pPr>
      <w:r>
        <w:rPr>
          <w:rFonts w:ascii="Inter" w:hAnsi="Inter" w:cs="Inter"/>
          <w:b w:val="0"/>
          <w:i w:val="0"/>
          <w:color w:val="2D2D2D"/>
          <w:sz w:val="22"/>
        </w:rPr>
      </w:r>
      <w:r>
        <w:rPr>
          <w:rFonts w:ascii="Inter" w:hAnsi="Inter" w:cs="Inter"/>
          <w:b/>
          <w:i w:val="0"/>
          <w:color w:val="2D2D2D"/>
          <w:sz w:val="22"/>
        </w:rPr>
        <w:t>SO-2: Formalize coordination agreements (MOUs/MOAs) with [X] local government units and [X] national government agencies by December 2027, establishing protocols for OBC service delivery, referral, and information sharing.</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BDP Alignment:</w:t>
      </w:r>
      <w:r>
        <w:rPr>
          <w:rFonts w:ascii="Inter" w:hAnsi="Inter" w:cs="Inter"/>
          <w:b w:val="0"/>
          <w:i w:val="0"/>
          <w:color w:val="2D2D2D"/>
          <w:sz w:val="22"/>
        </w:rPr>
        <w:t xml:space="preserve"> Goal 1 (Accountable Government --- inter-agency coordination), Goal 3 (Peaceful, Safe, and Resilient Bangsamoro Communities --- community-level coordination)</w:t>
      </w:r>
    </w:p>
    <w:p>
      <w:pPr>
        <w:pStyle w:val="ListBullet"/>
      </w:pPr>
      <w:r>
        <w:rPr>
          <w:rFonts w:ascii="Inter" w:hAnsi="Inter" w:cs="Inter"/>
          <w:b w:val="0"/>
          <w:i w:val="0"/>
          <w:color w:val="2D2D2D"/>
          <w:sz w:val="22"/>
        </w:rPr>
      </w:r>
      <w:r>
        <w:rPr>
          <w:rFonts w:ascii="Inter" w:hAnsi="Inter" w:cs="Inter"/>
          <w:b/>
          <w:i w:val="0"/>
          <w:color w:val="2D2D2D"/>
          <w:sz w:val="22"/>
        </w:rPr>
        <w:t>Priority Alignment:</w:t>
      </w:r>
      <w:r>
        <w:rPr>
          <w:rFonts w:ascii="Inter" w:hAnsi="Inter" w:cs="Inter"/>
          <w:b w:val="0"/>
          <w:i w:val="0"/>
          <w:color w:val="2D2D2D"/>
          <w:sz w:val="22"/>
        </w:rPr>
        <w:t xml:space="preserve"> Priority 1 (Moral Governance --- institutional partnerships), Priority 5 (Social Services --- coordinated delivery)</w:t>
      </w:r>
    </w:p>
    <w:p>
      <w:pPr>
        <w:pStyle w:val="ListBullet"/>
      </w:pPr>
      <w:r>
        <w:rPr>
          <w:rFonts w:ascii="Inter" w:hAnsi="Inter" w:cs="Inter"/>
          <w:b w:val="0"/>
          <w:i w:val="0"/>
          <w:color w:val="2D2D2D"/>
          <w:sz w:val="22"/>
        </w:rPr>
      </w:r>
      <w:r>
        <w:rPr>
          <w:rFonts w:ascii="Inter" w:hAnsi="Inter" w:cs="Inter"/>
          <w:b/>
          <w:i w:val="0"/>
          <w:color w:val="2D2D2D"/>
          <w:sz w:val="22"/>
        </w:rPr>
        <w:t>SMART Assessment:</w:t>
      </w:r>
      <w:r>
        <w:rPr>
          <w:rFonts w:ascii="Inter" w:hAnsi="Inter" w:cs="Inter"/>
          <w:b w:val="0"/>
          <w:i w:val="0"/>
          <w:color w:val="2D2D2D"/>
          <w:sz w:val="22"/>
        </w:rPr>
        <w:t xml:space="preserve"> Specific (MOUs/MOAs with identified LGUs and NGAs), Measurable (number of agreements formalized and active), Achievable (builds on existing informal coordination relationships; targets selected based on OBC population concentration), Relevant (directly addresses the coordination gap identified as a root cause of limited OBC service access), Time-bound (December 2027)</w:t>
      </w:r>
    </w:p>
    <w:p>
      <w:pPr>
        <w:spacing w:after="120" w:line="276" w:lineRule="auto"/>
      </w:pPr>
      <w:r>
        <w:rPr>
          <w:rFonts w:ascii="Inter" w:hAnsi="Inter" w:cs="Inter"/>
          <w:b w:val="0"/>
          <w:i w:val="0"/>
          <w:color w:val="2D2D2D"/>
          <w:sz w:val="22"/>
        </w:rPr>
      </w:r>
      <w:r>
        <w:rPr>
          <w:rFonts w:ascii="Inter" w:hAnsi="Inter" w:cs="Inter"/>
          <w:b/>
          <w:i w:val="0"/>
          <w:color w:val="2D2D2D"/>
          <w:sz w:val="22"/>
        </w:rPr>
        <w:t>SO-3: Increase the percentage of OBC communities with documented access to BARMM services from [baseline] to [target] by December 2028, through coordinated service delivery, referral mechanisms, and advocacy interventions.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BDP Alignment:</w:t>
      </w:r>
      <w:r>
        <w:rPr>
          <w:rFonts w:ascii="Inter" w:hAnsi="Inter" w:cs="Inter"/>
          <w:b w:val="0"/>
          <w:i w:val="0"/>
          <w:color w:val="2D2D2D"/>
          <w:sz w:val="22"/>
        </w:rPr>
        <w:t xml:space="preserve"> Goal 4 (Inclusive Social Services), Goal 3 (Resilient Communities), Goal 1 (Accountable Government)</w:t>
      </w:r>
    </w:p>
    <w:p>
      <w:pPr>
        <w:pStyle w:val="ListBullet"/>
      </w:pPr>
      <w:r>
        <w:rPr>
          <w:rFonts w:ascii="Inter" w:hAnsi="Inter" w:cs="Inter"/>
          <w:b w:val="0"/>
          <w:i w:val="0"/>
          <w:color w:val="2D2D2D"/>
          <w:sz w:val="22"/>
        </w:rPr>
      </w:r>
      <w:r>
        <w:rPr>
          <w:rFonts w:ascii="Inter" w:hAnsi="Inter" w:cs="Inter"/>
          <w:b/>
          <w:i w:val="0"/>
          <w:color w:val="2D2D2D"/>
          <w:sz w:val="22"/>
        </w:rPr>
        <w:t>Priority Alignment:</w:t>
      </w:r>
      <w:r>
        <w:rPr>
          <w:rFonts w:ascii="Inter" w:hAnsi="Inter" w:cs="Inter"/>
          <w:b w:val="0"/>
          <w:i w:val="0"/>
          <w:color w:val="2D2D2D"/>
          <w:sz w:val="22"/>
        </w:rPr>
        <w:t xml:space="preserve"> Priority 5 (Social Services), Priority 1 (Moral Governance --- equitable service delivery)</w:t>
      </w:r>
    </w:p>
    <w:p>
      <w:pPr>
        <w:pStyle w:val="ListBullet"/>
      </w:pPr>
      <w:r>
        <w:rPr>
          <w:rFonts w:ascii="Inter" w:hAnsi="Inter" w:cs="Inter"/>
          <w:b w:val="0"/>
          <w:i w:val="0"/>
          <w:color w:val="2D2D2D"/>
          <w:sz w:val="22"/>
        </w:rPr>
      </w:r>
      <w:r>
        <w:rPr>
          <w:rFonts w:ascii="Inter" w:hAnsi="Inter" w:cs="Inter"/>
          <w:b/>
          <w:i w:val="0"/>
          <w:color w:val="2D2D2D"/>
          <w:sz w:val="22"/>
        </w:rPr>
        <w:t>SMART Assessment:</w:t>
      </w:r>
      <w:r>
        <w:rPr>
          <w:rFonts w:ascii="Inter" w:hAnsi="Inter" w:cs="Inter"/>
          <w:b w:val="0"/>
          <w:i w:val="0"/>
          <w:color w:val="2D2D2D"/>
          <w:sz w:val="22"/>
        </w:rPr>
        <w:t xml:space="preserve"> Specific (documented access to BARMM services among OBC communities), Measurable (percentage of communities with documented service access, tracked through OBC database from SO-1), Achievable (dependent on coordination mechanisms from SO-2 and data infrastructure from SO-1), Relevant (core OOBC mandate --- equitable access for Bangsamoro outside BARMM), Time-bound (December 2028)</w:t>
      </w:r>
    </w:p>
    <w:p>
      <w:pPr>
        <w:pStyle w:val="Heading2"/>
      </w:pPr>
      <w:r>
        <w:rPr>
          <w:rFonts w:ascii="Inter" w:hAnsi="Inter" w:cs="Inter"/>
          <w:b/>
          <w:i w:val="0"/>
          <w:color w:val="1B365D"/>
          <w:sz w:val="32"/>
        </w:rPr>
        <w:t>6.5 For Decision-Makers</w:t>
      </w:r>
    </w:p>
    <w:p>
      <w:pPr>
        <w:spacing w:after="120" w:line="276" w:lineRule="auto"/>
      </w:pPr>
      <w:r>
        <w:rPr>
          <w:rFonts w:ascii="Inter" w:hAnsi="Inter" w:cs="Inter"/>
          <w:b w:val="0"/>
          <w:i w:val="0"/>
          <w:color w:val="2D2D2D"/>
          <w:sz w:val="22"/>
        </w:rPr>
        <w:t>Point 5 is the most important approval point in the entire planning process. Everything that comes after it --- Theory of Change, program design, budget proposals, M&amp;E systems --- depends on the strategic direction set here. If the Vision, Mission, and Strategic Objectives are poorly conceived, the entire downstream plan will be built on an unstable foundation.</w:t>
      </w:r>
    </w:p>
    <w:p>
      <w:pPr>
        <w:spacing w:after="120" w:line="276" w:lineRule="auto"/>
      </w:pPr>
      <w:r>
        <w:rPr>
          <w:rFonts w:ascii="Inter" w:hAnsi="Inter" w:cs="Inter"/>
          <w:b w:val="0"/>
          <w:i w:val="0"/>
          <w:color w:val="2D2D2D"/>
          <w:sz w:val="22"/>
        </w:rPr>
      </w:r>
      <w:r>
        <w:rPr>
          <w:rFonts w:ascii="Inter" w:hAnsi="Inter" w:cs="Inter"/>
          <w:b/>
          <w:i w:val="0"/>
          <w:color w:val="2D2D2D"/>
          <w:sz w:val="22"/>
        </w:rPr>
        <w:t>Vision and Mission are the Minister or Executive Director's prerogative.</w:t>
      </w:r>
      <w:r>
        <w:rPr>
          <w:rFonts w:ascii="Inter" w:hAnsi="Inter" w:cs="Inter"/>
          <w:b w:val="0"/>
          <w:i w:val="0"/>
          <w:color w:val="2D2D2D"/>
          <w:sz w:val="22"/>
        </w:rPr>
        <w:t xml:space="preserve"> Planning staff should draft options and present them for leadership review. But the final Vision and Mission reflect the strategic judgment of the institution's leadership. They should not be delegated entirely to junior planners, approved without leadership engagement, or carried forward unchanged from a previous administration without critical review.</w:t>
      </w:r>
    </w:p>
    <w:p>
      <w:pPr>
        <w:spacing w:after="120" w:line="276" w:lineRule="auto"/>
      </w:pPr>
      <w:r>
        <w:rPr>
          <w:rFonts w:ascii="Inter" w:hAnsi="Inter" w:cs="Inter"/>
          <w:b w:val="0"/>
          <w:i w:val="0"/>
          <w:color w:val="2D2D2D"/>
          <w:sz w:val="22"/>
        </w:rPr>
      </w:r>
      <w:r>
        <w:rPr>
          <w:rFonts w:ascii="Inter" w:hAnsi="Inter" w:cs="Inter"/>
          <w:b/>
          <w:i w:val="0"/>
          <w:color w:val="2D2D2D"/>
          <w:sz w:val="22"/>
        </w:rPr>
        <w:t>Core Values require institutional commitment, not just adoption.</w:t>
      </w:r>
      <w:r>
        <w:rPr>
          <w:rFonts w:ascii="Inter" w:hAnsi="Inter" w:cs="Inter"/>
          <w:b w:val="0"/>
          <w:i w:val="0"/>
          <w:color w:val="2D2D2D"/>
          <w:sz w:val="22"/>
        </w:rPr>
        <w:t xml:space="preserve"> Adopting a list of values without any system of accountability for upholding them is worse than having no values at all --- it creates a cynicism about stated principles that undermines organizational culture. If your MOA adopts Integrity as a value, be prepared to act on it when integrity is tested. Consider how the values will be communicated, modeled by leadership, incorporated into performance management, and reviewed as part of the annual planning cycle.</w:t>
      </w:r>
    </w:p>
    <w:p>
      <w:pPr>
        <w:spacing w:after="120" w:line="276" w:lineRule="auto"/>
      </w:pPr>
      <w:r>
        <w:rPr>
          <w:rFonts w:ascii="Inter" w:hAnsi="Inter" w:cs="Inter"/>
          <w:b w:val="0"/>
          <w:i w:val="0"/>
          <w:color w:val="2D2D2D"/>
          <w:sz w:val="22"/>
        </w:rPr>
      </w:r>
      <w:r>
        <w:rPr>
          <w:rFonts w:ascii="Inter" w:hAnsi="Inter" w:cs="Inter"/>
          <w:b/>
          <w:i w:val="0"/>
          <w:color w:val="2D2D2D"/>
          <w:sz w:val="22"/>
        </w:rPr>
        <w:t>The SWOT must be honest.</w:t>
      </w:r>
      <w:r>
        <w:rPr>
          <w:rFonts w:ascii="Inter" w:hAnsi="Inter" w:cs="Inter"/>
          <w:b w:val="0"/>
          <w:i w:val="0"/>
          <w:color w:val="2D2D2D"/>
          <w:sz w:val="22"/>
        </w:rPr>
        <w:t xml:space="preserve"> The most common failure in SWOT Analysis is the Weakness and Threat quadrants being understated because staff are reluctant to document institutional problems in a formal planning document. A SWOT that lists only generic Weaknesses (e.g., "limited resources" --- a universal condition of all government agencies) and ignores specific, significant institutional vulnerabilities is not a useful analytical tool. Leadership should actively encourage honest SWOT inputs and protect the process from political pressure to project an artificially positive picture.</w:t>
      </w:r>
    </w:p>
    <w:p>
      <w:pPr>
        <w:spacing w:after="120" w:line="276" w:lineRule="auto"/>
      </w:pPr>
      <w:r>
        <w:rPr>
          <w:rFonts w:ascii="Inter" w:hAnsi="Inter" w:cs="Inter"/>
          <w:b w:val="0"/>
          <w:i w:val="0"/>
          <w:color w:val="2D2D2D"/>
          <w:sz w:val="22"/>
        </w:rPr>
      </w:r>
      <w:r>
        <w:rPr>
          <w:rFonts w:ascii="Inter" w:hAnsi="Inter" w:cs="Inter"/>
          <w:b/>
          <w:i w:val="0"/>
          <w:color w:val="2D2D2D"/>
          <w:sz w:val="22"/>
        </w:rPr>
        <w:t>Strategic Objectives must be approved before PPA planning begins (Chapter 8).</w:t>
      </w:r>
      <w:r>
        <w:rPr>
          <w:rFonts w:ascii="Inter" w:hAnsi="Inter" w:cs="Inter"/>
          <w:b w:val="0"/>
          <w:i w:val="0"/>
          <w:color w:val="2D2D2D"/>
          <w:sz w:val="22"/>
        </w:rPr>
        <w:t xml:space="preserve"> PPAs designed before Strategic Objectives are finalized tend to be activity-driven rather than outcome-driven. Staff default to what they already know how to do rather than designing programs that address the problems the SWOT and Problem Statements identified. The proper sequence is: finalize Strategic Objectives → approve them at the appropriate level → then begin PPA development.</w:t>
      </w:r>
    </w:p>
    <w:p>
      <w:pPr>
        <w:spacing w:after="120" w:line="276" w:lineRule="auto"/>
      </w:pPr>
      <w:r>
        <w:rPr>
          <w:rFonts w:ascii="Inter" w:hAnsi="Inter" w:cs="Inter"/>
          <w:b w:val="0"/>
          <w:i w:val="0"/>
          <w:color w:val="2D2D2D"/>
          <w:sz w:val="22"/>
        </w:rPr>
      </w:r>
      <w:r>
        <w:rPr>
          <w:rFonts w:ascii="Inter" w:hAnsi="Inter" w:cs="Inter"/>
          <w:b/>
          <w:i w:val="0"/>
          <w:color w:val="2D2D2D"/>
          <w:sz w:val="22"/>
        </w:rPr>
        <w:t>Three to seven objectives is the rule.</w:t>
      </w:r>
      <w:r>
        <w:rPr>
          <w:rFonts w:ascii="Inter" w:hAnsi="Inter" w:cs="Inter"/>
          <w:b w:val="0"/>
          <w:i w:val="0"/>
          <w:color w:val="2D2D2D"/>
          <w:sz w:val="22"/>
        </w:rPr>
        <w:t xml:space="preserve"> Leadership will be tempted to add objectives --- every division wants its program areas represented at the strategic level. Resist this. A 12-objective strategic plan with one objective per division is not a strategic plan; it is a list of operational programs elevated to appear strategic. Fewer, higher-leverage objectives create the focused accountability that drives organizational improvement.</w:t>
      </w:r>
    </w:p>
    <w:p>
      <w:pPr>
        <w:pStyle w:val="Heading2"/>
      </w:pPr>
      <w:r>
        <w:rPr>
          <w:rFonts w:ascii="Inter" w:hAnsi="Inter" w:cs="Inter"/>
          <w:b/>
          <w:i w:val="0"/>
          <w:color w:val="1B365D"/>
          <w:sz w:val="32"/>
        </w:rPr>
        <w:t>6.6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Vision statements that are generic.</w:t>
      </w:r>
      <w:r>
        <w:rPr>
          <w:rFonts w:ascii="Inter" w:hAnsi="Inter" w:cs="Inter"/>
          <w:b w:val="0"/>
          <w:i w:val="0"/>
          <w:color w:val="2D2D2D"/>
          <w:sz w:val="22"/>
        </w:rPr>
        <w:t xml:space="preserve"> "A world-class ministry delivering excellent service" is not a Vision. It tells you nothing about what the MOA does, what future it is working toward, or what distinguishes its work. Every government agency in every country could adopt that statement without changing a word. Your Vision should be recognizable as yours.</w:t>
      </w:r>
    </w:p>
    <w:p>
      <w:pPr>
        <w:spacing w:after="120" w:line="276" w:lineRule="auto"/>
      </w:pPr>
      <w:r>
        <w:rPr>
          <w:rFonts w:ascii="Inter" w:hAnsi="Inter" w:cs="Inter"/>
          <w:b w:val="0"/>
          <w:i w:val="0"/>
          <w:color w:val="2D2D2D"/>
          <w:sz w:val="22"/>
        </w:rPr>
      </w:r>
      <w:r>
        <w:rPr>
          <w:rFonts w:ascii="Inter" w:hAnsi="Inter" w:cs="Inter"/>
          <w:b/>
          <w:i w:val="0"/>
          <w:color w:val="2D2D2D"/>
          <w:sz w:val="22"/>
        </w:rPr>
        <w:t>Mission statements that list activities instead of purpose.</w:t>
      </w:r>
      <w:r>
        <w:rPr>
          <w:rFonts w:ascii="Inter" w:hAnsi="Inter" w:cs="Inter"/>
          <w:b w:val="0"/>
          <w:i w:val="0"/>
          <w:color w:val="2D2D2D"/>
          <w:sz w:val="22"/>
        </w:rPr>
        <w:t xml:space="preserve"> "We conduct forest patrols, issue environmental permits, manage land records, and regulate mines and minerals" is a list of functions, not a Mission. A Mission explains *why* those functions exist, *for whom*, and toward what end.</w:t>
      </w:r>
    </w:p>
    <w:p>
      <w:pPr>
        <w:spacing w:after="120" w:line="276" w:lineRule="auto"/>
      </w:pPr>
      <w:r>
        <w:rPr>
          <w:rFonts w:ascii="Inter" w:hAnsi="Inter" w:cs="Inter"/>
          <w:b w:val="0"/>
          <w:i w:val="0"/>
          <w:color w:val="2D2D2D"/>
          <w:sz w:val="22"/>
        </w:rPr>
      </w:r>
      <w:r>
        <w:rPr>
          <w:rFonts w:ascii="Inter" w:hAnsi="Inter" w:cs="Inter"/>
          <w:b/>
          <w:i w:val="0"/>
          <w:color w:val="2D2D2D"/>
          <w:sz w:val="22"/>
        </w:rPr>
        <w:t>SWOT as brainstorm dump with no prioritization.</w:t>
      </w:r>
      <w:r>
        <w:rPr>
          <w:rFonts w:ascii="Inter" w:hAnsi="Inter" w:cs="Inter"/>
          <w:b w:val="0"/>
          <w:i w:val="0"/>
          <w:color w:val="2D2D2D"/>
          <w:sz w:val="22"/>
        </w:rPr>
        <w:t xml:space="preserve"> A SWOT Analysis with 20 items per quadrant has not prioritized; it has catalogued. The value of SWOT is in identifying the *significant* factors that should shape your strategy. If everything is on the list, nothing is being chosen.</w:t>
      </w:r>
    </w:p>
    <w:p>
      <w:pPr>
        <w:spacing w:after="120" w:line="276" w:lineRule="auto"/>
      </w:pPr>
      <w:r>
        <w:rPr>
          <w:rFonts w:ascii="Inter" w:hAnsi="Inter" w:cs="Inter"/>
          <w:b w:val="0"/>
          <w:i w:val="0"/>
          <w:color w:val="2D2D2D"/>
          <w:sz w:val="22"/>
        </w:rPr>
      </w:r>
      <w:r>
        <w:rPr>
          <w:rFonts w:ascii="Inter" w:hAnsi="Inter" w:cs="Inter"/>
          <w:b/>
          <w:i w:val="0"/>
          <w:color w:val="2D2D2D"/>
          <w:sz w:val="22"/>
        </w:rPr>
        <w:t>Strategic objectives that are not measurable.</w:t>
      </w:r>
      <w:r>
        <w:rPr>
          <w:rFonts w:ascii="Inter" w:hAnsi="Inter" w:cs="Inter"/>
          <w:b w:val="0"/>
          <w:i w:val="0"/>
          <w:color w:val="2D2D2D"/>
          <w:sz w:val="22"/>
        </w:rPr>
        <w:t xml:space="preserve"> "Improve environmental governance in BARMM" is not a Strategic Objective. It cannot be measured, cannot be tracked, and provides no basis for accountability. If you cannot state what measurement will confirm that the objective has been achieved, it is not yet a Strategic Objective --- it is a direction.</w:t>
      </w:r>
    </w:p>
    <w:p>
      <w:pPr>
        <w:spacing w:after="120" w:line="276" w:lineRule="auto"/>
      </w:pPr>
      <w:r>
        <w:rPr>
          <w:rFonts w:ascii="Inter" w:hAnsi="Inter" w:cs="Inter"/>
          <w:b w:val="0"/>
          <w:i w:val="0"/>
          <w:color w:val="2D2D2D"/>
          <w:sz w:val="22"/>
        </w:rPr>
      </w:r>
      <w:r>
        <w:rPr>
          <w:rFonts w:ascii="Inter" w:hAnsi="Inter" w:cs="Inter"/>
          <w:b/>
          <w:i w:val="0"/>
          <w:color w:val="2D2D2D"/>
          <w:sz w:val="22"/>
        </w:rPr>
        <w:t>Strategic objectives that are not time-bound.</w:t>
      </w:r>
      <w:r>
        <w:rPr>
          <w:rFonts w:ascii="Inter" w:hAnsi="Inter" w:cs="Inter"/>
          <w:b w:val="0"/>
          <w:i w:val="0"/>
          <w:color w:val="2D2D2D"/>
          <w:sz w:val="22"/>
        </w:rPr>
        <w:t xml:space="preserve"> An objective without a target date is permanently aspirational. "Increase forest cover from X to Y" will never create accountability pressure if there is no date by which it must be achieved.</w:t>
      </w:r>
    </w:p>
    <w:p>
      <w:pPr>
        <w:spacing w:after="120" w:line="276" w:lineRule="auto"/>
      </w:pPr>
      <w:r>
        <w:rPr>
          <w:rFonts w:ascii="Inter" w:hAnsi="Inter" w:cs="Inter"/>
          <w:b w:val="0"/>
          <w:i w:val="0"/>
          <w:color w:val="2D2D2D"/>
          <w:sz w:val="22"/>
        </w:rPr>
      </w:r>
      <w:r>
        <w:rPr>
          <w:rFonts w:ascii="Inter" w:hAnsi="Inter" w:cs="Inter"/>
          <w:b/>
          <w:i w:val="0"/>
          <w:color w:val="2D2D2D"/>
          <w:sz w:val="22"/>
        </w:rPr>
        <w:t>Confusing objectives (outcomes) with activities (outputs).</w:t>
      </w:r>
      <w:r>
        <w:rPr>
          <w:rFonts w:ascii="Inter" w:hAnsi="Inter" w:cs="Inter"/>
          <w:b w:val="0"/>
          <w:i w:val="0"/>
          <w:color w:val="2D2D2D"/>
          <w:sz w:val="22"/>
        </w:rPr>
        <w:t xml:space="preserve"> "Conduct 200 community consultations" is an activity. "Increase community-based forest management agreement holders from 17 to 30" is an objective. "Purchase 10 patrol vehicles" is an activity. "Increase patrol coverage of classified forestlands from 30% to 60%" is an objective. Strategic Objectives state what will change, not what you will do to cause the change.</w:t>
      </w:r>
    </w:p>
    <w:p>
      <w:pPr>
        <w:spacing w:after="120" w:line="276" w:lineRule="auto"/>
      </w:pPr>
      <w:r>
        <w:rPr>
          <w:rFonts w:ascii="Inter" w:hAnsi="Inter" w:cs="Inter"/>
          <w:b w:val="0"/>
          <w:i w:val="0"/>
          <w:color w:val="2D2D2D"/>
          <w:sz w:val="22"/>
        </w:rPr>
      </w:r>
      <w:r>
        <w:rPr>
          <w:rFonts w:ascii="Inter" w:hAnsi="Inter" w:cs="Inter"/>
          <w:b/>
          <w:i w:val="0"/>
          <w:color w:val="2D2D2D"/>
          <w:sz w:val="22"/>
        </w:rPr>
        <w:t>Too many objectives diluting focus.</w:t>
      </w:r>
      <w:r>
        <w:rPr>
          <w:rFonts w:ascii="Inter" w:hAnsi="Inter" w:cs="Inter"/>
          <w:b w:val="0"/>
          <w:i w:val="0"/>
          <w:color w:val="2D2D2D"/>
          <w:sz w:val="22"/>
        </w:rPr>
        <w:t xml:space="preserve"> More than ten Strategic Objectives signals strategic confusion, not strategic ambition. Organizations with ten or more objectives of equal stated priority have no priority at all. If you genuinely need more than seven objectives to cover your mandate, consider whether some belong at the PPA level rather than the strategic level.</w:t>
      </w:r>
    </w:p>
    <w:p>
      <w:pPr>
        <w:spacing w:after="120" w:line="276" w:lineRule="auto"/>
      </w:pPr>
      <w:r>
        <w:rPr>
          <w:rFonts w:ascii="Inter" w:hAnsi="Inter" w:cs="Inter"/>
          <w:b w:val="0"/>
          <w:i w:val="0"/>
          <w:color w:val="2D2D2D"/>
          <w:sz w:val="22"/>
        </w:rPr>
      </w:r>
      <w:r>
        <w:rPr>
          <w:rFonts w:ascii="Inter" w:hAnsi="Inter" w:cs="Inter"/>
          <w:b/>
          <w:i w:val="0"/>
          <w:color w:val="2D2D2D"/>
          <w:sz w:val="22"/>
        </w:rPr>
        <w:t>Values without behavioral indicators.</w:t>
      </w:r>
      <w:r>
        <w:rPr>
          <w:rFonts w:ascii="Inter" w:hAnsi="Inter" w:cs="Inter"/>
          <w:b w:val="0"/>
          <w:i w:val="0"/>
          <w:color w:val="2D2D2D"/>
          <w:sz w:val="22"/>
        </w:rPr>
        <w:t xml:space="preserve"> Five aspirational words on a wall are not Core Values. Core Values that change behavior have behavioral indicators: specific, observable descriptions of what each value looks like in practice. Without behavioral indicators, values cannot be taught, modeled, or evaluated.</w:t>
      </w:r>
    </w:p>
    <w:p>
      <w:pPr>
        <w:pStyle w:val="Heading2"/>
      </w:pPr>
      <w:r>
        <w:rPr>
          <w:rFonts w:ascii="Inter" w:hAnsi="Inter" w:cs="Inter"/>
          <w:b/>
          <w:i w:val="0"/>
          <w:color w:val="1B365D"/>
          <w:sz w:val="32"/>
        </w:rPr>
        <w:t>6.7 Template: Vision-Mission-Values Statement and Strategic Objectives</w:t>
      </w:r>
    </w:p>
    <w:p>
      <w:pPr>
        <w:pStyle w:val="Heading3"/>
      </w:pPr>
      <w:r>
        <w:rPr>
          <w:rFonts w:ascii="Inter" w:hAnsi="Inter" w:cs="Inter"/>
          <w:b/>
          <w:i w:val="0"/>
          <w:color w:val="2C5F7C"/>
          <w:sz w:val="26"/>
        </w:rPr>
        <w:t>PART A: Vision, Mission, and Core Values</w:t>
      </w:r>
    </w:p>
    <w:p>
      <w:pPr>
        <w:spacing w:after="120" w:line="276" w:lineRule="auto"/>
      </w:pPr>
      <w:r>
        <w:rPr>
          <w:rFonts w:ascii="Inter" w:hAnsi="Inter" w:cs="Inter"/>
          <w:b w:val="0"/>
          <w:i w:val="0"/>
          <w:color w:val="2D2D2D"/>
          <w:sz w:val="22"/>
        </w:rPr>
      </w:r>
      <w:r>
        <w:rPr>
          <w:rFonts w:ascii="Inter" w:hAnsi="Inter" w:cs="Inter"/>
          <w:b/>
          <w:i w:val="0"/>
          <w:color w:val="2D2D2D"/>
          <w:sz w:val="22"/>
        </w:rPr>
        <w:t>VISION STATEMENT</w:t>
      </w:r>
      <w:r>
        <w:rPr>
          <w:rFonts w:ascii="Inter" w:hAnsi="Inter" w:cs="Inter"/>
          <w:b w:val="0"/>
          <w:i w:val="0"/>
          <w:color w:val="2D2D2D"/>
          <w:sz w:val="22"/>
        </w:rPr>
      </w:r>
    </w:p>
    <w:p>
      <w:pPr>
        <w:spacing w:after="120" w:line="276" w:lineRule="auto"/>
      </w:pPr>
      <w:r>
        <w:rPr>
          <w:rFonts w:ascii="Inter" w:hAnsi="Inter" w:cs="Inter"/>
          <w:b w:val="0"/>
          <w:i w:val="0"/>
          <w:color w:val="2D2D2D"/>
          <w:sz w:val="22"/>
        </w:rPr>
        <w:t>*[Write your MOA's Vision statement here. 1 to 2 sentences. Aspirational, future-focused, describes the desired state your MOA contributes to achieving. 5 to 10 year horizon. Should connect to your BDP goals from Chapter 3.]*</w:t>
      </w:r>
    </w:p>
    <w:p>
      <w:pPr>
        <w:spacing w:after="120" w:line="276" w:lineRule="auto"/>
      </w:pPr>
      <w:r>
        <w:rPr>
          <w:rFonts w:ascii="Inter" w:hAnsi="Inter" w:cs="Inter"/>
          <w:b w:val="0"/>
          <w:i w:val="0"/>
          <w:color w:val="2D2D2D"/>
          <w:sz w:val="22"/>
        </w:rPr>
      </w:r>
      <w:r>
        <w:rPr>
          <w:rFonts w:ascii="Inter" w:hAnsi="Inter" w:cs="Inter"/>
          <w:b/>
          <w:i w:val="0"/>
          <w:color w:val="2D2D2D"/>
          <w:sz w:val="22"/>
        </w:rPr>
        <w:t>MISSION STATEMENT</w:t>
      </w:r>
      <w:r>
        <w:rPr>
          <w:rFonts w:ascii="Inter" w:hAnsi="Inter" w:cs="Inter"/>
          <w:b w:val="0"/>
          <w:i w:val="0"/>
          <w:color w:val="2D2D2D"/>
          <w:sz w:val="22"/>
        </w:rPr>
      </w:r>
    </w:p>
    <w:p>
      <w:pPr>
        <w:spacing w:after="120" w:line="276" w:lineRule="auto"/>
      </w:pPr>
      <w:r>
        <w:rPr>
          <w:rFonts w:ascii="Inter" w:hAnsi="Inter" w:cs="Inter"/>
          <w:b w:val="0"/>
          <w:i w:val="0"/>
          <w:color w:val="2D2D2D"/>
          <w:sz w:val="22"/>
        </w:rPr>
        <w:t>*[Write your MOA's Mission statement here. 2 to 3 sentences. Present tense. Answers: what do we do, for whom, and how. Should be grounded in your legal mandate from Chapter 2.]*</w:t>
      </w:r>
    </w:p>
    <w:p>
      <w:pPr>
        <w:spacing w:after="120" w:line="276" w:lineRule="auto"/>
      </w:pPr>
      <w:r>
        <w:rPr>
          <w:rFonts w:ascii="Inter" w:hAnsi="Inter" w:cs="Inter"/>
          <w:b w:val="0"/>
          <w:i w:val="0"/>
          <w:color w:val="2D2D2D"/>
          <w:sz w:val="22"/>
        </w:rPr>
      </w:r>
      <w:r>
        <w:rPr>
          <w:rFonts w:ascii="Inter" w:hAnsi="Inter" w:cs="Inter"/>
          <w:b/>
          <w:i w:val="0"/>
          <w:color w:val="2D2D2D"/>
          <w:sz w:val="22"/>
        </w:rPr>
        <w:t>CORE VALUES</w:t>
      </w:r>
      <w:r>
        <w:rPr>
          <w:rFonts w:ascii="Inter" w:hAnsi="Inter" w:cs="Inter"/>
          <w:b w:val="0"/>
          <w:i w:val="0"/>
          <w:color w:val="2D2D2D"/>
          <w:sz w:val="22"/>
        </w:rPr>
      </w:r>
    </w:p>
    <w:p>
      <w:pPr>
        <w:spacing w:after="120" w:line="276" w:lineRule="auto"/>
      </w:pPr>
      <w:r>
        <w:rPr>
          <w:rFonts w:ascii="Inter" w:hAnsi="Inter" w:cs="Inter"/>
          <w:b w:val="0"/>
          <w:i w:val="0"/>
          <w:color w:val="2D2D2D"/>
          <w:sz w:val="22"/>
        </w:rPr>
        <w:t>*[List 4 to 7 Core Values. For each: name, one-sentence description, and 2 to 3 behavioral indicators.]*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Value</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Behavioral Indicators</w:t>
            </w:r>
          </w:p>
        </w:tc>
      </w:tr>
      <w:tr>
        <w:tc>
          <w:tcPr>
            <w:tcW w:type="dxa" w:w="3120"/>
          </w:tcPr>
          <w:p>
            <w:r/>
            <w:r>
              <w:rPr>
                <w:rFonts w:ascii="Inter" w:hAnsi="Inter" w:cs="Inter"/>
                <w:b w:val="0"/>
                <w:i w:val="0"/>
                <w:color w:val="2D2D2D"/>
                <w:sz w:val="19"/>
              </w:rPr>
              <w:t>[Value 1]</w:t>
            </w:r>
          </w:p>
        </w:tc>
        <w:tc>
          <w:tcPr>
            <w:tcW w:type="dxa" w:w="3120"/>
          </w:tcPr>
          <w:p>
            <w:r/>
            <w:r>
              <w:rPr>
                <w:rFonts w:ascii="Inter" w:hAnsi="Inter" w:cs="Inter"/>
                <w:b w:val="0"/>
                <w:i w:val="0"/>
                <w:color w:val="2D2D2D"/>
                <w:sz w:val="19"/>
              </w:rPr>
              <w:t>[One sentence.]</w:t>
            </w:r>
          </w:p>
        </w:tc>
        <w:tc>
          <w:tcPr>
            <w:tcW w:type="dxa" w:w="3120"/>
          </w:tcPr>
          <w:p>
            <w:r/>
            <w:r>
              <w:rPr>
                <w:rFonts w:ascii="Inter" w:hAnsi="Inter" w:cs="Inter"/>
                <w:b w:val="0"/>
                <w:i w:val="0"/>
                <w:color w:val="2D2D2D"/>
                <w:sz w:val="19"/>
              </w:rPr>
              <w:t>[Indicator 1]; [Indicator 2]; [Indicator 3]</w:t>
            </w:r>
          </w:p>
        </w:tc>
      </w:tr>
      <w:tr>
        <w:tc>
          <w:tcPr>
            <w:tcW w:type="dxa" w:w="3120"/>
            <w:shd w:fill="F0F3F6"/>
          </w:tcPr>
          <w:p>
            <w:r/>
            <w:r>
              <w:rPr>
                <w:rFonts w:ascii="Inter" w:hAnsi="Inter" w:cs="Inter"/>
                <w:b w:val="0"/>
                <w:i w:val="0"/>
                <w:color w:val="2D2D2D"/>
                <w:sz w:val="19"/>
              </w:rPr>
              <w:t>[Value 2]</w:t>
            </w:r>
          </w:p>
        </w:tc>
        <w:tc>
          <w:tcPr>
            <w:tcW w:type="dxa" w:w="3120"/>
            <w:shd w:fill="F0F3F6"/>
          </w:tcPr>
          <w:p>
            <w:r/>
            <w:r>
              <w:rPr>
                <w:rFonts w:ascii="Inter" w:hAnsi="Inter" w:cs="Inter"/>
                <w:b w:val="0"/>
                <w:i w:val="0"/>
                <w:color w:val="2D2D2D"/>
                <w:sz w:val="19"/>
              </w:rPr>
              <w:t>[One sentence.]</w:t>
            </w:r>
          </w:p>
        </w:tc>
        <w:tc>
          <w:tcPr>
            <w:tcW w:type="dxa" w:w="3120"/>
            <w:shd w:fill="F0F3F6"/>
          </w:tcPr>
          <w:p>
            <w:r/>
            <w:r>
              <w:rPr>
                <w:rFonts w:ascii="Inter" w:hAnsi="Inter" w:cs="Inter"/>
                <w:b w:val="0"/>
                <w:i w:val="0"/>
                <w:color w:val="2D2D2D"/>
                <w:sz w:val="19"/>
              </w:rPr>
              <w:t>[Indicator 1]; [Indicator 2]</w:t>
            </w:r>
          </w:p>
        </w:tc>
      </w:tr>
      <w:tr>
        <w:tc>
          <w:tcPr>
            <w:tcW w:type="dxa" w:w="3120"/>
          </w:tcPr>
          <w:p>
            <w:r/>
            <w:r>
              <w:rPr>
                <w:rFonts w:ascii="Inter" w:hAnsi="Inter" w:cs="Inter"/>
                <w:b w:val="0"/>
                <w:i w:val="0"/>
                <w:color w:val="2D2D2D"/>
                <w:sz w:val="19"/>
              </w:rPr>
              <w:t>[Value 3]</w:t>
            </w:r>
          </w:p>
        </w:tc>
        <w:tc>
          <w:tcPr>
            <w:tcW w:type="dxa" w:w="3120"/>
          </w:tcPr>
          <w:p>
            <w:r/>
            <w:r>
              <w:rPr>
                <w:rFonts w:ascii="Inter" w:hAnsi="Inter" w:cs="Inter"/>
                <w:b w:val="0"/>
                <w:i w:val="0"/>
                <w:color w:val="2D2D2D"/>
                <w:sz w:val="19"/>
              </w:rPr>
              <w:t>[One sentence.]</w:t>
            </w:r>
          </w:p>
        </w:tc>
        <w:tc>
          <w:tcPr>
            <w:tcW w:type="dxa" w:w="3120"/>
          </w:tcPr>
          <w:p>
            <w:r/>
            <w:r>
              <w:rPr>
                <w:rFonts w:ascii="Inter" w:hAnsi="Inter" w:cs="Inter"/>
                <w:b w:val="0"/>
                <w:i w:val="0"/>
                <w:color w:val="2D2D2D"/>
                <w:sz w:val="19"/>
              </w:rPr>
              <w:t>[Indicator 1]; [Indicator 2]; [Indicator 3]</w:t>
            </w:r>
          </w:p>
        </w:tc>
      </w:tr>
      <w:tr>
        <w:tc>
          <w:tcPr>
            <w:tcW w:type="dxa" w:w="3120"/>
            <w:shd w:fill="F0F3F6"/>
          </w:tcPr>
          <w:p>
            <w:r/>
            <w:r>
              <w:rPr>
                <w:rFonts w:ascii="Inter" w:hAnsi="Inter" w:cs="Inter"/>
                <w:b w:val="0"/>
                <w:i w:val="0"/>
                <w:color w:val="2D2D2D"/>
                <w:sz w:val="19"/>
              </w:rPr>
              <w:t>[Value 4]</w:t>
            </w:r>
          </w:p>
        </w:tc>
        <w:tc>
          <w:tcPr>
            <w:tcW w:type="dxa" w:w="3120"/>
            <w:shd w:fill="F0F3F6"/>
          </w:tcPr>
          <w:p>
            <w:r/>
            <w:r>
              <w:rPr>
                <w:rFonts w:ascii="Inter" w:hAnsi="Inter" w:cs="Inter"/>
                <w:b w:val="0"/>
                <w:i w:val="0"/>
                <w:color w:val="2D2D2D"/>
                <w:sz w:val="19"/>
              </w:rPr>
              <w:t>[One sentence.]</w:t>
            </w:r>
          </w:p>
        </w:tc>
        <w:tc>
          <w:tcPr>
            <w:tcW w:type="dxa" w:w="3120"/>
            <w:shd w:fill="F0F3F6"/>
          </w:tcPr>
          <w:p>
            <w:r/>
            <w:r>
              <w:rPr>
                <w:rFonts w:ascii="Inter" w:hAnsi="Inter" w:cs="Inter"/>
                <w:b w:val="0"/>
                <w:i w:val="0"/>
                <w:color w:val="2D2D2D"/>
                <w:sz w:val="19"/>
              </w:rPr>
              <w:t>[Indicator 1]; [Indicator 2]</w:t>
            </w:r>
          </w:p>
        </w:tc>
      </w:tr>
      <w:tr>
        <w:tc>
          <w:tcPr>
            <w:tcW w:type="dxa" w:w="3120"/>
          </w:tcPr>
          <w:p>
            <w:r/>
            <w:r>
              <w:rPr>
                <w:rFonts w:ascii="Inter" w:hAnsi="Inter" w:cs="Inter"/>
                <w:b w:val="0"/>
                <w:i w:val="0"/>
                <w:color w:val="2D2D2D"/>
                <w:sz w:val="19"/>
              </w:rPr>
              <w:t>*[Add rows as needed]*</w:t>
            </w:r>
          </w:p>
        </w:tc>
        <w:tc>
          <w:tcPr>
            <w:tcW w:type="dxa" w:w="3120"/>
          </w:tcPr>
          <w:p/>
        </w:tc>
        <w:tc>
          <w:tcPr>
            <w:tcW w:type="dxa" w:w="3120"/>
          </w:tcPr>
          <w:p/>
        </w:tc>
      </w:tr>
    </w:tbl>
    <w:p/>
    <w:p>
      <w:pPr>
        <w:pStyle w:val="Heading3"/>
      </w:pPr>
      <w:r>
        <w:rPr>
          <w:rFonts w:ascii="Inter" w:hAnsi="Inter" w:cs="Inter"/>
          <w:b/>
          <w:i w:val="0"/>
          <w:color w:val="2C5F7C"/>
          <w:sz w:val="26"/>
        </w:rPr>
        <w:t>PART B: Strategic Objectives</w:t>
      </w:r>
    </w:p>
    <w:p>
      <w:pPr>
        <w:spacing w:after="120" w:line="276" w:lineRule="auto"/>
      </w:pPr>
      <w:r>
        <w:rPr>
          <w:rFonts w:ascii="Inter" w:hAnsi="Inter" w:cs="Inter"/>
          <w:b w:val="0"/>
          <w:i w:val="0"/>
          <w:color w:val="2D2D2D"/>
          <w:sz w:val="22"/>
        </w:rPr>
        <w:t>*Complete one row per Strategic Objective. Aim for 3 to 7 objectives. Every objective must pass the full SMART test. Every objective must link to at least one BDP Goal. The Baseline and Target fields must contain specific, verifiable values.*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w:t>
            </w:r>
          </w:p>
        </w:tc>
        <w:tc>
          <w:tcPr>
            <w:tcW w:type="dxa" w:w="1337"/>
            <w:shd w:fill="1B365D"/>
          </w:tcPr>
          <w:p>
            <w:r/>
            <w:r>
              <w:rPr>
                <w:rFonts w:ascii="Inter" w:hAnsi="Inter" w:cs="Inter"/>
                <w:b/>
                <w:i w:val="0"/>
                <w:color w:val="FFFFFF"/>
                <w:sz w:val="19"/>
              </w:rPr>
              <w:t>Strategic Objective</w:t>
            </w:r>
          </w:p>
        </w:tc>
        <w:tc>
          <w:tcPr>
            <w:tcW w:type="dxa" w:w="1337"/>
            <w:shd w:fill="1B365D"/>
          </w:tcPr>
          <w:p>
            <w:r/>
            <w:r>
              <w:rPr>
                <w:rFonts w:ascii="Inter" w:hAnsi="Inter" w:cs="Inter"/>
                <w:b/>
                <w:i w:val="0"/>
                <w:color w:val="FFFFFF"/>
                <w:sz w:val="19"/>
              </w:rPr>
              <w:t>BDP Goal</w:t>
            </w:r>
          </w:p>
        </w:tc>
        <w:tc>
          <w:tcPr>
            <w:tcW w:type="dxa" w:w="1337"/>
            <w:shd w:fill="1B365D"/>
          </w:tcPr>
          <w:p>
            <w:r/>
            <w:r>
              <w:rPr>
                <w:rFonts w:ascii="Inter" w:hAnsi="Inter" w:cs="Inter"/>
                <w:b/>
                <w:i w:val="0"/>
                <w:color w:val="FFFFFF"/>
                <w:sz w:val="19"/>
              </w:rPr>
              <w:t>Priority Agenda</w:t>
            </w:r>
          </w:p>
        </w:tc>
        <w:tc>
          <w:tcPr>
            <w:tcW w:type="dxa" w:w="1337"/>
            <w:shd w:fill="1B365D"/>
          </w:tcPr>
          <w:p>
            <w:r/>
            <w:r>
              <w:rPr>
                <w:rFonts w:ascii="Inter" w:hAnsi="Inter" w:cs="Inter"/>
                <w:b/>
                <w:i w:val="0"/>
                <w:color w:val="FFFFFF"/>
                <w:sz w:val="19"/>
              </w:rPr>
              <w:t>Baseline</w:t>
            </w:r>
          </w:p>
        </w:tc>
        <w:tc>
          <w:tcPr>
            <w:tcW w:type="dxa" w:w="1337"/>
            <w:shd w:fill="1B365D"/>
          </w:tcPr>
          <w:p>
            <w:r/>
            <w:r>
              <w:rPr>
                <w:rFonts w:ascii="Inter" w:hAnsi="Inter" w:cs="Inter"/>
                <w:b/>
                <w:i w:val="0"/>
                <w:color w:val="FFFFFF"/>
                <w:sz w:val="19"/>
              </w:rPr>
              <w:t>Target</w:t>
            </w:r>
          </w:p>
        </w:tc>
        <w:tc>
          <w:tcPr>
            <w:tcW w:type="dxa" w:w="1337"/>
            <w:shd w:fill="1B365D"/>
          </w:tcPr>
          <w:p>
            <w:r/>
            <w:r>
              <w:rPr>
                <w:rFonts w:ascii="Inter" w:hAnsi="Inter" w:cs="Inter"/>
                <w:b/>
                <w:i w:val="0"/>
                <w:color w:val="FFFFFF"/>
                <w:sz w:val="19"/>
              </w:rPr>
              <w:t>Timeline</w:t>
            </w:r>
          </w:p>
        </w:tc>
      </w:tr>
      <w:tr>
        <w:tc>
          <w:tcPr>
            <w:tcW w:type="dxa" w:w="1337"/>
          </w:tcPr>
          <w:p>
            <w:r/>
            <w:r>
              <w:rPr>
                <w:rFonts w:ascii="Inter" w:hAnsi="Inter" w:cs="Inter"/>
                <w:b w:val="0"/>
                <w:i w:val="0"/>
                <w:color w:val="2D2D2D"/>
                <w:sz w:val="19"/>
              </w:rPr>
              <w:t>SO-1</w:t>
            </w:r>
          </w:p>
        </w:tc>
        <w:tc>
          <w:tcPr>
            <w:tcW w:type="dxa" w:w="1337"/>
          </w:tcPr>
          <w:p>
            <w:r/>
            <w:r>
              <w:rPr>
                <w:rFonts w:ascii="Inter" w:hAnsi="Inter" w:cs="Inter"/>
                <w:b w:val="0"/>
                <w:i w:val="0"/>
                <w:color w:val="2D2D2D"/>
                <w:sz w:val="19"/>
              </w:rPr>
              <w:t>Establish a comprehensive OBC community database covering [X] provinces, consolidating community profiles, needs assessments, and service delivery records into a unified digital system</w:t>
            </w:r>
          </w:p>
        </w:tc>
        <w:tc>
          <w:tcPr>
            <w:tcW w:type="dxa" w:w="1337"/>
          </w:tcPr>
          <w:p>
            <w:r/>
            <w:r>
              <w:rPr>
                <w:rFonts w:ascii="Inter" w:hAnsi="Inter" w:cs="Inter"/>
                <w:b w:val="0"/>
                <w:i w:val="0"/>
                <w:color w:val="2D2D2D"/>
                <w:sz w:val="19"/>
              </w:rPr>
              <w:t>Goal 1 (Accountable Government), Goal 4 (Social Services)</w:t>
            </w:r>
          </w:p>
        </w:tc>
        <w:tc>
          <w:tcPr>
            <w:tcW w:type="dxa" w:w="1337"/>
          </w:tcPr>
          <w:p>
            <w:r/>
            <w:r>
              <w:rPr>
                <w:rFonts w:ascii="Inter" w:hAnsi="Inter" w:cs="Inter"/>
                <w:b w:val="0"/>
                <w:i w:val="0"/>
                <w:color w:val="2D2D2D"/>
                <w:sz w:val="19"/>
              </w:rPr>
              <w:t>Priority 1 (Moral Governance), Priority 5 (Social Services)</w:t>
            </w:r>
          </w:p>
        </w:tc>
        <w:tc>
          <w:tcPr>
            <w:tcW w:type="dxa" w:w="1337"/>
          </w:tcPr>
          <w:p>
            <w:r/>
            <w:r>
              <w:rPr>
                <w:rFonts w:ascii="Inter" w:hAnsi="Inter" w:cs="Inter"/>
                <w:b w:val="0"/>
                <w:i w:val="0"/>
                <w:color w:val="2D2D2D"/>
                <w:sz w:val="19"/>
              </w:rPr>
              <w:t>No unified database (2025)</w:t>
            </w:r>
          </w:p>
        </w:tc>
        <w:tc>
          <w:tcPr>
            <w:tcW w:type="dxa" w:w="1337"/>
          </w:tcPr>
          <w:p>
            <w:r/>
            <w:r>
              <w:rPr>
                <w:rFonts w:ascii="Inter" w:hAnsi="Inter" w:cs="Inter"/>
                <w:b w:val="0"/>
                <w:i w:val="0"/>
                <w:color w:val="2D2D2D"/>
                <w:sz w:val="19"/>
              </w:rPr>
              <w:t>[X] provinces profiled</w:t>
            </w:r>
          </w:p>
        </w:tc>
        <w:tc>
          <w:tcPr>
            <w:tcW w:type="dxa" w:w="1337"/>
          </w:tcPr>
          <w:p>
            <w:r/>
            <w:r>
              <w:rPr>
                <w:rFonts w:ascii="Inter" w:hAnsi="Inter" w:cs="Inter"/>
                <w:b w:val="0"/>
                <w:i w:val="0"/>
                <w:color w:val="2D2D2D"/>
                <w:sz w:val="19"/>
              </w:rPr>
              <w:t>December 2028</w:t>
            </w:r>
          </w:p>
        </w:tc>
      </w:tr>
      <w:tr>
        <w:tc>
          <w:tcPr>
            <w:tcW w:type="dxa" w:w="1337"/>
            <w:shd w:fill="F0F3F6"/>
          </w:tcPr>
          <w:p>
            <w:r/>
            <w:r>
              <w:rPr>
                <w:rFonts w:ascii="Inter" w:hAnsi="Inter" w:cs="Inter"/>
                <w:b w:val="0"/>
                <w:i w:val="0"/>
                <w:color w:val="2D2D2D"/>
                <w:sz w:val="19"/>
              </w:rPr>
              <w:t>SO-2</w:t>
            </w:r>
          </w:p>
        </w:tc>
        <w:tc>
          <w:tcPr>
            <w:tcW w:type="dxa" w:w="1337"/>
            <w:shd w:fill="F0F3F6"/>
          </w:tcPr>
          <w:p>
            <w:r/>
            <w:r>
              <w:rPr>
                <w:rFonts w:ascii="Inter" w:hAnsi="Inter" w:cs="Inter"/>
                <w:b w:val="0"/>
                <w:i w:val="0"/>
                <w:color w:val="2D2D2D"/>
                <w:sz w:val="19"/>
              </w:rPr>
              <w:t>Formalize coordination agreements (MOUs/MOAs) with [X] LGUs and [X] NGAs establishing protocols for OBC service delivery, referral, and information sharing</w:t>
            </w:r>
          </w:p>
        </w:tc>
        <w:tc>
          <w:tcPr>
            <w:tcW w:type="dxa" w:w="1337"/>
            <w:shd w:fill="F0F3F6"/>
          </w:tcPr>
          <w:p>
            <w:r/>
            <w:r>
              <w:rPr>
                <w:rFonts w:ascii="Inter" w:hAnsi="Inter" w:cs="Inter"/>
                <w:b w:val="0"/>
                <w:i w:val="0"/>
                <w:color w:val="2D2D2D"/>
                <w:sz w:val="19"/>
              </w:rPr>
              <w:t>Goal 1 (Accountable Government), Goal 3 (Resilient Communities)</w:t>
            </w:r>
          </w:p>
        </w:tc>
        <w:tc>
          <w:tcPr>
            <w:tcW w:type="dxa" w:w="1337"/>
            <w:shd w:fill="F0F3F6"/>
          </w:tcPr>
          <w:p>
            <w:r/>
            <w:r>
              <w:rPr>
                <w:rFonts w:ascii="Inter" w:hAnsi="Inter" w:cs="Inter"/>
                <w:b w:val="0"/>
                <w:i w:val="0"/>
                <w:color w:val="2D2D2D"/>
                <w:sz w:val="19"/>
              </w:rPr>
              <w:t>Priority 1, Priority 5</w:t>
            </w:r>
          </w:p>
        </w:tc>
        <w:tc>
          <w:tcPr>
            <w:tcW w:type="dxa" w:w="1337"/>
            <w:shd w:fill="F0F3F6"/>
          </w:tcPr>
          <w:p>
            <w:r/>
            <w:r>
              <w:rPr>
                <w:rFonts w:ascii="Inter" w:hAnsi="Inter" w:cs="Inter"/>
                <w:b w:val="0"/>
                <w:i w:val="0"/>
                <w:color w:val="2D2D2D"/>
                <w:sz w:val="19"/>
              </w:rPr>
              <w:t>[X] informal coordination linkages (2025)</w:t>
            </w:r>
          </w:p>
        </w:tc>
        <w:tc>
          <w:tcPr>
            <w:tcW w:type="dxa" w:w="1337"/>
            <w:shd w:fill="F0F3F6"/>
          </w:tcPr>
          <w:p>
            <w:r/>
            <w:r>
              <w:rPr>
                <w:rFonts w:ascii="Inter" w:hAnsi="Inter" w:cs="Inter"/>
                <w:b w:val="0"/>
                <w:i w:val="0"/>
                <w:color w:val="2D2D2D"/>
                <w:sz w:val="19"/>
              </w:rPr>
              <w:t>[X] MOUs/MOAs formalized</w:t>
            </w:r>
          </w:p>
        </w:tc>
        <w:tc>
          <w:tcPr>
            <w:tcW w:type="dxa" w:w="1337"/>
            <w:shd w:fill="F0F3F6"/>
          </w:tcPr>
          <w:p>
            <w:r/>
            <w:r>
              <w:rPr>
                <w:rFonts w:ascii="Inter" w:hAnsi="Inter" w:cs="Inter"/>
                <w:b w:val="0"/>
                <w:i w:val="0"/>
                <w:color w:val="2D2D2D"/>
                <w:sz w:val="19"/>
              </w:rPr>
              <w:t>December 2027</w:t>
            </w:r>
          </w:p>
        </w:tc>
      </w:tr>
      <w:tr>
        <w:tc>
          <w:tcPr>
            <w:tcW w:type="dxa" w:w="1337"/>
          </w:tcPr>
          <w:p>
            <w:r/>
            <w:r>
              <w:rPr>
                <w:rFonts w:ascii="Inter" w:hAnsi="Inter" w:cs="Inter"/>
                <w:b w:val="0"/>
                <w:i w:val="0"/>
                <w:color w:val="2D2D2D"/>
                <w:sz w:val="19"/>
              </w:rPr>
              <w:t>SO-3</w:t>
            </w:r>
          </w:p>
        </w:tc>
        <w:tc>
          <w:tcPr>
            <w:tcW w:type="dxa" w:w="1337"/>
          </w:tcPr>
          <w:p>
            <w:r/>
            <w:r>
              <w:rPr>
                <w:rFonts w:ascii="Inter" w:hAnsi="Inter" w:cs="Inter"/>
                <w:b w:val="0"/>
                <w:i w:val="0"/>
                <w:color w:val="2D2D2D"/>
                <w:sz w:val="19"/>
              </w:rPr>
              <w:t>Increase the percentage of OBC communities with documented access to BARMM services from [baseline] to [target] through coordinated service delivery, referral mechanisms, and advocacy</w:t>
            </w:r>
          </w:p>
        </w:tc>
        <w:tc>
          <w:tcPr>
            <w:tcW w:type="dxa" w:w="1337"/>
          </w:tcPr>
          <w:p>
            <w:r/>
            <w:r>
              <w:rPr>
                <w:rFonts w:ascii="Inter" w:hAnsi="Inter" w:cs="Inter"/>
                <w:b w:val="0"/>
                <w:i w:val="0"/>
                <w:color w:val="2D2D2D"/>
                <w:sz w:val="19"/>
              </w:rPr>
              <w:t>Goal 4 (Social Services), Goal 3 (Resilient Communities), Goal 1 (Accountable Government)</w:t>
            </w:r>
          </w:p>
        </w:tc>
        <w:tc>
          <w:tcPr>
            <w:tcW w:type="dxa" w:w="1337"/>
          </w:tcPr>
          <w:p>
            <w:r/>
            <w:r>
              <w:rPr>
                <w:rFonts w:ascii="Inter" w:hAnsi="Inter" w:cs="Inter"/>
                <w:b w:val="0"/>
                <w:i w:val="0"/>
                <w:color w:val="2D2D2D"/>
                <w:sz w:val="19"/>
              </w:rPr>
              <w:t>Priority 5, Priority 1</w:t>
            </w:r>
          </w:p>
        </w:tc>
        <w:tc>
          <w:tcPr>
            <w:tcW w:type="dxa" w:w="1337"/>
          </w:tcPr>
          <w:p>
            <w:r/>
            <w:r>
              <w:rPr>
                <w:rFonts w:ascii="Inter" w:hAnsi="Inter" w:cs="Inter"/>
                <w:b w:val="0"/>
                <w:i w:val="0"/>
                <w:color w:val="2D2D2D"/>
                <w:sz w:val="19"/>
              </w:rPr>
              <w:t>[baseline]% (2025)</w:t>
            </w:r>
          </w:p>
        </w:tc>
        <w:tc>
          <w:tcPr>
            <w:tcW w:type="dxa" w:w="1337"/>
          </w:tcPr>
          <w:p>
            <w:r/>
            <w:r>
              <w:rPr>
                <w:rFonts w:ascii="Inter" w:hAnsi="Inter" w:cs="Inter"/>
                <w:b w:val="0"/>
                <w:i w:val="0"/>
                <w:color w:val="2D2D2D"/>
                <w:sz w:val="19"/>
              </w:rPr>
              <w:t>[target]%</w:t>
            </w:r>
          </w:p>
        </w:tc>
        <w:tc>
          <w:tcPr>
            <w:tcW w:type="dxa" w:w="1337"/>
          </w:tcPr>
          <w:p>
            <w:r/>
            <w:r>
              <w:rPr>
                <w:rFonts w:ascii="Inter" w:hAnsi="Inter" w:cs="Inter"/>
                <w:b w:val="0"/>
                <w:i w:val="0"/>
                <w:color w:val="2D2D2D"/>
                <w:sz w:val="19"/>
              </w:rPr>
              <w:t>December 2028</w:t>
            </w:r>
          </w:p>
        </w:tc>
      </w:tr>
      <w:tr>
        <w:tc>
          <w:tcPr>
            <w:tcW w:type="dxa" w:w="1337"/>
            <w:shd w:fill="F0F3F6"/>
          </w:tcPr>
          <w:p>
            <w:r/>
            <w:r>
              <w:rPr>
                <w:rFonts w:ascii="Inter" w:hAnsi="Inter" w:cs="Inter"/>
                <w:b w:val="0"/>
                <w:i w:val="0"/>
                <w:color w:val="2D2D2D"/>
                <w:sz w:val="19"/>
              </w:rPr>
              <w:t>SO-4</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r>
              <w:rPr>
                <w:rFonts w:ascii="Inter" w:hAnsi="Inter" w:cs="Inter"/>
                <w:b w:val="0"/>
                <w:i w:val="0"/>
                <w:color w:val="2D2D2D"/>
                <w:sz w:val="19"/>
              </w:rPr>
              <w:t>SO-5</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shd w:fill="F0F3F6"/>
          </w:tcPr>
          <w:p>
            <w:r/>
            <w:r>
              <w:rPr>
                <w:rFonts w:ascii="Inter" w:hAnsi="Inter" w:cs="Inter"/>
                <w:b w:val="0"/>
                <w:i w:val="0"/>
                <w:color w:val="2D2D2D"/>
                <w:sz w:val="19"/>
              </w:rPr>
              <w:t>SO-6</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r>
              <w:rPr>
                <w:rFonts w:ascii="Inter" w:hAnsi="Inter" w:cs="Inter"/>
                <w:b w:val="0"/>
                <w:i w:val="0"/>
                <w:color w:val="2D2D2D"/>
                <w:sz w:val="19"/>
              </w:rPr>
              <w:t>SO-7</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
      <w:pPr>
        <w:spacing w:after="120" w:line="276" w:lineRule="auto"/>
      </w:pPr>
      <w:r>
        <w:rPr>
          <w:rFonts w:ascii="Inter" w:hAnsi="Inter" w:cs="Inter"/>
          <w:b w:val="0"/>
          <w:i w:val="0"/>
          <w:color w:val="2D2D2D"/>
          <w:sz w:val="22"/>
        </w:rPr>
        <w:t>*Notes for completing this table:*</w:t>
      </w:r>
    </w:p>
    <w:p>
      <w:pPr>
        <w:pStyle w:val="ListBullet"/>
      </w:pPr>
      <w:r>
        <w:rPr>
          <w:rFonts w:ascii="Inter" w:hAnsi="Inter" w:cs="Inter"/>
          <w:b w:val="0"/>
          <w:i w:val="0"/>
          <w:color w:val="2D2D2D"/>
          <w:sz w:val="22"/>
        </w:rPr>
        <w:t>*Strategic Objective: State as an outcome, not an activity. Include baseline value, target value, and key method.*</w:t>
      </w:r>
    </w:p>
    <w:p>
      <w:pPr>
        <w:pStyle w:val="ListBullet"/>
      </w:pPr>
      <w:r>
        <w:rPr>
          <w:rFonts w:ascii="Inter" w:hAnsi="Inter" w:cs="Inter"/>
          <w:b w:val="0"/>
          <w:i w:val="0"/>
          <w:color w:val="2D2D2D"/>
          <w:sz w:val="22"/>
        </w:rPr>
        <w:t>*BDP Goal: Use the goal title from the 2nd Bangsamoro Development Plan 2023-2028.*</w:t>
      </w:r>
    </w:p>
    <w:p>
      <w:pPr>
        <w:pStyle w:val="ListBullet"/>
      </w:pPr>
      <w:r>
        <w:rPr>
          <w:rFonts w:ascii="Inter" w:hAnsi="Inter" w:cs="Inter"/>
          <w:b w:val="0"/>
          <w:i w:val="0"/>
          <w:color w:val="2D2D2D"/>
          <w:sz w:val="22"/>
        </w:rPr>
        <w:t>*Priority Agenda: Use the priority number and title from the Chief Minister's 12-Point Enhanced Priority Agenda.*</w:t>
      </w:r>
    </w:p>
    <w:p>
      <w:pPr>
        <w:pStyle w:val="ListBullet"/>
      </w:pPr>
      <w:r>
        <w:rPr>
          <w:rFonts w:ascii="Inter" w:hAnsi="Inter" w:cs="Inter"/>
          <w:b w:val="0"/>
          <w:i w:val="0"/>
          <w:color w:val="2D2D2D"/>
          <w:sz w:val="22"/>
        </w:rPr>
        <w:t>*Baseline: The current, verified value of your outcome indicator. If not yet measured, state the year by which the baseline will be established.*</w:t>
      </w:r>
    </w:p>
    <w:p>
      <w:pPr>
        <w:pStyle w:val="ListBullet"/>
      </w:pPr>
      <w:r>
        <w:rPr>
          <w:rFonts w:ascii="Inter" w:hAnsi="Inter" w:cs="Inter"/>
          <w:b w:val="0"/>
          <w:i w:val="0"/>
          <w:color w:val="2D2D2D"/>
          <w:sz w:val="22"/>
        </w:rPr>
        <w:t>*Target: The specific value you commit to achieving. Do not use "improve" or "enhance" --- use a specific number or defined threshold.*</w:t>
      </w:r>
    </w:p>
    <w:p>
      <w:pPr>
        <w:pStyle w:val="ListBullet"/>
      </w:pPr>
      <w:r>
        <w:rPr>
          <w:rFonts w:ascii="Inter" w:hAnsi="Inter" w:cs="Inter"/>
          <w:b w:val="0"/>
          <w:i w:val="0"/>
          <w:color w:val="2D2D2D"/>
          <w:sz w:val="22"/>
        </w:rPr>
        <w:t>*Timeline: The specific month and year by which the target will be achieved.*</w:t>
      </w:r>
    </w:p>
    <w:p>
      <w:pPr>
        <w:pStyle w:val="Heading2"/>
      </w:pPr>
      <w:r>
        <w:rPr>
          <w:rFonts w:ascii="Inter" w:hAnsi="Inter" w:cs="Inter"/>
          <w:b/>
          <w:i w:val="0"/>
          <w:color w:val="1B365D"/>
          <w:sz w:val="32"/>
        </w:rPr>
        <w:t>6.8 Quality Checklist</w:t>
      </w:r>
    </w:p>
    <w:p>
      <w:pPr>
        <w:spacing w:after="120" w:line="276" w:lineRule="auto"/>
      </w:pPr>
      <w:r>
        <w:rPr>
          <w:rFonts w:ascii="Inter" w:hAnsi="Inter" w:cs="Inter"/>
          <w:b w:val="0"/>
          <w:i w:val="0"/>
          <w:color w:val="2D2D2D"/>
          <w:sz w:val="22"/>
        </w:rPr>
        <w:t>Before submitting your Point 5 outputs as part of your strategic plan, verify each item:</w:t>
      </w:r>
    </w:p>
    <w:p>
      <w:pPr>
        <w:pStyle w:val="ListBullet"/>
      </w:pPr>
      <w:r>
        <w:rPr>
          <w:rFonts w:ascii="Inter" w:hAnsi="Inter" w:cs="Inter"/>
          <w:b w:val="0"/>
          <w:i w:val="0"/>
          <w:color w:val="2D2D2D"/>
          <w:sz w:val="22"/>
        </w:rPr>
        <w:t xml:space="preserve">[ ] </w:t>
      </w:r>
      <w:r>
        <w:rPr>
          <w:rFonts w:ascii="Inter" w:hAnsi="Inter" w:cs="Inter"/>
          <w:b/>
          <w:i w:val="0"/>
          <w:color w:val="2D2D2D"/>
          <w:sz w:val="22"/>
        </w:rPr>
        <w:t>Vision is aspirational and future-focused.</w:t>
      </w:r>
      <w:r>
        <w:rPr>
          <w:rFonts w:ascii="Inter" w:hAnsi="Inter" w:cs="Inter"/>
          <w:b w:val="0"/>
          <w:i w:val="0"/>
          <w:color w:val="2D2D2D"/>
          <w:sz w:val="22"/>
        </w:rPr>
        <w:t xml:space="preserve"> It describes a desired future state, not a list of activities or functions.</w:t>
      </w:r>
    </w:p>
    <w:p>
      <w:pPr>
        <w:pStyle w:val="ListBullet"/>
      </w:pPr>
      <w:r>
        <w:rPr>
          <w:rFonts w:ascii="Inter" w:hAnsi="Inter" w:cs="Inter"/>
          <w:b w:val="0"/>
          <w:i w:val="0"/>
          <w:color w:val="2D2D2D"/>
          <w:sz w:val="22"/>
        </w:rPr>
        <w:t xml:space="preserve">[ ] </w:t>
      </w:r>
      <w:r>
        <w:rPr>
          <w:rFonts w:ascii="Inter" w:hAnsi="Inter" w:cs="Inter"/>
          <w:b/>
          <w:i w:val="0"/>
          <w:color w:val="2D2D2D"/>
          <w:sz w:val="22"/>
        </w:rPr>
        <w:t>Mission is grounded in your legal mandate.</w:t>
      </w:r>
      <w:r>
        <w:rPr>
          <w:rFonts w:ascii="Inter" w:hAnsi="Inter" w:cs="Inter"/>
          <w:b w:val="0"/>
          <w:i w:val="0"/>
          <w:color w:val="2D2D2D"/>
          <w:sz w:val="22"/>
        </w:rPr>
        <w:t xml:space="preserve"> It references the BOL provision or enabling law that establishes your MOA's mandate, and it is written in the present tense.</w:t>
      </w:r>
    </w:p>
    <w:p>
      <w:pPr>
        <w:pStyle w:val="ListBullet"/>
      </w:pPr>
      <w:r>
        <w:rPr>
          <w:rFonts w:ascii="Inter" w:hAnsi="Inter" w:cs="Inter"/>
          <w:b w:val="0"/>
          <w:i w:val="0"/>
          <w:color w:val="2D2D2D"/>
          <w:sz w:val="22"/>
        </w:rPr>
        <w:t xml:space="preserve">[ ] </w:t>
      </w:r>
      <w:r>
        <w:rPr>
          <w:rFonts w:ascii="Inter" w:hAnsi="Inter" w:cs="Inter"/>
          <w:b/>
          <w:i w:val="0"/>
          <w:color w:val="2D2D2D"/>
          <w:sz w:val="22"/>
        </w:rPr>
        <w:t>Core Values include behavioral indicators.</w:t>
      </w:r>
      <w:r>
        <w:rPr>
          <w:rFonts w:ascii="Inter" w:hAnsi="Inter" w:cs="Inter"/>
          <w:b w:val="0"/>
          <w:i w:val="0"/>
          <w:color w:val="2D2D2D"/>
          <w:sz w:val="22"/>
        </w:rPr>
        <w:t xml:space="preserve"> Each value has at least two specific, observable behavioral indicators that staff can be held to.</w:t>
      </w:r>
    </w:p>
    <w:p>
      <w:pPr>
        <w:pStyle w:val="ListBullet"/>
      </w:pPr>
      <w:r>
        <w:rPr>
          <w:rFonts w:ascii="Inter" w:hAnsi="Inter" w:cs="Inter"/>
          <w:b w:val="0"/>
          <w:i w:val="0"/>
          <w:color w:val="2D2D2D"/>
          <w:sz w:val="22"/>
        </w:rPr>
        <w:t xml:space="preserve">[ ] </w:t>
      </w:r>
      <w:r>
        <w:rPr>
          <w:rFonts w:ascii="Inter" w:hAnsi="Inter" w:cs="Inter"/>
          <w:b/>
          <w:i w:val="0"/>
          <w:color w:val="2D2D2D"/>
          <w:sz w:val="22"/>
        </w:rPr>
        <w:t>Core Values connect to Moral Governance.</w:t>
      </w:r>
      <w:r>
        <w:rPr>
          <w:rFonts w:ascii="Inter" w:hAnsi="Inter" w:cs="Inter"/>
          <w:b w:val="0"/>
          <w:i w:val="0"/>
          <w:color w:val="2D2D2D"/>
          <w:sz w:val="22"/>
        </w:rPr>
        <w:t xml:space="preserve"> At least one value explicitly addresses integrity, accountability, transparency, or the 12 Pillars of Moral Governance.</w:t>
      </w:r>
    </w:p>
    <w:p>
      <w:pPr>
        <w:pStyle w:val="ListBullet"/>
      </w:pPr>
      <w:r>
        <w:rPr>
          <w:rFonts w:ascii="Inter" w:hAnsi="Inter" w:cs="Inter"/>
          <w:b w:val="0"/>
          <w:i w:val="0"/>
          <w:color w:val="2D2D2D"/>
          <w:sz w:val="22"/>
        </w:rPr>
        <w:t xml:space="preserve">[ ] </w:t>
      </w:r>
      <w:r>
        <w:rPr>
          <w:rFonts w:ascii="Inter" w:hAnsi="Inter" w:cs="Inter"/>
          <w:b/>
          <w:i w:val="0"/>
          <w:color w:val="2D2D2D"/>
          <w:sz w:val="22"/>
        </w:rPr>
        <w:t>SWOT has been prioritized to 3 to 5 items per quadrant.</w:t>
      </w:r>
      <w:r>
        <w:rPr>
          <w:rFonts w:ascii="Inter" w:hAnsi="Inter" w:cs="Inter"/>
          <w:b w:val="0"/>
          <w:i w:val="0"/>
          <w:color w:val="2D2D2D"/>
          <w:sz w:val="22"/>
        </w:rPr>
        <w:t xml:space="preserve"> It is not a brainstorm list. Each item is specific to your MOA's context, not a generic observation applicable to any government agency.</w:t>
      </w:r>
    </w:p>
    <w:p>
      <w:pPr>
        <w:pStyle w:val="ListBullet"/>
      </w:pPr>
      <w:r>
        <w:rPr>
          <w:rFonts w:ascii="Inter" w:hAnsi="Inter" w:cs="Inter"/>
          <w:b w:val="0"/>
          <w:i w:val="0"/>
          <w:color w:val="2D2D2D"/>
          <w:sz w:val="22"/>
        </w:rPr>
        <w:t xml:space="preserve">[ ] </w:t>
      </w:r>
      <w:r>
        <w:rPr>
          <w:rFonts w:ascii="Inter" w:hAnsi="Inter" w:cs="Inter"/>
          <w:b/>
          <w:i w:val="0"/>
          <w:color w:val="2D2D2D"/>
          <w:sz w:val="22"/>
        </w:rPr>
        <w:t>Problem Statements are evidence-based.</w:t>
      </w:r>
      <w:r>
        <w:rPr>
          <w:rFonts w:ascii="Inter" w:hAnsi="Inter" w:cs="Inter"/>
          <w:b w:val="0"/>
          <w:i w:val="0"/>
          <w:color w:val="2D2D2D"/>
          <w:sz w:val="22"/>
        </w:rPr>
        <w:t xml:space="preserve"> Each Problem Statement includes a root cause analysis and cites data or documented experience confirming the problem.</w:t>
      </w:r>
    </w:p>
    <w:p>
      <w:pPr>
        <w:pStyle w:val="ListBullet"/>
      </w:pPr>
      <w:r>
        <w:rPr>
          <w:rFonts w:ascii="Inter" w:hAnsi="Inter" w:cs="Inter"/>
          <w:b w:val="0"/>
          <w:i w:val="0"/>
          <w:color w:val="2D2D2D"/>
          <w:sz w:val="22"/>
        </w:rPr>
        <w:t xml:space="preserve">[ ] </w:t>
      </w:r>
      <w:r>
        <w:rPr>
          <w:rFonts w:ascii="Inter" w:hAnsi="Inter" w:cs="Inter"/>
          <w:b/>
          <w:i w:val="0"/>
          <w:color w:val="2D2D2D"/>
          <w:sz w:val="22"/>
        </w:rPr>
        <w:t>All Strategic Objectives pass the full SMART test.</w:t>
      </w:r>
      <w:r>
        <w:rPr>
          <w:rFonts w:ascii="Inter" w:hAnsi="Inter" w:cs="Inter"/>
          <w:b w:val="0"/>
          <w:i w:val="0"/>
          <w:color w:val="2D2D2D"/>
          <w:sz w:val="22"/>
        </w:rPr>
        <w:t xml:space="preserve"> Each objective is Specific, Measurable, Achievable, Relevant, and Time-bound. You can state precisely how each criterion is met.</w:t>
      </w:r>
    </w:p>
    <w:p>
      <w:pPr>
        <w:pStyle w:val="ListBullet"/>
      </w:pPr>
      <w:r>
        <w:rPr>
          <w:rFonts w:ascii="Inter" w:hAnsi="Inter" w:cs="Inter"/>
          <w:b w:val="0"/>
          <w:i w:val="0"/>
          <w:color w:val="2D2D2D"/>
          <w:sz w:val="22"/>
        </w:rPr>
        <w:t xml:space="preserve">[ ] </w:t>
      </w:r>
      <w:r>
        <w:rPr>
          <w:rFonts w:ascii="Inter" w:hAnsi="Inter" w:cs="Inter"/>
          <w:b/>
          <w:i w:val="0"/>
          <w:color w:val="2D2D2D"/>
          <w:sz w:val="22"/>
        </w:rPr>
        <w:t>Objectives describe outcomes, not outputs or activities.</w:t>
      </w:r>
      <w:r>
        <w:rPr>
          <w:rFonts w:ascii="Inter" w:hAnsi="Inter" w:cs="Inter"/>
          <w:b w:val="0"/>
          <w:i w:val="0"/>
          <w:color w:val="2D2D2D"/>
          <w:sz w:val="22"/>
        </w:rPr>
        <w:t xml:space="preserve"> None of your objectives state how many trainings you will conduct, how many permits you will issue, or how many vehicles you will purchase.</w:t>
      </w:r>
    </w:p>
    <w:p>
      <w:pPr>
        <w:pStyle w:val="ListBullet"/>
      </w:pPr>
      <w:r>
        <w:rPr>
          <w:rFonts w:ascii="Inter" w:hAnsi="Inter" w:cs="Inter"/>
          <w:b w:val="0"/>
          <w:i w:val="0"/>
          <w:color w:val="2D2D2D"/>
          <w:sz w:val="22"/>
        </w:rPr>
        <w:t xml:space="preserve">[ ] </w:t>
      </w:r>
      <w:r>
        <w:rPr>
          <w:rFonts w:ascii="Inter" w:hAnsi="Inter" w:cs="Inter"/>
          <w:b/>
          <w:i w:val="0"/>
          <w:color w:val="2D2D2D"/>
          <w:sz w:val="22"/>
        </w:rPr>
        <w:t>Every objective links to at least one BDP Goal and one Priority Agenda item.</w:t>
      </w:r>
      <w:r>
        <w:rPr>
          <w:rFonts w:ascii="Inter" w:hAnsi="Inter" w:cs="Inter"/>
          <w:b w:val="0"/>
          <w:i w:val="0"/>
          <w:color w:val="2D2D2D"/>
          <w:sz w:val="22"/>
        </w:rPr>
        <w:t xml:space="preserve"> The linkages are recorded in the Strategic Objectives table.</w:t>
      </w:r>
    </w:p>
    <w:p>
      <w:pPr>
        <w:pStyle w:val="ListBullet"/>
      </w:pPr>
      <w:r>
        <w:rPr>
          <w:rFonts w:ascii="Inter" w:hAnsi="Inter" w:cs="Inter"/>
          <w:b w:val="0"/>
          <w:i w:val="0"/>
          <w:color w:val="2D2D2D"/>
          <w:sz w:val="22"/>
        </w:rPr>
        <w:t xml:space="preserve">[ ] </w:t>
      </w:r>
      <w:r>
        <w:rPr>
          <w:rFonts w:ascii="Inter" w:hAnsi="Inter" w:cs="Inter"/>
          <w:b/>
          <w:i w:val="0"/>
          <w:color w:val="2D2D2D"/>
          <w:sz w:val="22"/>
        </w:rPr>
        <w:t>The total number of Strategic Objectives is between 3 and 7.</w:t>
      </w:r>
      <w:r>
        <w:rPr>
          <w:rFonts w:ascii="Inter" w:hAnsi="Inter" w:cs="Inter"/>
          <w:b w:val="0"/>
          <w:i w:val="0"/>
          <w:color w:val="2D2D2D"/>
          <w:sz w:val="22"/>
        </w:rPr>
        <w:t xml:space="preserve"> If you have more than 7, revisit your prioritization before proceeding to Point 6.</w:t>
      </w:r>
    </w:p>
    <w:p>
      <w:pPr>
        <w:spacing w:after="120" w:line="276" w:lineRule="auto"/>
      </w:pPr>
      <w:r>
        <w:rPr>
          <w:rFonts w:ascii="Inter" w:hAnsi="Inter" w:cs="Inter"/>
          <w:b w:val="0"/>
          <w:i w:val="0"/>
          <w:color w:val="2D2D2D"/>
          <w:sz w:val="22"/>
        </w:rPr>
        <w:t>[^1]: Republic Act No. 11054, *Organic Law for the Bangsamoro Autonomous Region in Muslim Mindanao* [BOL], Preamble (2018).</w:t>
      </w:r>
    </w:p>
    <w:p>
      <w:pPr>
        <w:spacing w:after="120" w:line="276" w:lineRule="auto"/>
      </w:pPr>
      <w:r>
        <w:rPr>
          <w:rFonts w:ascii="Inter" w:hAnsi="Inter" w:cs="Inter"/>
          <w:b w:val="0"/>
          <w:i w:val="0"/>
          <w:color w:val="2D2D2D"/>
          <w:sz w:val="22"/>
        </w:rPr>
        <w:t>[^2]: Office for Other Bangsamoro Communities (OOBC), Year-End Assessment Report (2025). Community data and institutional assessment findings.</w:t>
      </w:r>
    </w:p>
    <w:p>
      <w:pPr>
        <w:spacing w:after="120" w:line="276" w:lineRule="auto"/>
      </w:pPr>
      <w:r>
        <w:rPr>
          <w:rFonts w:ascii="Inter" w:hAnsi="Inter" w:cs="Inter"/>
          <w:b w:val="0"/>
          <w:i w:val="0"/>
          <w:color w:val="2D2D2D"/>
          <w:sz w:val="22"/>
        </w:rPr>
        <w:t>[^3]: Republic Act No. 11054, Art. VI, Sec. 12 (2018). The Bangsamoro Organic Law provides for the rights and welfare of Bangsamoro communities outside the autonomous region, establishing the mandate for OOBC's coordination and service delivery functions.</w:t>
      </w:r>
    </w:p>
    <w:p>
      <w:pPr>
        <w:spacing w:after="120" w:line="276" w:lineRule="auto"/>
      </w:pPr>
      <w:r>
        <w:rPr>
          <w:rFonts w:ascii="Inter" w:hAnsi="Inter" w:cs="Inter"/>
          <w:b w:val="0"/>
          <w:i w:val="0"/>
          <w:color w:val="2D2D2D"/>
          <w:sz w:val="22"/>
        </w:rPr>
        <w:t>[^4]: OOBC is attached to the Office of the Chief Minister (OCM) pursuant to its organizational mandate, providing direct executive-level institutional support for OBC-related coordination and advocacy.</w:t>
      </w:r>
    </w:p>
    <w:p>
      <w:pPr>
        <w:pageBreakBefore/>
      </w:pPr>
    </w:p>
    <w:p>
      <w:pPr>
        <w:pStyle w:val="Heading1"/>
      </w:pPr>
      <w:r>
        <w:rPr>
          <w:rFonts w:ascii="Inter" w:hAnsi="Inter" w:cs="Inter"/>
          <w:b/>
          <w:i w:val="0"/>
          <w:color w:val="1B365D"/>
          <w:sz w:val="44"/>
        </w:rPr>
        <w:t>Chapter 7: Building Your Theory of Change</w:t>
      </w:r>
    </w:p>
    <w:p>
      <w:pPr>
        <w:spacing w:after="120" w:line="276" w:lineRule="auto"/>
      </w:pPr>
      <w:r>
        <w:rPr>
          <w:rFonts w:ascii="Inter" w:hAnsi="Inter" w:cs="Inter"/>
          <w:b w:val="0"/>
          <w:i w:val="0"/>
          <w:color w:val="2D2D2D"/>
          <w:sz w:val="22"/>
        </w:rPr>
        <w:t>You have now completed six steps of the 10-Point Framework. You know your legal mandate (Chapter 2). You have aligned with the BDP (Chapter 3) and the Priority Agenda (Chapter 4). You have mapped your stakeholders (Chapter 5). And you have defined your strategic direction --- vision, mission, values, strategic goals, and strategic objectives (Chapter 6). You know *what* your MOA is authorized to do, *what* the region expects, *who* is involved, and *where* you are headed.</w:t>
      </w:r>
    </w:p>
    <w:p>
      <w:pPr>
        <w:spacing w:after="120" w:line="276" w:lineRule="auto"/>
      </w:pPr>
      <w:r>
        <w:rPr>
          <w:rFonts w:ascii="Inter" w:hAnsi="Inter" w:cs="Inter"/>
          <w:b w:val="0"/>
          <w:i w:val="0"/>
          <w:color w:val="2D2D2D"/>
          <w:sz w:val="22"/>
        </w:rPr>
        <w:t>This chapter asks a harder question: *How does change actually happen?*</w:t>
      </w:r>
    </w:p>
    <w:p>
      <w:pPr>
        <w:spacing w:after="120" w:line="276" w:lineRule="auto"/>
      </w:pPr>
      <w:r>
        <w:rPr>
          <w:rFonts w:ascii="Inter" w:hAnsi="Inter" w:cs="Inter"/>
          <w:b w:val="0"/>
          <w:i w:val="0"/>
          <w:color w:val="2D2D2D"/>
          <w:sz w:val="22"/>
        </w:rPr>
        <w:t>A strategic plan without a Theory of Change is a list of things your MOA intends to do. It tells Parliament and BPDA that you plan to train farmers, build clinics, develop curricula, or regulate industries. But it does not explain *why* those activities will produce the results you claim. It does not make visible the chain of logic that connects what your staff do every day to the long-term improvement in people's lives that justifies your MOA's existence and its budget.</w:t>
      </w:r>
    </w:p>
    <w:p>
      <w:pPr>
        <w:spacing w:after="120" w:line="276" w:lineRule="auto"/>
      </w:pPr>
      <w:r>
        <w:rPr>
          <w:rFonts w:ascii="Inter" w:hAnsi="Inter" w:cs="Inter"/>
          <w:b w:val="0"/>
          <w:i w:val="0"/>
          <w:color w:val="2D2D2D"/>
          <w:sz w:val="22"/>
        </w:rPr>
        <w:t>The Theory of Change (ToC) makes that logic explicit. It says: *If we do these activities, using these resources, then we will produce these outputs, which will lead to these outcomes, which will contribute to this long-term impact --- and here are the conditions that must hold for each link in that chain to work.* Every link is a testable proposition. Every assumption is named. Every risk is visible.</w:t>
      </w:r>
    </w:p>
    <w:p>
      <w:pPr>
        <w:spacing w:after="120" w:line="276" w:lineRule="auto"/>
      </w:pPr>
      <w:r>
        <w:rPr>
          <w:rFonts w:ascii="Inter" w:hAnsi="Inter" w:cs="Inter"/>
          <w:b w:val="0"/>
          <w:i w:val="0"/>
          <w:color w:val="2D2D2D"/>
          <w:sz w:val="22"/>
        </w:rPr>
        <w:t>This matters for three reasons. First, if your causal logic is wrong, no amount of good execution will produce the results you want. You can deliver every activity on time and on budget and still fail to improve the lives of Bangsamoro communities --- because the pathway from activity to impact was never sound. The ToC forces you to examine that pathway before you invest resources in it. Second, the ToC is the foundation for results-based monitoring and evaluation (Chapter 11). Without a results chain, you cannot define meaningful indicators because you do not know what results to measure at each level. Third, the ToC is what distinguishes a strategic plan from an operational plan. An operational plan says *what* you will do. A strategic plan says *how what you do creates change*.</w:t>
      </w:r>
    </w:p>
    <w:p>
      <w:pPr>
        <w:spacing w:after="120" w:line="276" w:lineRule="auto"/>
      </w:pPr>
      <w:r>
        <w:rPr>
          <w:rFonts w:ascii="Inter" w:hAnsi="Inter" w:cs="Inter"/>
          <w:b w:val="0"/>
          <w:i w:val="0"/>
          <w:color w:val="2D2D2D"/>
          <w:sz w:val="22"/>
        </w:rPr>
        <w:t>For many planning teams, this is the hardest chapter in the guidebook. The concepts are abstract. The language can feel academic. The temptation to skip it and move directly to program design (Chapter 8) is strong. Resist that temptation. A plan without a Theory of Change cannot be evaluated for effectiveness --- only for compliance. And compliance without effectiveness means spending public money without improving public welfare.</w:t>
      </w:r>
    </w:p>
    <w:p>
      <w:pPr>
        <w:spacing w:after="120" w:line="276" w:lineRule="auto"/>
      </w:pPr>
      <w:r>
        <w:rPr>
          <w:rFonts w:ascii="Inter" w:hAnsi="Inter" w:cs="Inter"/>
          <w:b w:val="0"/>
          <w:i w:val="0"/>
          <w:color w:val="2D2D2D"/>
          <w:sz w:val="22"/>
        </w:rPr>
        <w:t>This chapter gives you a step-by-step process for building your ToC: defining your impact, constructing a results chain, documenting causal pathways, identifying assumptions and risks, and writing a Theory of Change narrative.</w:t>
      </w:r>
    </w:p>
    <w:p>
      <w:pPr>
        <w:pStyle w:val="Heading2"/>
      </w:pPr>
      <w:r>
        <w:rPr>
          <w:rFonts w:ascii="Inter" w:hAnsi="Inter" w:cs="Inter"/>
          <w:b/>
          <w:i w:val="0"/>
          <w:color w:val="1B365D"/>
          <w:sz w:val="32"/>
        </w:rPr>
        <w:t>7.1 Purpose</w:t>
      </w:r>
    </w:p>
    <w:p>
      <w:pPr>
        <w:spacing w:after="120" w:line="276" w:lineRule="auto"/>
      </w:pPr>
      <w:r>
        <w:rPr>
          <w:rFonts w:ascii="Inter" w:hAnsi="Inter" w:cs="Inter"/>
          <w:b w:val="0"/>
          <w:i w:val="0"/>
          <w:color w:val="2D2D2D"/>
          <w:sz w:val="22"/>
        </w:rPr>
        <w:t>The Theory of Change serves as the intellectual foundation of your entire strategic plan. Its purpose is to articulate *how* your MOA's activities lead to the desired impact on Bangsamoro communities.</w:t>
      </w:r>
    </w:p>
    <w:p>
      <w:pPr>
        <w:spacing w:after="120" w:line="276" w:lineRule="auto"/>
      </w:pPr>
      <w:r>
        <w:rPr>
          <w:rFonts w:ascii="Inter" w:hAnsi="Inter" w:cs="Inter"/>
          <w:b w:val="0"/>
          <w:i w:val="0"/>
          <w:color w:val="2D2D2D"/>
          <w:sz w:val="22"/>
        </w:rPr>
        <w:t>Consider what happens without a ToC. Your MOA's strategic plan lists strategic objectives, programs, projects, and activities. BPDA reviews the plan and sees a logical structure: goals at the top, programs in the middle, activities at the bottom. But the plan does not answer the question that matters most: *Why do you believe that doing these things will produce those results?*</w:t>
      </w:r>
    </w:p>
    <w:p>
      <w:pPr>
        <w:spacing w:after="120" w:line="276" w:lineRule="auto"/>
      </w:pPr>
      <w:r>
        <w:rPr>
          <w:rFonts w:ascii="Inter" w:hAnsi="Inter" w:cs="Inter"/>
          <w:b w:val="0"/>
          <w:i w:val="0"/>
          <w:color w:val="2D2D2D"/>
          <w:sz w:val="22"/>
        </w:rPr>
        <w:t>A Theory of Change answers that question by making the causal logic explicit at every level. It is a structured argument, built from the bottom up, that says:</w:t>
      </w:r>
    </w:p>
    <w:p>
      <w:pPr>
        <w:pStyle w:val="ListBullet"/>
      </w:pPr>
      <w:r>
        <w:rPr>
          <w:rFonts w:ascii="Inter" w:hAnsi="Inter" w:cs="Inter"/>
          <w:b w:val="0"/>
          <w:i w:val="0"/>
          <w:color w:val="2D2D2D"/>
          <w:sz w:val="22"/>
        </w:rPr>
      </w:r>
      <w:r>
        <w:rPr>
          <w:rFonts w:ascii="Inter" w:hAnsi="Inter" w:cs="Inter"/>
          <w:b/>
          <w:i w:val="0"/>
          <w:color w:val="2D2D2D"/>
          <w:sz w:val="22"/>
        </w:rPr>
        <w:t>If</w:t>
      </w:r>
      <w:r>
        <w:rPr>
          <w:rFonts w:ascii="Inter" w:hAnsi="Inter" w:cs="Inter"/>
          <w:b w:val="0"/>
          <w:i w:val="0"/>
          <w:color w:val="2D2D2D"/>
          <w:sz w:val="22"/>
        </w:rPr>
        <w:t xml:space="preserve"> we invest these resources (inputs) and carry out these activities, </w:t>
      </w:r>
      <w:r>
        <w:rPr>
          <w:rFonts w:ascii="Inter" w:hAnsi="Inter" w:cs="Inter"/>
          <w:b/>
          <w:i w:val="0"/>
          <w:color w:val="2D2D2D"/>
          <w:sz w:val="22"/>
        </w:rPr>
        <w:t>then</w:t>
      </w:r>
      <w:r>
        <w:rPr>
          <w:rFonts w:ascii="Inter" w:hAnsi="Inter" w:cs="Inter"/>
          <w:b w:val="0"/>
          <w:i w:val="0"/>
          <w:color w:val="2D2D2D"/>
          <w:sz w:val="22"/>
        </w:rPr>
        <w:t xml:space="preserve"> we will produce these outputs --- </w:t>
      </w:r>
      <w:r>
        <w:rPr>
          <w:rFonts w:ascii="Inter" w:hAnsi="Inter" w:cs="Inter"/>
          <w:b/>
          <w:i w:val="0"/>
          <w:color w:val="2D2D2D"/>
          <w:sz w:val="22"/>
        </w:rPr>
        <w:t>assuming</w:t>
      </w:r>
      <w:r>
        <w:rPr>
          <w:rFonts w:ascii="Inter" w:hAnsi="Inter" w:cs="Inter"/>
          <w:b w:val="0"/>
          <w:i w:val="0"/>
          <w:color w:val="2D2D2D"/>
          <w:sz w:val="22"/>
        </w:rPr>
        <w:t xml:space="preserve"> certain conditions hold.</w:t>
      </w:r>
    </w:p>
    <w:p>
      <w:pPr>
        <w:pStyle w:val="ListBullet"/>
      </w:pPr>
      <w:r>
        <w:rPr>
          <w:rFonts w:ascii="Inter" w:hAnsi="Inter" w:cs="Inter"/>
          <w:b w:val="0"/>
          <w:i w:val="0"/>
          <w:color w:val="2D2D2D"/>
          <w:sz w:val="22"/>
        </w:rPr>
      </w:r>
      <w:r>
        <w:rPr>
          <w:rFonts w:ascii="Inter" w:hAnsi="Inter" w:cs="Inter"/>
          <w:b/>
          <w:i w:val="0"/>
          <w:color w:val="2D2D2D"/>
          <w:sz w:val="22"/>
        </w:rPr>
        <w:t>If</w:t>
      </w:r>
      <w:r>
        <w:rPr>
          <w:rFonts w:ascii="Inter" w:hAnsi="Inter" w:cs="Inter"/>
          <w:b w:val="0"/>
          <w:i w:val="0"/>
          <w:color w:val="2D2D2D"/>
          <w:sz w:val="22"/>
        </w:rPr>
        <w:t xml:space="preserve"> these outputs are delivered to the right people at the right time, </w:t>
      </w:r>
      <w:r>
        <w:rPr>
          <w:rFonts w:ascii="Inter" w:hAnsi="Inter" w:cs="Inter"/>
          <w:b/>
          <w:i w:val="0"/>
          <w:color w:val="2D2D2D"/>
          <w:sz w:val="22"/>
        </w:rPr>
        <w:t>then</w:t>
      </w:r>
      <w:r>
        <w:rPr>
          <w:rFonts w:ascii="Inter" w:hAnsi="Inter" w:cs="Inter"/>
          <w:b w:val="0"/>
          <w:i w:val="0"/>
          <w:color w:val="2D2D2D"/>
          <w:sz w:val="22"/>
        </w:rPr>
        <w:t xml:space="preserve"> these short-term outcomes will materialize --- </w:t>
      </w:r>
      <w:r>
        <w:rPr>
          <w:rFonts w:ascii="Inter" w:hAnsi="Inter" w:cs="Inter"/>
          <w:b/>
          <w:i w:val="0"/>
          <w:color w:val="2D2D2D"/>
          <w:sz w:val="22"/>
        </w:rPr>
        <w:t>assuming</w:t>
      </w:r>
      <w:r>
        <w:rPr>
          <w:rFonts w:ascii="Inter" w:hAnsi="Inter" w:cs="Inter"/>
          <w:b w:val="0"/>
          <w:i w:val="0"/>
          <w:color w:val="2D2D2D"/>
          <w:sz w:val="22"/>
        </w:rPr>
        <w:t xml:space="preserve"> certain conditions hold.</w:t>
      </w:r>
    </w:p>
    <w:p>
      <w:pPr>
        <w:pStyle w:val="ListBullet"/>
      </w:pPr>
      <w:r>
        <w:rPr>
          <w:rFonts w:ascii="Inter" w:hAnsi="Inter" w:cs="Inter"/>
          <w:b w:val="0"/>
          <w:i w:val="0"/>
          <w:color w:val="2D2D2D"/>
          <w:sz w:val="22"/>
        </w:rPr>
      </w:r>
      <w:r>
        <w:rPr>
          <w:rFonts w:ascii="Inter" w:hAnsi="Inter" w:cs="Inter"/>
          <w:b/>
          <w:i w:val="0"/>
          <w:color w:val="2D2D2D"/>
          <w:sz w:val="22"/>
        </w:rPr>
        <w:t>If</w:t>
      </w:r>
      <w:r>
        <w:rPr>
          <w:rFonts w:ascii="Inter" w:hAnsi="Inter" w:cs="Inter"/>
          <w:b w:val="0"/>
          <w:i w:val="0"/>
          <w:color w:val="2D2D2D"/>
          <w:sz w:val="22"/>
        </w:rPr>
        <w:t xml:space="preserve"> these short-term outcomes are sustained, </w:t>
      </w:r>
      <w:r>
        <w:rPr>
          <w:rFonts w:ascii="Inter" w:hAnsi="Inter" w:cs="Inter"/>
          <w:b/>
          <w:i w:val="0"/>
          <w:color w:val="2D2D2D"/>
          <w:sz w:val="22"/>
        </w:rPr>
        <w:t>then</w:t>
      </w:r>
      <w:r>
        <w:rPr>
          <w:rFonts w:ascii="Inter" w:hAnsi="Inter" w:cs="Inter"/>
          <w:b w:val="0"/>
          <w:i w:val="0"/>
          <w:color w:val="2D2D2D"/>
          <w:sz w:val="22"/>
        </w:rPr>
        <w:t xml:space="preserve"> medium-term outcomes will follow --- </w:t>
      </w:r>
      <w:r>
        <w:rPr>
          <w:rFonts w:ascii="Inter" w:hAnsi="Inter" w:cs="Inter"/>
          <w:b/>
          <w:i w:val="0"/>
          <w:color w:val="2D2D2D"/>
          <w:sz w:val="22"/>
        </w:rPr>
        <w:t>assuming</w:t>
      </w:r>
      <w:r>
        <w:rPr>
          <w:rFonts w:ascii="Inter" w:hAnsi="Inter" w:cs="Inter"/>
          <w:b w:val="0"/>
          <w:i w:val="0"/>
          <w:color w:val="2D2D2D"/>
          <w:sz w:val="22"/>
        </w:rPr>
        <w:t xml:space="preserve"> certain conditions hold.</w:t>
      </w:r>
    </w:p>
    <w:p>
      <w:pPr>
        <w:pStyle w:val="ListBullet"/>
      </w:pPr>
      <w:r>
        <w:rPr>
          <w:rFonts w:ascii="Inter" w:hAnsi="Inter" w:cs="Inter"/>
          <w:b w:val="0"/>
          <w:i w:val="0"/>
          <w:color w:val="2D2D2D"/>
          <w:sz w:val="22"/>
        </w:rPr>
      </w:r>
      <w:r>
        <w:rPr>
          <w:rFonts w:ascii="Inter" w:hAnsi="Inter" w:cs="Inter"/>
          <w:b/>
          <w:i w:val="0"/>
          <w:color w:val="2D2D2D"/>
          <w:sz w:val="22"/>
        </w:rPr>
        <w:t>If</w:t>
      </w:r>
      <w:r>
        <w:rPr>
          <w:rFonts w:ascii="Inter" w:hAnsi="Inter" w:cs="Inter"/>
          <w:b w:val="0"/>
          <w:i w:val="0"/>
          <w:color w:val="2D2D2D"/>
          <w:sz w:val="22"/>
        </w:rPr>
        <w:t xml:space="preserve"> medium-term outcomes are achieved across multiple programs, </w:t>
      </w:r>
      <w:r>
        <w:rPr>
          <w:rFonts w:ascii="Inter" w:hAnsi="Inter" w:cs="Inter"/>
          <w:b/>
          <w:i w:val="0"/>
          <w:color w:val="2D2D2D"/>
          <w:sz w:val="22"/>
        </w:rPr>
        <w:t>then</w:t>
      </w:r>
      <w:r>
        <w:rPr>
          <w:rFonts w:ascii="Inter" w:hAnsi="Inter" w:cs="Inter"/>
          <w:b w:val="0"/>
          <w:i w:val="0"/>
          <w:color w:val="2D2D2D"/>
          <w:sz w:val="22"/>
        </w:rPr>
        <w:t xml:space="preserve"> the MOA contributes to long-term impact.</w:t>
      </w:r>
    </w:p>
    <w:p>
      <w:pPr>
        <w:spacing w:after="120" w:line="276" w:lineRule="auto"/>
      </w:pPr>
      <w:r>
        <w:rPr>
          <w:rFonts w:ascii="Inter" w:hAnsi="Inter" w:cs="Inter"/>
          <w:b w:val="0"/>
          <w:i w:val="0"/>
          <w:color w:val="2D2D2D"/>
          <w:sz w:val="22"/>
        </w:rPr>
        <w:t>Each "if...then...assuming" statement is a causal pathway. Each assumption is a condition that must hold for the link to work. Each risk is a factor that could break the link. The Theory of Change is the sum of all these pathways, assumptions, and risks --- organized into a coherent argument about how change happens in your sector.</w:t>
      </w:r>
    </w:p>
    <w:p>
      <w:pPr>
        <w:spacing w:after="120" w:line="276" w:lineRule="auto"/>
      </w:pPr>
      <w:r>
        <w:rPr>
          <w:rFonts w:ascii="Inter" w:hAnsi="Inter" w:cs="Inter"/>
          <w:b w:val="0"/>
          <w:i w:val="0"/>
          <w:color w:val="2D2D2D"/>
          <w:sz w:val="22"/>
        </w:rPr>
        <w:t>The Bangsamoro Administrative Code (BAA No. 13) requires that MOA strategic plans demonstrate alignment with the Bangsamoro Development Plan and contribute to regional development goals.[^1] The Theory of Change is the mechanism through which your MOA demonstrates *how* its work contributes to those goals --- not merely that it intends to, but through what specific causal pathways.</w:t>
      </w:r>
    </w:p>
    <w:p>
      <w:pPr>
        <w:spacing w:after="120" w:line="276" w:lineRule="auto"/>
      </w:pPr>
      <w:r>
        <w:rPr>
          <w:rFonts w:ascii="Inter" w:hAnsi="Inter" w:cs="Inter"/>
          <w:b w:val="0"/>
          <w:i w:val="0"/>
          <w:color w:val="2D2D2D"/>
          <w:sz w:val="22"/>
        </w:rPr>
        <w:t>The ToC also serves a practical purpose in the planning cycle. It is the bridge between strategic direction (Chapter 6) and program design (Chapter 8). Your strategic objectives say *what* you want to achieve. Your ToC says *how* you believe change happens. Your programs, projects, and activities (Chapter 8) are the specific interventions you design to activate the pathways your ToC has mapped. Without the ToC, program design becomes guesswork --- you pick activities that seem related to your objectives without articulating why you believe they will work.</w:t>
      </w:r>
    </w:p>
    <w:p>
      <w:pPr>
        <w:pStyle w:val="Heading2"/>
      </w:pPr>
      <w:r>
        <w:rPr>
          <w:rFonts w:ascii="Inter" w:hAnsi="Inter" w:cs="Inter"/>
          <w:b/>
          <w:i w:val="0"/>
          <w:color w:val="1B365D"/>
          <w:sz w:val="32"/>
        </w:rPr>
        <w:t>7.2 Key Concepts</w:t>
      </w:r>
    </w:p>
    <w:p>
      <w:pPr>
        <w:pStyle w:val="Heading3"/>
      </w:pPr>
      <w:r>
        <w:rPr>
          <w:rFonts w:ascii="Inter" w:hAnsi="Inter" w:cs="Inter"/>
          <w:b/>
          <w:i w:val="0"/>
          <w:color w:val="2C5F7C"/>
          <w:sz w:val="26"/>
        </w:rPr>
        <w:t>The Results Chain</w:t>
      </w:r>
    </w:p>
    <w:p>
      <w:pPr>
        <w:spacing w:after="120" w:line="276" w:lineRule="auto"/>
      </w:pPr>
      <w:r>
        <w:rPr>
          <w:rFonts w:ascii="Inter" w:hAnsi="Inter" w:cs="Inter"/>
          <w:b w:val="0"/>
          <w:i w:val="0"/>
          <w:color w:val="2D2D2D"/>
          <w:sz w:val="22"/>
        </w:rPr>
        <w:t>The results chain is the backbone of the Theory of Change. It organizes all planned work and expected results into a hierarchy of five levels, each representing a different degree of change and a different time horizon.</w:t>
      </w:r>
    </w:p>
    <w:p>
      <w:pPr>
        <w:spacing w:after="120" w:line="276" w:lineRule="auto"/>
      </w:pPr>
      <w:r>
        <w:rPr>
          <w:rFonts w:ascii="Inter" w:hAnsi="Inter" w:cs="Inter"/>
          <w:b w:val="0"/>
          <w:i w:val="0"/>
          <w:color w:val="2D2D2D"/>
          <w:sz w:val="22"/>
        </w:rPr>
      </w:r>
      <w:r>
        <w:rPr>
          <w:rFonts w:ascii="Inter" w:hAnsi="Inter" w:cs="Inter"/>
          <w:b/>
          <w:i w:val="0"/>
          <w:color w:val="2D2D2D"/>
          <w:sz w:val="22"/>
        </w:rPr>
        <w:t>Impact</w:t>
      </w:r>
      <w:r>
        <w:rPr>
          <w:rFonts w:ascii="Inter" w:hAnsi="Inter" w:cs="Inter"/>
          <w:b w:val="0"/>
          <w:i w:val="0"/>
          <w:color w:val="2D2D2D"/>
          <w:sz w:val="22"/>
        </w:rPr>
        <w:t xml:space="preserve"> is the long-term change in people's lives that your MOA contributes to. Impact is the *reason your MOA exists*. It is not something your MOA achieves alone --- it is a broad, society-level change that multiple agencies, programs, and factors contribute to over ten or more years. An impact statement answers the question: *If everything goes well, what will be different for Bangsamoro communities in a decade?*</w:t>
      </w:r>
    </w:p>
    <w:p>
      <w:pPr>
        <w:spacing w:after="120" w:line="276" w:lineRule="auto"/>
      </w:pPr>
      <w:r>
        <w:rPr>
          <w:rFonts w:ascii="Inter" w:hAnsi="Inter" w:cs="Inter"/>
          <w:b w:val="0"/>
          <w:i w:val="0"/>
          <w:color w:val="2D2D2D"/>
          <w:sz w:val="22"/>
        </w:rPr>
        <w:t>Examples of impact statements:</w:t>
      </w:r>
    </w:p>
    <w:p>
      <w:pPr>
        <w:pStyle w:val="ListBullet"/>
      </w:pPr>
      <w:r>
        <w:rPr>
          <w:rFonts w:ascii="Inter" w:hAnsi="Inter" w:cs="Inter"/>
          <w:b w:val="0"/>
          <w:i w:val="0"/>
          <w:color w:val="2D2D2D"/>
          <w:sz w:val="22"/>
        </w:rPr>
        <w:t>"Bangsamoro communities live in a healthy, sustainable environment with equitable access to natural resources."</w:t>
      </w:r>
    </w:p>
    <w:p>
      <w:pPr>
        <w:pStyle w:val="ListBullet"/>
      </w:pPr>
      <w:r>
        <w:rPr>
          <w:rFonts w:ascii="Inter" w:hAnsi="Inter" w:cs="Inter"/>
          <w:b w:val="0"/>
          <w:i w:val="0"/>
          <w:color w:val="2D2D2D"/>
          <w:sz w:val="22"/>
        </w:rPr>
        <w:t>"All Bangsamoro children have access to quality basic education that prepares them for productive citizenship."</w:t>
      </w:r>
    </w:p>
    <w:p>
      <w:pPr>
        <w:pStyle w:val="ListBullet"/>
      </w:pPr>
      <w:r>
        <w:rPr>
          <w:rFonts w:ascii="Inter" w:hAnsi="Inter" w:cs="Inter"/>
          <w:b w:val="0"/>
          <w:i w:val="0"/>
          <w:color w:val="2D2D2D"/>
          <w:sz w:val="22"/>
        </w:rPr>
        <w:t>"Bangsamoro families enjoy food security through sustainable agriculture and fisheries."</w:t>
      </w:r>
    </w:p>
    <w:p>
      <w:pPr>
        <w:spacing w:after="120" w:line="276" w:lineRule="auto"/>
      </w:pPr>
      <w:r>
        <w:rPr>
          <w:rFonts w:ascii="Inter" w:hAnsi="Inter" w:cs="Inter"/>
          <w:b w:val="0"/>
          <w:i w:val="0"/>
          <w:color w:val="2D2D2D"/>
          <w:sz w:val="22"/>
        </w:rPr>
        <w:t>Impact statements should be ambitious but realistic. They describe the condition you are working toward, not a target you will hit in a single planning cycle.</w:t>
      </w:r>
    </w:p>
    <w:p>
      <w:pPr>
        <w:spacing w:after="120" w:line="276" w:lineRule="auto"/>
      </w:pPr>
      <w:r>
        <w:rPr>
          <w:rFonts w:ascii="Inter" w:hAnsi="Inter" w:cs="Inter"/>
          <w:b w:val="0"/>
          <w:i w:val="0"/>
          <w:color w:val="2D2D2D"/>
          <w:sz w:val="22"/>
        </w:rPr>
      </w:r>
      <w:r>
        <w:rPr>
          <w:rFonts w:ascii="Inter" w:hAnsi="Inter" w:cs="Inter"/>
          <w:b/>
          <w:i w:val="0"/>
          <w:color w:val="2D2D2D"/>
          <w:sz w:val="22"/>
        </w:rPr>
        <w:t>Outcomes</w:t>
      </w:r>
      <w:r>
        <w:rPr>
          <w:rFonts w:ascii="Inter" w:hAnsi="Inter" w:cs="Inter"/>
          <w:b w:val="0"/>
          <w:i w:val="0"/>
          <w:color w:val="2D2D2D"/>
          <w:sz w:val="22"/>
        </w:rPr>
        <w:t xml:space="preserve"> are the medium-term results (three to five years) that your MOA's work produces. Outcomes represent changes in behavior, capacity, systems, or conditions among the people and institutions your MOA serves. They are within your MOA's sphere of influence but not your direct control --- because outcomes depend on how people respond to what you provide.</w:t>
      </w:r>
    </w:p>
    <w:p>
      <w:pPr>
        <w:spacing w:after="120" w:line="276" w:lineRule="auto"/>
      </w:pPr>
      <w:r>
        <w:rPr>
          <w:rFonts w:ascii="Inter" w:hAnsi="Inter" w:cs="Inter"/>
          <w:b w:val="0"/>
          <w:i w:val="0"/>
          <w:color w:val="2D2D2D"/>
          <w:sz w:val="22"/>
        </w:rPr>
        <w:t>There are two levels of outcomes:</w:t>
      </w:r>
    </w:p>
    <w:p>
      <w:pPr>
        <w:pStyle w:val="ListBullet"/>
      </w:pPr>
      <w:r>
        <w:rPr>
          <w:rFonts w:ascii="Inter" w:hAnsi="Inter" w:cs="Inter"/>
          <w:b w:val="0"/>
          <w:i w:val="0"/>
          <w:color w:val="2D2D2D"/>
          <w:sz w:val="22"/>
        </w:rPr>
        <w:t>*Medium-term outcomes* are the higher-level changes that your MOA's strategic objectives target. They typically correspond to your strategic objectives from Chapter 6.</w:t>
      </w:r>
    </w:p>
    <w:p>
      <w:pPr>
        <w:pStyle w:val="ListBullet"/>
      </w:pPr>
      <w:r>
        <w:rPr>
          <w:rFonts w:ascii="Inter" w:hAnsi="Inter" w:cs="Inter"/>
          <w:b w:val="0"/>
          <w:i w:val="0"/>
          <w:color w:val="2D2D2D"/>
          <w:sz w:val="22"/>
        </w:rPr>
        <w:t>*Short-term outcomes* are the more immediate changes that must happen first before medium-term outcomes can materialize. They are the preconditions for the bigger changes.</w:t>
      </w:r>
    </w:p>
    <w:p>
      <w:pPr>
        <w:spacing w:after="120" w:line="276" w:lineRule="auto"/>
      </w:pPr>
      <w:r>
        <w:rPr>
          <w:rFonts w:ascii="Inter" w:hAnsi="Inter" w:cs="Inter"/>
          <w:b w:val="0"/>
          <w:i w:val="0"/>
          <w:color w:val="2D2D2D"/>
          <w:sz w:val="22"/>
        </w:rPr>
        <w:t>The distinction matters because it reveals the sequence. You cannot achieve "improved agricultural productivity across BARMM" (medium-term outcome) without first achieving "farmers adopt improved farming techniques" (short-term outcome). The short-term outcome must precede the medium-term outcome. If your plan jumps from outputs directly to medium-term outcomes without identifying the short-term changes that must happen first, you have a gap in your causal logic.</w:t>
      </w:r>
    </w:p>
    <w:p>
      <w:pPr>
        <w:spacing w:after="120" w:line="276" w:lineRule="auto"/>
      </w:pPr>
      <w:r>
        <w:rPr>
          <w:rFonts w:ascii="Inter" w:hAnsi="Inter" w:cs="Inter"/>
          <w:b w:val="0"/>
          <w:i w:val="0"/>
          <w:color w:val="2D2D2D"/>
          <w:sz w:val="22"/>
        </w:rPr>
      </w:r>
      <w:r>
        <w:rPr>
          <w:rFonts w:ascii="Inter" w:hAnsi="Inter" w:cs="Inter"/>
          <w:b/>
          <w:i w:val="0"/>
          <w:color w:val="2D2D2D"/>
          <w:sz w:val="22"/>
        </w:rPr>
        <w:t>Outputs</w:t>
      </w:r>
      <w:r>
        <w:rPr>
          <w:rFonts w:ascii="Inter" w:hAnsi="Inter" w:cs="Inter"/>
          <w:b w:val="0"/>
          <w:i w:val="0"/>
          <w:color w:val="2D2D2D"/>
          <w:sz w:val="22"/>
        </w:rPr>
        <w:t xml:space="preserve"> are the direct products of your MOA's activities --- the tangible things you deliver. Outputs are entirely within your MOA's control. If you do the work, you produce the output. Examples: "500 farmers trained in climate-resilient farming techniques," "15 environmental monitoring stations operational," "Regional curriculum framework developed and approved." Outputs are what you count. Outcomes are what you change.</w:t>
      </w:r>
    </w:p>
    <w:p>
      <w:pPr>
        <w:spacing w:after="120" w:line="276" w:lineRule="auto"/>
      </w:pPr>
      <w:r>
        <w:rPr>
          <w:rFonts w:ascii="Inter" w:hAnsi="Inter" w:cs="Inter"/>
          <w:b w:val="0"/>
          <w:i w:val="0"/>
          <w:color w:val="2D2D2D"/>
          <w:sz w:val="22"/>
        </w:rPr>
      </w:r>
      <w:r>
        <w:rPr>
          <w:rFonts w:ascii="Inter" w:hAnsi="Inter" w:cs="Inter"/>
          <w:b/>
          <w:i w:val="0"/>
          <w:color w:val="2D2D2D"/>
          <w:sz w:val="22"/>
        </w:rPr>
        <w:t>Activities</w:t>
      </w:r>
      <w:r>
        <w:rPr>
          <w:rFonts w:ascii="Inter" w:hAnsi="Inter" w:cs="Inter"/>
          <w:b w:val="0"/>
          <w:i w:val="0"/>
          <w:color w:val="2D2D2D"/>
          <w:sz w:val="22"/>
        </w:rPr>
        <w:t xml:space="preserve"> are what your staff actually do to produce outputs. Activities consume resources and produce outputs. They are the daily, weekly, monthly, and quarterly work of your MOA's organizational units. Examples: "Conduct 20 farmer training sessions across five provinces," "Procure and install monitoring equipment," "Convene curriculum development workshops with subject-matter experts."</w:t>
      </w:r>
    </w:p>
    <w:p>
      <w:pPr>
        <w:spacing w:after="120" w:line="276" w:lineRule="auto"/>
      </w:pPr>
      <w:r>
        <w:rPr>
          <w:rFonts w:ascii="Inter" w:hAnsi="Inter" w:cs="Inter"/>
          <w:b w:val="0"/>
          <w:i w:val="0"/>
          <w:color w:val="2D2D2D"/>
          <w:sz w:val="22"/>
        </w:rPr>
      </w:r>
      <w:r>
        <w:rPr>
          <w:rFonts w:ascii="Inter" w:hAnsi="Inter" w:cs="Inter"/>
          <w:b/>
          <w:i w:val="0"/>
          <w:color w:val="2D2D2D"/>
          <w:sz w:val="22"/>
        </w:rPr>
        <w:t>Inputs</w:t>
      </w:r>
      <w:r>
        <w:rPr>
          <w:rFonts w:ascii="Inter" w:hAnsi="Inter" w:cs="Inter"/>
          <w:b w:val="0"/>
          <w:i w:val="0"/>
          <w:color w:val="2D2D2D"/>
          <w:sz w:val="22"/>
        </w:rPr>
        <w:t xml:space="preserve"> are the resources required to carry out activities. Inputs include budget (the money appropriated for the activity), human resources (the staff assigned to do the work), equipment and materials, technical expertise, and time. The inputs level connects directly to resource planning (Chapter 9) and budget preparation.</w:t>
      </w:r>
    </w:p>
    <w:p>
      <w:pPr>
        <w:spacing w:after="120" w:line="276" w:lineRule="auto"/>
      </w:pPr>
      <w:r>
        <w:rPr>
          <w:rFonts w:ascii="Inter" w:hAnsi="Inter" w:cs="Inter"/>
          <w:b w:val="0"/>
          <w:i w:val="0"/>
          <w:color w:val="2D2D2D"/>
          <w:sz w:val="22"/>
        </w:rPr>
        <w:t>The results chain flows upward: Inputs enable Activities, Activities produce Outputs, Outputs lead to Outcomes, and sustained Outcomes contribute to Impact. Each upward step is a claim about causation --- and each claim needs to be justified.</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IMPACT (10+ years)</w:t>
      </w:r>
    </w:p>
    <w:p>
      <w:pPr>
        <w:spacing w:after="120" w:line="276" w:lineRule="auto"/>
      </w:pPr>
      <w:r>
        <w:rPr>
          <w:rFonts w:ascii="Inter" w:hAnsi="Inter" w:cs="Inter"/>
          <w:b w:val="0"/>
          <w:i w:val="0"/>
          <w:color w:val="2D2D2D"/>
          <w:sz w:val="22"/>
        </w:rPr>
        <w:t>Long-term change in people's lives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MEDIUM-TERM OUTCOMES (3-5 years)</w:t>
      </w:r>
    </w:p>
    <w:p>
      <w:pPr>
        <w:spacing w:after="120" w:line="276" w:lineRule="auto"/>
      </w:pPr>
      <w:r>
        <w:rPr>
          <w:rFonts w:ascii="Inter" w:hAnsi="Inter" w:cs="Inter"/>
          <w:b w:val="0"/>
          <w:i w:val="0"/>
          <w:color w:val="2D2D2D"/>
          <w:sz w:val="22"/>
        </w:rPr>
        <w:t>Changes in behavior, capacity, systems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SHORT-TERM OUTCOMES (1-3 years)</w:t>
      </w:r>
    </w:p>
    <w:p>
      <w:pPr>
        <w:spacing w:after="120" w:line="276" w:lineRule="auto"/>
      </w:pPr>
      <w:r>
        <w:rPr>
          <w:rFonts w:ascii="Inter" w:hAnsi="Inter" w:cs="Inter"/>
          <w:b w:val="0"/>
          <w:i w:val="0"/>
          <w:color w:val="2D2D2D"/>
          <w:sz w:val="22"/>
        </w:rPr>
        <w:t>Immediate changes, preconditions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OUTPUTS (Annual)</w:t>
      </w:r>
    </w:p>
    <w:p>
      <w:pPr>
        <w:spacing w:after="120" w:line="276" w:lineRule="auto"/>
      </w:pPr>
      <w:r>
        <w:rPr>
          <w:rFonts w:ascii="Inter" w:hAnsi="Inter" w:cs="Inter"/>
          <w:b w:val="0"/>
          <w:i w:val="0"/>
          <w:color w:val="2D2D2D"/>
          <w:sz w:val="22"/>
        </w:rPr>
        <w:t>Direct products of activities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ACTIVITIES (Monthly/Quarterly)</w:t>
      </w:r>
    </w:p>
    <w:p>
      <w:pPr>
        <w:spacing w:after="120" w:line="276" w:lineRule="auto"/>
      </w:pPr>
      <w:r>
        <w:rPr>
          <w:rFonts w:ascii="Inter" w:hAnsi="Inter" w:cs="Inter"/>
          <w:b w:val="0"/>
          <w:i w:val="0"/>
          <w:color w:val="2D2D2D"/>
          <w:sz w:val="22"/>
        </w:rPr>
        <w:t>What staff do</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INPUTS (Resources)</w:t>
      </w:r>
    </w:p>
    <w:p>
      <w:pPr>
        <w:spacing w:after="120" w:line="276" w:lineRule="auto"/>
      </w:pPr>
      <w:r>
        <w:rPr>
          <w:rFonts w:ascii="Inter" w:hAnsi="Inter" w:cs="Inter"/>
          <w:b w:val="0"/>
          <w:i w:val="0"/>
          <w:color w:val="2D2D2D"/>
          <w:sz w:val="22"/>
        </w:rPr>
        <w:t>Budget, staff, equipment, time</w:t>
      </w:r>
    </w:p>
    <w:p>
      <w:pPr>
        <w:spacing w:after="120" w:line="276" w:lineRule="auto"/>
      </w:pPr>
      <w:r>
        <w:rPr>
          <w:rFonts w:ascii="Inter" w:hAnsi="Inter" w:cs="Inter"/>
          <w:b w:val="0"/>
          <w:i w:val="0"/>
          <w:color w:val="2D2D2D"/>
          <w:sz w:val="22"/>
        </w:rPr>
        <w:t>```</w:t>
      </w:r>
    </w:p>
    <w:p>
      <w:pPr>
        <w:pStyle w:val="Heading3"/>
      </w:pPr>
      <w:r>
        <w:rPr>
          <w:rFonts w:ascii="Inter" w:hAnsi="Inter" w:cs="Inter"/>
          <w:b/>
          <w:i w:val="0"/>
          <w:color w:val="2C5F7C"/>
          <w:sz w:val="26"/>
        </w:rPr>
        <w:t>Causal Pathways</w:t>
      </w:r>
    </w:p>
    <w:p>
      <w:pPr>
        <w:spacing w:after="120" w:line="276" w:lineRule="auto"/>
      </w:pPr>
      <w:r>
        <w:rPr>
          <w:rFonts w:ascii="Inter" w:hAnsi="Inter" w:cs="Inter"/>
          <w:b w:val="0"/>
          <w:i w:val="0"/>
          <w:color w:val="2D2D2D"/>
          <w:sz w:val="22"/>
        </w:rPr>
        <w:t>A causal pathway is the logical "if...then" link between two adjacent levels of the results chain. It states the mechanism by which a lower-level result leads to a higher-level result.</w:t>
      </w:r>
    </w:p>
    <w:p>
      <w:pPr>
        <w:spacing w:after="120" w:line="276" w:lineRule="auto"/>
      </w:pPr>
      <w:r>
        <w:rPr>
          <w:rFonts w:ascii="Inter" w:hAnsi="Inter" w:cs="Inter"/>
          <w:b w:val="0"/>
          <w:i w:val="0"/>
          <w:color w:val="2D2D2D"/>
          <w:sz w:val="22"/>
        </w:rPr>
        <w:t>A complete causal pathway statement has three parts:</w:t>
      </w:r>
    </w:p>
    <w:p>
      <w:pPr>
        <w:pStyle w:val="ListNumber"/>
      </w:pPr>
      <w:r>
        <w:rPr>
          <w:rFonts w:ascii="Inter" w:hAnsi="Inter" w:cs="Inter"/>
          <w:b w:val="0"/>
          <w:i w:val="0"/>
          <w:color w:val="2D2D2D"/>
          <w:sz w:val="22"/>
        </w:rPr>
      </w:r>
      <w:r>
        <w:rPr>
          <w:rFonts w:ascii="Inter" w:hAnsi="Inter" w:cs="Inter"/>
          <w:b/>
          <w:i w:val="0"/>
          <w:color w:val="2D2D2D"/>
          <w:sz w:val="22"/>
        </w:rPr>
        <w:t>IF</w:t>
      </w:r>
      <w:r>
        <w:rPr>
          <w:rFonts w:ascii="Inter" w:hAnsi="Inter" w:cs="Inter"/>
          <w:b w:val="0"/>
          <w:i w:val="0"/>
          <w:color w:val="2D2D2D"/>
          <w:sz w:val="22"/>
        </w:rPr>
        <w:t xml:space="preserve"> [lower-level result is achieved]</w:t>
      </w:r>
    </w:p>
    <w:p>
      <w:pPr>
        <w:pStyle w:val="ListNumber"/>
      </w:pPr>
      <w:r>
        <w:rPr>
          <w:rFonts w:ascii="Inter" w:hAnsi="Inter" w:cs="Inter"/>
          <w:b w:val="0"/>
          <w:i w:val="0"/>
          <w:color w:val="2D2D2D"/>
          <w:sz w:val="22"/>
        </w:rPr>
      </w:r>
      <w:r>
        <w:rPr>
          <w:rFonts w:ascii="Inter" w:hAnsi="Inter" w:cs="Inter"/>
          <w:b/>
          <w:i w:val="0"/>
          <w:color w:val="2D2D2D"/>
          <w:sz w:val="22"/>
        </w:rPr>
        <w:t>THEN</w:t>
      </w:r>
      <w:r>
        <w:rPr>
          <w:rFonts w:ascii="Inter" w:hAnsi="Inter" w:cs="Inter"/>
          <w:b w:val="0"/>
          <w:i w:val="0"/>
          <w:color w:val="2D2D2D"/>
          <w:sz w:val="22"/>
        </w:rPr>
        <w:t xml:space="preserve"> [higher-level result will follow]</w:t>
      </w:r>
    </w:p>
    <w:p>
      <w:pPr>
        <w:pStyle w:val="ListNumber"/>
      </w:pPr>
      <w:r>
        <w:rPr>
          <w:rFonts w:ascii="Inter" w:hAnsi="Inter" w:cs="Inter"/>
          <w:b w:val="0"/>
          <w:i w:val="0"/>
          <w:color w:val="2D2D2D"/>
          <w:sz w:val="22"/>
        </w:rPr>
      </w:r>
      <w:r>
        <w:rPr>
          <w:rFonts w:ascii="Inter" w:hAnsi="Inter" w:cs="Inter"/>
          <w:b/>
          <w:i w:val="0"/>
          <w:color w:val="2D2D2D"/>
          <w:sz w:val="22"/>
        </w:rPr>
        <w:t>BECAUSE</w:t>
      </w:r>
      <w:r>
        <w:rPr>
          <w:rFonts w:ascii="Inter" w:hAnsi="Inter" w:cs="Inter"/>
          <w:b w:val="0"/>
          <w:i w:val="0"/>
          <w:color w:val="2D2D2D"/>
          <w:sz w:val="22"/>
        </w:rPr>
        <w:t xml:space="preserve"> [the causal mechanism that explains why]</w:t>
      </w:r>
    </w:p>
    <w:p>
      <w:pPr>
        <w:spacing w:after="120" w:line="276" w:lineRule="auto"/>
      </w:pPr>
      <w:r>
        <w:rPr>
          <w:rFonts w:ascii="Inter" w:hAnsi="Inter" w:cs="Inter"/>
          <w:b w:val="0"/>
          <w:i w:val="0"/>
          <w:color w:val="2D2D2D"/>
          <w:sz w:val="22"/>
        </w:rPr>
        <w:t>For example:</w:t>
      </w:r>
    </w:p>
    <w:p>
      <w:pPr>
        <w:spacing w:after="120" w:line="276" w:lineRule="auto"/>
        <w:ind w:left="850"/>
      </w:pPr>
      <w:r>
        <w:rPr>
          <w:rFonts w:ascii="Inter" w:hAnsi="Inter" w:cs="Inter"/>
          <w:b w:val="0"/>
          <w:i/>
          <w:color w:val="2D2D2D"/>
          <w:sz w:val="22"/>
        </w:rPr>
      </w:r>
      <w:r>
        <w:rPr>
          <w:rFonts w:ascii="Inter" w:hAnsi="Inter" w:cs="Inter"/>
          <w:b/>
          <w:i w:val="0"/>
          <w:color w:val="2D2D2D"/>
          <w:sz w:val="22"/>
        </w:rPr>
        <w:t>IF</w:t>
      </w:r>
      <w:r>
        <w:rPr>
          <w:rFonts w:ascii="Inter" w:hAnsi="Inter" w:cs="Inter"/>
          <w:b w:val="0"/>
          <w:i/>
          <w:color w:val="2D2D2D"/>
          <w:sz w:val="22"/>
        </w:rPr>
        <w:t xml:space="preserve"> 500 farmers are trained in climate-resilient farming techniques (output), </w:t>
      </w:r>
      <w:r>
        <w:rPr>
          <w:rFonts w:ascii="Inter" w:hAnsi="Inter" w:cs="Inter"/>
          <w:b/>
          <w:i w:val="0"/>
          <w:color w:val="2D2D2D"/>
          <w:sz w:val="22"/>
        </w:rPr>
        <w:t>THEN</w:t>
      </w:r>
      <w:r>
        <w:rPr>
          <w:rFonts w:ascii="Inter" w:hAnsi="Inter" w:cs="Inter"/>
          <w:b w:val="0"/>
          <w:i/>
          <w:color w:val="2D2D2D"/>
          <w:sz w:val="22"/>
        </w:rPr>
        <w:t xml:space="preserve"> at least 60% of trained farmers will adopt the techniques within two growing seasons (short-term outcome), </w:t>
      </w:r>
      <w:r>
        <w:rPr>
          <w:rFonts w:ascii="Inter" w:hAnsi="Inter" w:cs="Inter"/>
          <w:b/>
          <w:i w:val="0"/>
          <w:color w:val="2D2D2D"/>
          <w:sz w:val="22"/>
        </w:rPr>
        <w:t>BECAUSE</w:t>
      </w:r>
      <w:r>
        <w:rPr>
          <w:rFonts w:ascii="Inter" w:hAnsi="Inter" w:cs="Inter"/>
          <w:b w:val="0"/>
          <w:i/>
          <w:color w:val="2D2D2D"/>
          <w:sz w:val="22"/>
        </w:rPr>
        <w:t xml:space="preserve"> the training provides practical, field-tested methods that increase yield and reduce crop loss, and farmers who see results on demonstration plots are more likely to adopt.</w:t>
      </w:r>
    </w:p>
    <w:p>
      <w:pPr>
        <w:spacing w:after="120" w:line="276" w:lineRule="auto"/>
      </w:pPr>
      <w:r>
        <w:rPr>
          <w:rFonts w:ascii="Inter" w:hAnsi="Inter" w:cs="Inter"/>
          <w:b w:val="0"/>
          <w:i w:val="0"/>
          <w:color w:val="2D2D2D"/>
          <w:sz w:val="22"/>
        </w:rPr>
        <w:t>The "BECAUSE" clause is what separates a Theory of Change from a wish list. Without the mechanism, you are simply asserting that one thing leads to another. With the mechanism, you are providing a testable explanation. If the mechanism is wrong --- if farmers do not adopt techniques despite training, perhaps because the techniques require inputs they cannot afford --- then the causal pathway breaks and the plan needs to be revised.</w:t>
      </w:r>
    </w:p>
    <w:p>
      <w:pPr>
        <w:pStyle w:val="Heading3"/>
      </w:pPr>
      <w:r>
        <w:rPr>
          <w:rFonts w:ascii="Inter" w:hAnsi="Inter" w:cs="Inter"/>
          <w:b/>
          <w:i w:val="0"/>
          <w:color w:val="2C5F7C"/>
          <w:sz w:val="26"/>
        </w:rPr>
        <w:t>Assumptions</w:t>
      </w:r>
    </w:p>
    <w:p>
      <w:pPr>
        <w:spacing w:after="120" w:line="276" w:lineRule="auto"/>
      </w:pPr>
      <w:r>
        <w:rPr>
          <w:rFonts w:ascii="Inter" w:hAnsi="Inter" w:cs="Inter"/>
          <w:b w:val="0"/>
          <w:i w:val="0"/>
          <w:color w:val="2D2D2D"/>
          <w:sz w:val="22"/>
        </w:rPr>
        <w:t>Assumptions are conditions that must hold true for each causal pathway to work. They are external factors that your MOA does not control but depends on.</w:t>
      </w:r>
    </w:p>
    <w:p>
      <w:pPr>
        <w:spacing w:after="120" w:line="276" w:lineRule="auto"/>
      </w:pPr>
      <w:r>
        <w:rPr>
          <w:rFonts w:ascii="Inter" w:hAnsi="Inter" w:cs="Inter"/>
          <w:b w:val="0"/>
          <w:i w:val="0"/>
          <w:color w:val="2D2D2D"/>
          <w:sz w:val="22"/>
        </w:rPr>
        <w:t>Assumptions are not activities. This is one of the most common errors in ToC design. "Staff are trained in monitoring techniques" is an activity, not an assumption. "Provincial LGUs provide access to monitoring sites" is an assumption --- it is a condition that must hold, but your MOA does not control whether LGUs cooperate.</w:t>
      </w:r>
    </w:p>
    <w:p>
      <w:pPr>
        <w:spacing w:after="120" w:line="276" w:lineRule="auto"/>
      </w:pPr>
      <w:r>
        <w:rPr>
          <w:rFonts w:ascii="Inter" w:hAnsi="Inter" w:cs="Inter"/>
          <w:b w:val="0"/>
          <w:i w:val="0"/>
          <w:color w:val="2D2D2D"/>
          <w:sz w:val="22"/>
        </w:rPr>
        <w:t>Assumptions fall into several categories:</w:t>
      </w:r>
    </w:p>
    <w:p>
      <w:pPr>
        <w:pStyle w:val="ListBullet"/>
      </w:pPr>
      <w:r>
        <w:rPr>
          <w:rFonts w:ascii="Inter" w:hAnsi="Inter" w:cs="Inter"/>
          <w:b w:val="0"/>
          <w:i w:val="0"/>
          <w:color w:val="2D2D2D"/>
          <w:sz w:val="22"/>
        </w:rPr>
      </w:r>
      <w:r>
        <w:rPr>
          <w:rFonts w:ascii="Inter" w:hAnsi="Inter" w:cs="Inter"/>
          <w:b/>
          <w:i w:val="0"/>
          <w:color w:val="2D2D2D"/>
          <w:sz w:val="22"/>
        </w:rPr>
        <w:t>Precondition assumptions:</w:t>
      </w:r>
      <w:r>
        <w:rPr>
          <w:rFonts w:ascii="Inter" w:hAnsi="Inter" w:cs="Inter"/>
          <w:b w:val="0"/>
          <w:i w:val="0"/>
          <w:color w:val="2D2D2D"/>
          <w:sz w:val="22"/>
        </w:rPr>
        <w:t xml:space="preserve"> Things that must already be true before your activities begin. *Example: "Farmers have access to land suitable for the promoted techniques."*</w:t>
      </w:r>
    </w:p>
    <w:p>
      <w:pPr>
        <w:pStyle w:val="ListBullet"/>
      </w:pPr>
      <w:r>
        <w:rPr>
          <w:rFonts w:ascii="Inter" w:hAnsi="Inter" w:cs="Inter"/>
          <w:b w:val="0"/>
          <w:i w:val="0"/>
          <w:color w:val="2D2D2D"/>
          <w:sz w:val="22"/>
        </w:rPr>
      </w:r>
      <w:r>
        <w:rPr>
          <w:rFonts w:ascii="Inter" w:hAnsi="Inter" w:cs="Inter"/>
          <w:b/>
          <w:i w:val="0"/>
          <w:color w:val="2D2D2D"/>
          <w:sz w:val="22"/>
        </w:rPr>
        <w:t>Implementation assumptions:</w:t>
      </w:r>
      <w:r>
        <w:rPr>
          <w:rFonts w:ascii="Inter" w:hAnsi="Inter" w:cs="Inter"/>
          <w:b w:val="0"/>
          <w:i w:val="0"/>
          <w:color w:val="2D2D2D"/>
          <w:sz w:val="22"/>
        </w:rPr>
        <w:t xml:space="preserve"> Conditions that must hold during implementation. *Example: "Weather conditions allow at least two planting seasons per year."*</w:t>
      </w:r>
    </w:p>
    <w:p>
      <w:pPr>
        <w:pStyle w:val="ListBullet"/>
      </w:pPr>
      <w:r>
        <w:rPr>
          <w:rFonts w:ascii="Inter" w:hAnsi="Inter" w:cs="Inter"/>
          <w:b w:val="0"/>
          <w:i w:val="0"/>
          <w:color w:val="2D2D2D"/>
          <w:sz w:val="22"/>
        </w:rPr>
      </w:r>
      <w:r>
        <w:rPr>
          <w:rFonts w:ascii="Inter" w:hAnsi="Inter" w:cs="Inter"/>
          <w:b/>
          <w:i w:val="0"/>
          <w:color w:val="2D2D2D"/>
          <w:sz w:val="22"/>
        </w:rPr>
        <w:t>Causal assumptions:</w:t>
      </w:r>
      <w:r>
        <w:rPr>
          <w:rFonts w:ascii="Inter" w:hAnsi="Inter" w:cs="Inter"/>
          <w:b w:val="0"/>
          <w:i w:val="0"/>
          <w:color w:val="2D2D2D"/>
          <w:sz w:val="22"/>
        </w:rPr>
        <w:t xml:space="preserve"> Beliefs about human behavior or institutional response. *Example: "Farmers who see improved yields on demonstration plots will replicate the techniques on their own land."*</w:t>
      </w:r>
    </w:p>
    <w:p>
      <w:pPr>
        <w:pStyle w:val="ListBullet"/>
      </w:pPr>
      <w:r>
        <w:rPr>
          <w:rFonts w:ascii="Inter" w:hAnsi="Inter" w:cs="Inter"/>
          <w:b w:val="0"/>
          <w:i w:val="0"/>
          <w:color w:val="2D2D2D"/>
          <w:sz w:val="22"/>
        </w:rPr>
      </w:r>
      <w:r>
        <w:rPr>
          <w:rFonts w:ascii="Inter" w:hAnsi="Inter" w:cs="Inter"/>
          <w:b/>
          <w:i w:val="0"/>
          <w:color w:val="2D2D2D"/>
          <w:sz w:val="22"/>
        </w:rPr>
        <w:t>Contextual assumptions:</w:t>
      </w:r>
      <w:r>
        <w:rPr>
          <w:rFonts w:ascii="Inter" w:hAnsi="Inter" w:cs="Inter"/>
          <w:b w:val="0"/>
          <w:i w:val="0"/>
          <w:color w:val="2D2D2D"/>
          <w:sz w:val="22"/>
        </w:rPr>
        <w:t xml:space="preserve"> Political, economic, or social conditions. *Example: "The peace and security situation remains stable enough for field operations."*</w:t>
      </w:r>
    </w:p>
    <w:p>
      <w:pPr>
        <w:pStyle w:val="ListBullet"/>
      </w:pPr>
      <w:r>
        <w:rPr>
          <w:rFonts w:ascii="Inter" w:hAnsi="Inter" w:cs="Inter"/>
          <w:b w:val="0"/>
          <w:i w:val="0"/>
          <w:color w:val="2D2D2D"/>
          <w:sz w:val="22"/>
        </w:rPr>
      </w:r>
      <w:r>
        <w:rPr>
          <w:rFonts w:ascii="Inter" w:hAnsi="Inter" w:cs="Inter"/>
          <w:b/>
          <w:i w:val="0"/>
          <w:color w:val="2D2D2D"/>
          <w:sz w:val="22"/>
        </w:rPr>
        <w:t>Sustainability assumptions:</w:t>
      </w:r>
      <w:r>
        <w:rPr>
          <w:rFonts w:ascii="Inter" w:hAnsi="Inter" w:cs="Inter"/>
          <w:b w:val="0"/>
          <w:i w:val="0"/>
          <w:color w:val="2D2D2D"/>
          <w:sz w:val="22"/>
        </w:rPr>
        <w:t xml:space="preserve"> Conditions for continued results after your intervention. *Example: "LGUs will continue supporting extension services after the program ends."*</w:t>
      </w:r>
    </w:p>
    <w:p>
      <w:pPr>
        <w:spacing w:after="120" w:line="276" w:lineRule="auto"/>
      </w:pPr>
      <w:r>
        <w:rPr>
          <w:rFonts w:ascii="Inter" w:hAnsi="Inter" w:cs="Inter"/>
          <w:b w:val="0"/>
          <w:i w:val="0"/>
          <w:color w:val="2D2D2D"/>
          <w:sz w:val="22"/>
        </w:rPr>
        <w:t>Every causal pathway has assumptions. If you cannot identify any assumptions for a pathway, you have not thought hard enough about what could go wrong. The "so what?" test is useful here: for each assumption, ask "So what if this assumption does not hold?" If the answer is "the pathway breaks," the assumption is real and important.</w:t>
      </w:r>
    </w:p>
    <w:p>
      <w:pPr>
        <w:pStyle w:val="Heading3"/>
      </w:pPr>
      <w:r>
        <w:rPr>
          <w:rFonts w:ascii="Inter" w:hAnsi="Inter" w:cs="Inter"/>
          <w:b/>
          <w:i w:val="0"/>
          <w:color w:val="2C5F7C"/>
          <w:sz w:val="26"/>
        </w:rPr>
        <w:t>Risks</w:t>
      </w:r>
    </w:p>
    <w:p>
      <w:pPr>
        <w:spacing w:after="120" w:line="276" w:lineRule="auto"/>
      </w:pPr>
      <w:r>
        <w:rPr>
          <w:rFonts w:ascii="Inter" w:hAnsi="Inter" w:cs="Inter"/>
          <w:b w:val="0"/>
          <w:i w:val="0"/>
          <w:color w:val="2D2D2D"/>
          <w:sz w:val="22"/>
        </w:rPr>
        <w:t>Risks are factors that could break a causal pathway. They are the flip side of assumptions: if an assumption is "farmers have access to land," the corresponding risk is "land tenure disputes prevent farmers from using promoted techniques."</w:t>
      </w:r>
    </w:p>
    <w:p>
      <w:pPr>
        <w:spacing w:after="120" w:line="276" w:lineRule="auto"/>
      </w:pPr>
      <w:r>
        <w:rPr>
          <w:rFonts w:ascii="Inter" w:hAnsi="Inter" w:cs="Inter"/>
          <w:b w:val="0"/>
          <w:i w:val="0"/>
          <w:color w:val="2D2D2D"/>
          <w:sz w:val="22"/>
        </w:rPr>
        <w:t>Risks should be assessed on two dimensions:</w:t>
      </w:r>
    </w:p>
    <w:p>
      <w:pPr>
        <w:pStyle w:val="ListBullet"/>
      </w:pPr>
      <w:r>
        <w:rPr>
          <w:rFonts w:ascii="Inter" w:hAnsi="Inter" w:cs="Inter"/>
          <w:b w:val="0"/>
          <w:i w:val="0"/>
          <w:color w:val="2D2D2D"/>
          <w:sz w:val="22"/>
        </w:rPr>
      </w:r>
      <w:r>
        <w:rPr>
          <w:rFonts w:ascii="Inter" w:hAnsi="Inter" w:cs="Inter"/>
          <w:b/>
          <w:i w:val="0"/>
          <w:color w:val="2D2D2D"/>
          <w:sz w:val="22"/>
        </w:rPr>
        <w:t>Likelihood:</w:t>
      </w:r>
      <w:r>
        <w:rPr>
          <w:rFonts w:ascii="Inter" w:hAnsi="Inter" w:cs="Inter"/>
          <w:b w:val="0"/>
          <w:i w:val="0"/>
          <w:color w:val="2D2D2D"/>
          <w:sz w:val="22"/>
        </w:rPr>
        <w:t xml:space="preserve"> How likely is it that this risk materializes? (Low, Medium, High)</w:t>
      </w:r>
    </w:p>
    <w:p>
      <w:pPr>
        <w:pStyle w:val="ListBullet"/>
      </w:pPr>
      <w:r>
        <w:rPr>
          <w:rFonts w:ascii="Inter" w:hAnsi="Inter" w:cs="Inter"/>
          <w:b w:val="0"/>
          <w:i w:val="0"/>
          <w:color w:val="2D2D2D"/>
          <w:sz w:val="22"/>
        </w:rPr>
      </w:r>
      <w:r>
        <w:rPr>
          <w:rFonts w:ascii="Inter" w:hAnsi="Inter" w:cs="Inter"/>
          <w:b/>
          <w:i w:val="0"/>
          <w:color w:val="2D2D2D"/>
          <w:sz w:val="22"/>
        </w:rPr>
        <w:t>Impact:</w:t>
      </w:r>
      <w:r>
        <w:rPr>
          <w:rFonts w:ascii="Inter" w:hAnsi="Inter" w:cs="Inter"/>
          <w:b w:val="0"/>
          <w:i w:val="0"/>
          <w:color w:val="2D2D2D"/>
          <w:sz w:val="22"/>
        </w:rPr>
        <w:t xml:space="preserve"> If it materializes, how severely does it affect the causal pathway? (Low, High)</w:t>
      </w:r>
    </w:p>
    <w:p>
      <w:pPr>
        <w:spacing w:after="120" w:line="276" w:lineRule="auto"/>
      </w:pPr>
      <w:r>
        <w:rPr>
          <w:rFonts w:ascii="Inter" w:hAnsi="Inter" w:cs="Inter"/>
          <w:b w:val="0"/>
          <w:i w:val="0"/>
          <w:color w:val="2D2D2D"/>
          <w:sz w:val="22"/>
        </w:rPr>
        <w:t>High-likelihood, high-impact risks require mitigation strategies --- specific actions your MOA will take to reduce the risk or respond if it materializes. These mitigation strategies may themselves become activities in your plan.</w:t>
      </w:r>
    </w:p>
    <w:p>
      <w:pPr>
        <w:pStyle w:val="Heading3"/>
      </w:pPr>
      <w:r>
        <w:rPr>
          <w:rFonts w:ascii="Inter" w:hAnsi="Inter" w:cs="Inter"/>
          <w:b/>
          <w:i w:val="0"/>
          <w:color w:val="2C5F7C"/>
          <w:sz w:val="26"/>
        </w:rPr>
        <w:t>Theory of Change vs. Logical Framework</w:t>
      </w:r>
    </w:p>
    <w:p>
      <w:pPr>
        <w:spacing w:after="120" w:line="276" w:lineRule="auto"/>
      </w:pPr>
      <w:r>
        <w:rPr>
          <w:rFonts w:ascii="Inter" w:hAnsi="Inter" w:cs="Inter"/>
          <w:b w:val="0"/>
          <w:i w:val="0"/>
          <w:color w:val="2D2D2D"/>
          <w:sz w:val="22"/>
        </w:rPr>
        <w:t>Planning teams sometimes confuse the Theory of Change with a logical framework (logframe). They are related but different tools.</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logical framework</w:t>
      </w:r>
      <w:r>
        <w:rPr>
          <w:rFonts w:ascii="Inter" w:hAnsi="Inter" w:cs="Inter"/>
          <w:b w:val="0"/>
          <w:i w:val="0"/>
          <w:color w:val="2D2D2D"/>
          <w:sz w:val="22"/>
        </w:rPr>
        <w:t xml:space="preserve"> is a management tool. It organizes your plan into a matrix of objectives, indicators, baselines, targets, means of verification, and assumptions. It answers: *What will we measure, and how?*</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Theory of Change</w:t>
      </w:r>
      <w:r>
        <w:rPr>
          <w:rFonts w:ascii="Inter" w:hAnsi="Inter" w:cs="Inter"/>
          <w:b w:val="0"/>
          <w:i w:val="0"/>
          <w:color w:val="2D2D2D"/>
          <w:sz w:val="22"/>
        </w:rPr>
        <w:t xml:space="preserve"> is a conceptual tool. It explains the causal logic behind your plan --- the argument for *why* your interventions will produce change. It answers: *Why do we believe this will work?*</w:t>
      </w:r>
    </w:p>
    <w:p>
      <w:pPr>
        <w:spacing w:after="120" w:line="276" w:lineRule="auto"/>
      </w:pPr>
      <w:r>
        <w:rPr>
          <w:rFonts w:ascii="Inter" w:hAnsi="Inter" w:cs="Inter"/>
          <w:b w:val="0"/>
          <w:i w:val="0"/>
          <w:color w:val="2D2D2D"/>
          <w:sz w:val="22"/>
        </w:rPr>
        <w:t>The ToC comes first. It establishes the causal logic. The logframe comes second --- it operationalizes the ToC by defining what to measure at each level. A logframe without a ToC is a measurement framework for a plan whose logic has not been examined. A ToC without a logframe is an argument without a measurement system. You need both, and they need to be connected.</w:t>
      </w:r>
    </w:p>
    <w:p>
      <w:pPr>
        <w:spacing w:after="120" w:line="276" w:lineRule="auto"/>
      </w:pPr>
      <w:r>
        <w:rPr>
          <w:rFonts w:ascii="Inter" w:hAnsi="Inter" w:cs="Inter"/>
          <w:b w:val="0"/>
          <w:i w:val="0"/>
          <w:color w:val="2D2D2D"/>
          <w:sz w:val="22"/>
        </w:rPr>
        <w:t>In this guidebook, the ToC (this chapter) establishes the results chain and causal logic. The monitoring and evaluation framework (Chapter 11) operationalizes it into indicators, baselines, targets, and data collection --- which is the logframe function.</w:t>
      </w:r>
    </w:p>
    <w:p>
      <w:pPr>
        <w:pStyle w:val="Heading3"/>
      </w:pPr>
      <w:r>
        <w:rPr>
          <w:rFonts w:ascii="Inter" w:hAnsi="Inter" w:cs="Inter"/>
          <w:b/>
          <w:i w:val="0"/>
          <w:color w:val="2C5F7C"/>
          <w:sz w:val="26"/>
        </w:rPr>
        <w:t>The "So What?" Test</w:t>
      </w:r>
    </w:p>
    <w:p>
      <w:pPr>
        <w:spacing w:after="120" w:line="276" w:lineRule="auto"/>
      </w:pPr>
      <w:r>
        <w:rPr>
          <w:rFonts w:ascii="Inter" w:hAnsi="Inter" w:cs="Inter"/>
          <w:b w:val="0"/>
          <w:i w:val="0"/>
          <w:color w:val="2D2D2D"/>
          <w:sz w:val="22"/>
        </w:rPr>
        <w:t>The "so what?" test is the single most useful quality check for your Theory of Change. At every level of the results chain, ask: *So what?*</w:t>
      </w:r>
    </w:p>
    <w:p>
      <w:pPr>
        <w:pStyle w:val="ListBullet"/>
      </w:pPr>
      <w:r>
        <w:rPr>
          <w:rFonts w:ascii="Inter" w:hAnsi="Inter" w:cs="Inter"/>
          <w:b w:val="0"/>
          <w:i w:val="0"/>
          <w:color w:val="2D2D2D"/>
          <w:sz w:val="22"/>
        </w:rPr>
        <w:t>You trained 500 farmers. *So what?*</w:t>
      </w:r>
    </w:p>
    <w:p>
      <w:pPr>
        <w:pStyle w:val="ListBullet"/>
      </w:pPr>
      <w:r>
        <w:rPr>
          <w:rFonts w:ascii="Inter" w:hAnsi="Inter" w:cs="Inter"/>
          <w:b w:val="0"/>
          <w:i w:val="0"/>
          <w:color w:val="2D2D2D"/>
          <w:sz w:val="22"/>
        </w:rPr>
        <w:t>So they learned climate-resilient techniques. *So what?*</w:t>
      </w:r>
    </w:p>
    <w:p>
      <w:pPr>
        <w:pStyle w:val="ListBullet"/>
      </w:pPr>
      <w:r>
        <w:rPr>
          <w:rFonts w:ascii="Inter" w:hAnsi="Inter" w:cs="Inter"/>
          <w:b w:val="0"/>
          <w:i w:val="0"/>
          <w:color w:val="2D2D2D"/>
          <w:sz w:val="22"/>
        </w:rPr>
        <w:t>So they will adopt those techniques. *So what?*</w:t>
      </w:r>
    </w:p>
    <w:p>
      <w:pPr>
        <w:pStyle w:val="ListBullet"/>
      </w:pPr>
      <w:r>
        <w:rPr>
          <w:rFonts w:ascii="Inter" w:hAnsi="Inter" w:cs="Inter"/>
          <w:b w:val="0"/>
          <w:i w:val="0"/>
          <w:color w:val="2D2D2D"/>
          <w:sz w:val="22"/>
        </w:rPr>
        <w:t>So their crop yields will increase and losses will decrease. *So what?*</w:t>
      </w:r>
    </w:p>
    <w:p>
      <w:pPr>
        <w:pStyle w:val="ListBullet"/>
      </w:pPr>
      <w:r>
        <w:rPr>
          <w:rFonts w:ascii="Inter" w:hAnsi="Inter" w:cs="Inter"/>
          <w:b w:val="0"/>
          <w:i w:val="0"/>
          <w:color w:val="2D2D2D"/>
          <w:sz w:val="22"/>
        </w:rPr>
        <w:t>So farm household incomes will improve. *So what?*</w:t>
      </w:r>
    </w:p>
    <w:p>
      <w:pPr>
        <w:pStyle w:val="ListBullet"/>
      </w:pPr>
      <w:r>
        <w:rPr>
          <w:rFonts w:ascii="Inter" w:hAnsi="Inter" w:cs="Inter"/>
          <w:b w:val="0"/>
          <w:i w:val="0"/>
          <w:color w:val="2D2D2D"/>
          <w:sz w:val="22"/>
        </w:rPr>
        <w:t>So Bangsamoro communities will have greater food security and economic resilience.</w:t>
      </w:r>
    </w:p>
    <w:p>
      <w:pPr>
        <w:spacing w:after="120" w:line="276" w:lineRule="auto"/>
      </w:pPr>
      <w:r>
        <w:rPr>
          <w:rFonts w:ascii="Inter" w:hAnsi="Inter" w:cs="Inter"/>
          <w:b w:val="0"/>
          <w:i w:val="0"/>
          <w:color w:val="2D2D2D"/>
          <w:sz w:val="22"/>
        </w:rPr>
        <w:t>If you cannot answer "so what?" at any level, you have found a gap in your causal logic. Either the link is missing (you need to add an intermediate result) or the link is unjustified (you need a better causal mechanism). The "so what?" test also reveals when you have confused outputs with outcomes: if the answer to "so what?" about an output is another output rather than a change in behavior or conditions, your results chain is flat rather than causal.</w:t>
      </w:r>
    </w:p>
    <w:p>
      <w:pPr>
        <w:pStyle w:val="Heading2"/>
      </w:pPr>
      <w:r>
        <w:rPr>
          <w:rFonts w:ascii="Inter" w:hAnsi="Inter" w:cs="Inter"/>
          <w:b/>
          <w:i w:val="0"/>
          <w:color w:val="1B365D"/>
          <w:sz w:val="32"/>
        </w:rPr>
        <w:t>7.3 Step-by-Step Instructions</w:t>
      </w:r>
    </w:p>
    <w:p>
      <w:pPr>
        <w:pStyle w:val="Heading3"/>
      </w:pPr>
      <w:r>
        <w:rPr>
          <w:rFonts w:ascii="Inter" w:hAnsi="Inter" w:cs="Inter"/>
          <w:b/>
          <w:i w:val="0"/>
          <w:color w:val="2C5F7C"/>
          <w:sz w:val="26"/>
        </w:rPr>
        <w:t>Step 1: Start with Impact</w:t>
      </w:r>
    </w:p>
    <w:p>
      <w:pPr>
        <w:spacing w:after="120" w:line="276" w:lineRule="auto"/>
      </w:pPr>
      <w:r>
        <w:rPr>
          <w:rFonts w:ascii="Inter" w:hAnsi="Inter" w:cs="Inter"/>
          <w:b w:val="0"/>
          <w:i w:val="0"/>
          <w:color w:val="2D2D2D"/>
          <w:sz w:val="22"/>
        </w:rPr>
        <w:t>Begin at the top of the results chain, not the bottom. Starting with impact forces you to think about the ultimate purpose of your MOA's work before you get drawn into the details of activities and outputs.</w:t>
      </w:r>
    </w:p>
    <w:p>
      <w:pPr>
        <w:spacing w:after="120" w:line="276" w:lineRule="auto"/>
      </w:pPr>
      <w:r>
        <w:rPr>
          <w:rFonts w:ascii="Inter" w:hAnsi="Inter" w:cs="Inter"/>
          <w:b w:val="0"/>
          <w:i w:val="0"/>
          <w:color w:val="2D2D2D"/>
          <w:sz w:val="22"/>
        </w:rPr>
        <w:t>Your impact statement should answer one question: *What long-term change in the lives of Bangsamoro people does your MOA contribute to?*</w:t>
      </w:r>
    </w:p>
    <w:p>
      <w:pPr>
        <w:spacing w:after="120" w:line="276" w:lineRule="auto"/>
      </w:pPr>
      <w:r>
        <w:rPr>
          <w:rFonts w:ascii="Inter" w:hAnsi="Inter" w:cs="Inter"/>
          <w:b w:val="0"/>
          <w:i w:val="0"/>
          <w:color w:val="2D2D2D"/>
          <w:sz w:val="22"/>
        </w:rPr>
        <w:t>To draft your impact statement:</w:t>
      </w:r>
    </w:p>
    <w:p>
      <w:pPr>
        <w:pStyle w:val="ListNumber"/>
      </w:pPr>
      <w:r>
        <w:rPr>
          <w:rFonts w:ascii="Inter" w:hAnsi="Inter" w:cs="Inter"/>
          <w:b w:val="0"/>
          <w:i w:val="0"/>
          <w:color w:val="2D2D2D"/>
          <w:sz w:val="22"/>
        </w:rPr>
        <w:t>Return to your BDP alignment (Chapter 3). Which BDP goals does your MOA contribute to? Your impact statement should connect to one or more of the six BDP goals.</w:t>
      </w:r>
    </w:p>
    <w:p>
      <w:pPr>
        <w:pStyle w:val="ListNumber"/>
      </w:pPr>
      <w:r>
        <w:rPr>
          <w:rFonts w:ascii="Inter" w:hAnsi="Inter" w:cs="Inter"/>
          <w:b w:val="0"/>
          <w:i w:val="0"/>
          <w:color w:val="2D2D2D"/>
          <w:sz w:val="22"/>
        </w:rPr>
        <w:t>Return to your strategic goals (Chapter 6). What is the highest-level aspiration your MOA has articulated?</w:t>
      </w:r>
    </w:p>
    <w:p>
      <w:pPr>
        <w:pStyle w:val="ListNumber"/>
      </w:pPr>
      <w:r>
        <w:rPr>
          <w:rFonts w:ascii="Inter" w:hAnsi="Inter" w:cs="Inter"/>
          <w:b w:val="0"/>
          <w:i w:val="0"/>
          <w:color w:val="2D2D2D"/>
          <w:sz w:val="22"/>
        </w:rPr>
        <w:t>Draft the statement in outcome language --- describe a condition, not an activity. "Bangsamoro communities enjoy food security" is a condition. "The ministry implements agricultural programs" is an activity.</w:t>
      </w:r>
    </w:p>
    <w:p>
      <w:pPr>
        <w:pStyle w:val="ListNumber"/>
      </w:pPr>
      <w:r>
        <w:rPr>
          <w:rFonts w:ascii="Inter" w:hAnsi="Inter" w:cs="Inter"/>
          <w:b w:val="0"/>
          <w:i w:val="0"/>
          <w:color w:val="2D2D2D"/>
          <w:sz w:val="22"/>
        </w:rPr>
        <w:t>Include a timeframe. Impact is long-term: typically ten years or more. Your MOA contributes to impact during the planning period, but impact may not be fully achieved within it.</w:t>
      </w:r>
    </w:p>
    <w:p>
      <w:pPr>
        <w:pStyle w:val="ListNumber"/>
      </w:pPr>
      <w:r>
        <w:rPr>
          <w:rFonts w:ascii="Inter" w:hAnsi="Inter" w:cs="Inter"/>
          <w:b w:val="0"/>
          <w:i w:val="0"/>
          <w:color w:val="2D2D2D"/>
          <w:sz w:val="22"/>
        </w:rPr>
        <w:t>Specify whether your MOA's contribution is *direct* (your MOA is the primary agent of this change) or *contributory* (your MOA is one of several agencies contributing). Most impact statements are contributory.</w:t>
      </w:r>
    </w:p>
    <w:p>
      <w:pPr>
        <w:spacing w:after="120" w:line="276" w:lineRule="auto"/>
      </w:pPr>
      <w:r>
        <w:rPr>
          <w:rFonts w:ascii="Inter" w:hAnsi="Inter" w:cs="Inter"/>
          <w:b w:val="0"/>
          <w:i w:val="0"/>
          <w:color w:val="2D2D2D"/>
          <w:sz w:val="22"/>
        </w:rPr>
        <w:t>Apply the "so what?" test: read your impact statement and ask whether it describes a change that matters to Bangsamoro citizens. "The ministry's organizational capacity is strengthened" fails the test --- it describes an internal condition, not a change in people's lives. "Bangsamoro families have reliable access to safe drinking water" passes --- it describes something citizens care about.</w:t>
      </w:r>
    </w:p>
    <w:p>
      <w:pPr>
        <w:pStyle w:val="Heading3"/>
      </w:pPr>
      <w:r>
        <w:rPr>
          <w:rFonts w:ascii="Inter" w:hAnsi="Inter" w:cs="Inter"/>
          <w:b/>
          <w:i w:val="0"/>
          <w:color w:val="2C5F7C"/>
          <w:sz w:val="26"/>
        </w:rPr>
        <w:t>Step 2: Define Outcomes</w:t>
      </w:r>
    </w:p>
    <w:p>
      <w:pPr>
        <w:spacing w:after="120" w:line="276" w:lineRule="auto"/>
      </w:pPr>
      <w:r>
        <w:rPr>
          <w:rFonts w:ascii="Inter" w:hAnsi="Inter" w:cs="Inter"/>
          <w:b w:val="0"/>
          <w:i w:val="0"/>
          <w:color w:val="2D2D2D"/>
          <w:sz w:val="22"/>
        </w:rPr>
        <w:t>Working downward from impact, define the medium-term outcomes that must be achieved for impact to materialize. Then, for each medium-term outcome, define the short-term outcomes that must precede it.</w:t>
      </w:r>
    </w:p>
    <w:p>
      <w:pPr>
        <w:spacing w:after="120" w:line="276" w:lineRule="auto"/>
      </w:pPr>
      <w:r>
        <w:rPr>
          <w:rFonts w:ascii="Inter" w:hAnsi="Inter" w:cs="Inter"/>
          <w:b w:val="0"/>
          <w:i w:val="0"/>
          <w:color w:val="2D2D2D"/>
          <w:sz w:val="22"/>
        </w:rPr>
      </w:r>
      <w:r>
        <w:rPr>
          <w:rFonts w:ascii="Inter" w:hAnsi="Inter" w:cs="Inter"/>
          <w:b/>
          <w:i w:val="0"/>
          <w:color w:val="2D2D2D"/>
          <w:sz w:val="22"/>
        </w:rPr>
        <w:t>Medium-term outcomes</w:t>
      </w:r>
      <w:r>
        <w:rPr>
          <w:rFonts w:ascii="Inter" w:hAnsi="Inter" w:cs="Inter"/>
          <w:b w:val="0"/>
          <w:i w:val="0"/>
          <w:color w:val="2D2D2D"/>
          <w:sz w:val="22"/>
        </w:rPr>
        <w:t xml:space="preserve"> should correspond closely to your strategic objectives from Chapter 6. If your strategic objectives were well-formulated, they already describe changes in behavior, capacity, or systems among your MOA's target groups. Convert each strategic objective into a medium-term outcome statement and place it in the results chain below your impact statement.</w:t>
      </w:r>
    </w:p>
    <w:p>
      <w:pPr>
        <w:spacing w:after="120" w:line="276" w:lineRule="auto"/>
      </w:pPr>
      <w:r>
        <w:rPr>
          <w:rFonts w:ascii="Inter" w:hAnsi="Inter" w:cs="Inter"/>
          <w:b w:val="0"/>
          <w:i w:val="0"/>
          <w:color w:val="2D2D2D"/>
          <w:sz w:val="22"/>
        </w:rPr>
        <w:t xml:space="preserve">For each medium-term outcome, ask: *What must change first before this outcome can be achieved?* The answers are your </w:t>
      </w:r>
      <w:r>
        <w:rPr>
          <w:rFonts w:ascii="Inter" w:hAnsi="Inter" w:cs="Inter"/>
          <w:b/>
          <w:i w:val="0"/>
          <w:color w:val="2D2D2D"/>
          <w:sz w:val="22"/>
        </w:rPr>
        <w:t>short-term outcomes</w:t>
      </w:r>
      <w:r>
        <w:rPr>
          <w:rFonts w:ascii="Inter" w:hAnsi="Inter" w:cs="Inter"/>
          <w:b w:val="0"/>
          <w:i w:val="0"/>
          <w:color w:val="2D2D2D"/>
          <w:sz w:val="22"/>
        </w:rPr>
        <w:t>. Short-term outcomes are the preconditions --- the earlier changes that must happen within one to three years to set the stage for the medium-term result.</w:t>
      </w:r>
    </w:p>
    <w:p>
      <w:pPr>
        <w:spacing w:after="120" w:line="276" w:lineRule="auto"/>
      </w:pPr>
      <w:r>
        <w:rPr>
          <w:rFonts w:ascii="Inter" w:hAnsi="Inter" w:cs="Inter"/>
          <w:b w:val="0"/>
          <w:i w:val="0"/>
          <w:color w:val="2D2D2D"/>
          <w:sz w:val="22"/>
        </w:rPr>
        <w:t>Use the "so what?" test at this level: If you achieve the short-term outcome, *so what*? Does it logically lead to the medium-term outcome? If not, you are missing an intermediate step.</w:t>
      </w:r>
    </w:p>
    <w:p>
      <w:pPr>
        <w:pStyle w:val="Heading3"/>
      </w:pPr>
      <w:r>
        <w:rPr>
          <w:rFonts w:ascii="Inter" w:hAnsi="Inter" w:cs="Inter"/>
          <w:b/>
          <w:i w:val="0"/>
          <w:color w:val="2C5F7C"/>
          <w:sz w:val="26"/>
        </w:rPr>
        <w:t>Step 3: Define Outputs</w:t>
      </w:r>
    </w:p>
    <w:p>
      <w:pPr>
        <w:spacing w:after="120" w:line="276" w:lineRule="auto"/>
      </w:pPr>
      <w:r>
        <w:rPr>
          <w:rFonts w:ascii="Inter" w:hAnsi="Inter" w:cs="Inter"/>
          <w:b w:val="0"/>
          <w:i w:val="0"/>
          <w:color w:val="2D2D2D"/>
          <w:sz w:val="22"/>
        </w:rPr>
        <w:t>For each short-term outcome, identify the tangible outputs your MOA must deliver. Outputs are the products and services your MOA directly controls. Ask: *What specific things must we deliver for this short-term outcome to happen?*</w:t>
      </w:r>
    </w:p>
    <w:p>
      <w:pPr>
        <w:spacing w:after="120" w:line="276" w:lineRule="auto"/>
      </w:pPr>
      <w:r>
        <w:rPr>
          <w:rFonts w:ascii="Inter" w:hAnsi="Inter" w:cs="Inter"/>
          <w:b w:val="0"/>
          <w:i w:val="0"/>
          <w:color w:val="2D2D2D"/>
          <w:sz w:val="22"/>
        </w:rPr>
        <w:t>A common error is to define outputs that are too broad. "Environmental management system established" is not an output --- it is an outcome disguised as an output. An output is specific and countable: "12 provincial environmental management plans developed," "45 environmental officers trained and deployed," "5 environmental monitoring stations operational." You should be able to verify whether an output was delivered by counting or observing.</w:t>
      </w:r>
    </w:p>
    <w:p>
      <w:pPr>
        <w:spacing w:after="120" w:line="276" w:lineRule="auto"/>
      </w:pPr>
      <w:r>
        <w:rPr>
          <w:rFonts w:ascii="Inter" w:hAnsi="Inter" w:cs="Inter"/>
          <w:b w:val="0"/>
          <w:i w:val="0"/>
          <w:color w:val="2D2D2D"/>
          <w:sz w:val="22"/>
        </w:rPr>
        <w:t>Each output should connect clearly to one short-term outcome. If an output does not lead to any outcome, it does not belong in the plan. If an outcome has no outputs feeding into it, you have an expectation without a delivery mechanism.</w:t>
      </w:r>
    </w:p>
    <w:p>
      <w:pPr>
        <w:pStyle w:val="Heading3"/>
      </w:pPr>
      <w:r>
        <w:rPr>
          <w:rFonts w:ascii="Inter" w:hAnsi="Inter" w:cs="Inter"/>
          <w:b/>
          <w:i w:val="0"/>
          <w:color w:val="2C5F7C"/>
          <w:sz w:val="26"/>
        </w:rPr>
        <w:t>Step 4: List Activities</w:t>
      </w:r>
    </w:p>
    <w:p>
      <w:pPr>
        <w:spacing w:after="120" w:line="276" w:lineRule="auto"/>
      </w:pPr>
      <w:r>
        <w:rPr>
          <w:rFonts w:ascii="Inter" w:hAnsi="Inter" w:cs="Inter"/>
          <w:b w:val="0"/>
          <w:i w:val="0"/>
          <w:color w:val="2D2D2D"/>
          <w:sz w:val="22"/>
        </w:rPr>
        <w:t>For each output, list the activities your staff will carry out to produce it. Activities are the work that consumes your resources and produces your outputs. Be specific enough that a reader can understand what staff will do, but not so detailed that you are writing an operational manual.</w:t>
      </w:r>
    </w:p>
    <w:p>
      <w:pPr>
        <w:spacing w:after="120" w:line="276" w:lineRule="auto"/>
      </w:pPr>
      <w:r>
        <w:rPr>
          <w:rFonts w:ascii="Inter" w:hAnsi="Inter" w:cs="Inter"/>
          <w:b w:val="0"/>
          <w:i w:val="0"/>
          <w:color w:val="2D2D2D"/>
          <w:sz w:val="22"/>
        </w:rPr>
        <w:t>Activities at this stage are preliminary. You will refine them in Chapter 8 (Programs, Projects, and Activities) and Chapter 10 (Annual Work Plan). The purpose here is to ensure that every output has identifiable activities behind it and that no activities are orphaned --- producing something that does not connect to an output.</w:t>
      </w:r>
    </w:p>
    <w:p>
      <w:pPr>
        <w:pStyle w:val="Heading3"/>
      </w:pPr>
      <w:r>
        <w:rPr>
          <w:rFonts w:ascii="Inter" w:hAnsi="Inter" w:cs="Inter"/>
          <w:b/>
          <w:i w:val="0"/>
          <w:color w:val="2C5F7C"/>
          <w:sz w:val="26"/>
        </w:rPr>
        <w:t>Step 5: Identify Inputs</w:t>
      </w:r>
    </w:p>
    <w:p>
      <w:pPr>
        <w:spacing w:after="120" w:line="276" w:lineRule="auto"/>
      </w:pPr>
      <w:r>
        <w:rPr>
          <w:rFonts w:ascii="Inter" w:hAnsi="Inter" w:cs="Inter"/>
          <w:b w:val="0"/>
          <w:i w:val="0"/>
          <w:color w:val="2D2D2D"/>
          <w:sz w:val="22"/>
        </w:rPr>
        <w:t>For each cluster of activities, identify the resources required: budget allocation, personnel (number and skills), equipment and materials, technical assistance, and time. This is a preliminary identification --- you will develop a full resource plan in Chapter 9.</w:t>
      </w:r>
    </w:p>
    <w:p>
      <w:pPr>
        <w:spacing w:after="120" w:line="276" w:lineRule="auto"/>
      </w:pPr>
      <w:r>
        <w:rPr>
          <w:rFonts w:ascii="Inter" w:hAnsi="Inter" w:cs="Inter"/>
          <w:b w:val="0"/>
          <w:i w:val="0"/>
          <w:color w:val="2D2D2D"/>
          <w:sz w:val="22"/>
        </w:rPr>
        <w:t>The purpose at this stage is to ensure that your results chain is grounded in reality. If you have designed a set of activities that would require three times your MOA's current budget, or specialist skills your staff do not have, or equipment you cannot procure, you need to know that now --- before you invest further in building out the causal logic.</w:t>
      </w:r>
    </w:p>
    <w:p>
      <w:pPr>
        <w:pStyle w:val="Heading3"/>
      </w:pPr>
      <w:r>
        <w:rPr>
          <w:rFonts w:ascii="Inter" w:hAnsi="Inter" w:cs="Inter"/>
          <w:b/>
          <w:i w:val="0"/>
          <w:color w:val="2C5F7C"/>
          <w:sz w:val="26"/>
        </w:rPr>
        <w:t>Step 6: Draw Causal Pathways</w:t>
      </w:r>
    </w:p>
    <w:p>
      <w:pPr>
        <w:spacing w:after="120" w:line="276" w:lineRule="auto"/>
      </w:pPr>
      <w:r>
        <w:rPr>
          <w:rFonts w:ascii="Inter" w:hAnsi="Inter" w:cs="Inter"/>
          <w:b w:val="0"/>
          <w:i w:val="0"/>
          <w:color w:val="2D2D2D"/>
          <w:sz w:val="22"/>
        </w:rPr>
        <w:t>Now connect each level with explicit "if...then...because" statements. Work from the bottom up:</w:t>
      </w:r>
    </w:p>
    <w:p>
      <w:pPr>
        <w:pStyle w:val="ListNumber"/>
      </w:pPr>
      <w:r>
        <w:rPr>
          <w:rFonts w:ascii="Inter" w:hAnsi="Inter" w:cs="Inter"/>
          <w:b w:val="0"/>
          <w:i w:val="0"/>
          <w:color w:val="2D2D2D"/>
          <w:sz w:val="22"/>
        </w:rPr>
        <w:t>For each activity cluster, write: "</w:t>
      </w:r>
      <w:r>
        <w:rPr>
          <w:rFonts w:ascii="Inter" w:hAnsi="Inter" w:cs="Inter"/>
          <w:b/>
          <w:i w:val="0"/>
          <w:color w:val="2D2D2D"/>
          <w:sz w:val="22"/>
        </w:rPr>
        <w:t>IF</w:t>
      </w:r>
      <w:r>
        <w:rPr>
          <w:rFonts w:ascii="Inter" w:hAnsi="Inter" w:cs="Inter"/>
          <w:b w:val="0"/>
          <w:i w:val="0"/>
          <w:color w:val="2D2D2D"/>
          <w:sz w:val="22"/>
        </w:rPr>
        <w:t xml:space="preserve"> we invest [inputs] and carry out [activities], </w:t>
      </w:r>
      <w:r>
        <w:rPr>
          <w:rFonts w:ascii="Inter" w:hAnsi="Inter" w:cs="Inter"/>
          <w:b/>
          <w:i w:val="0"/>
          <w:color w:val="2D2D2D"/>
          <w:sz w:val="22"/>
        </w:rPr>
        <w:t>THEN</w:t>
      </w:r>
      <w:r>
        <w:rPr>
          <w:rFonts w:ascii="Inter" w:hAnsi="Inter" w:cs="Inter"/>
          <w:b w:val="0"/>
          <w:i w:val="0"/>
          <w:color w:val="2D2D2D"/>
          <w:sz w:val="22"/>
        </w:rPr>
        <w:t xml:space="preserve"> [output] will be produced, </w:t>
      </w:r>
      <w:r>
        <w:rPr>
          <w:rFonts w:ascii="Inter" w:hAnsi="Inter" w:cs="Inter"/>
          <w:b/>
          <w:i w:val="0"/>
          <w:color w:val="2D2D2D"/>
          <w:sz w:val="22"/>
        </w:rPr>
        <w:t>BECAUSE</w:t>
      </w:r>
      <w:r>
        <w:rPr>
          <w:rFonts w:ascii="Inter" w:hAnsi="Inter" w:cs="Inter"/>
          <w:b w:val="0"/>
          <w:i w:val="0"/>
          <w:color w:val="2D2D2D"/>
          <w:sz w:val="22"/>
        </w:rPr>
        <w:t xml:space="preserve"> [mechanism]."</w:t>
      </w:r>
    </w:p>
    <w:p>
      <w:pPr>
        <w:pStyle w:val="ListNumber"/>
      </w:pPr>
      <w:r>
        <w:rPr>
          <w:rFonts w:ascii="Inter" w:hAnsi="Inter" w:cs="Inter"/>
          <w:b w:val="0"/>
          <w:i w:val="0"/>
          <w:color w:val="2D2D2D"/>
          <w:sz w:val="22"/>
        </w:rPr>
        <w:t>For each output, write: "</w:t>
      </w:r>
      <w:r>
        <w:rPr>
          <w:rFonts w:ascii="Inter" w:hAnsi="Inter" w:cs="Inter"/>
          <w:b/>
          <w:i w:val="0"/>
          <w:color w:val="2D2D2D"/>
          <w:sz w:val="22"/>
        </w:rPr>
        <w:t>IF</w:t>
      </w:r>
      <w:r>
        <w:rPr>
          <w:rFonts w:ascii="Inter" w:hAnsi="Inter" w:cs="Inter"/>
          <w:b w:val="0"/>
          <w:i w:val="0"/>
          <w:color w:val="2D2D2D"/>
          <w:sz w:val="22"/>
        </w:rPr>
        <w:t xml:space="preserve"> [output] is delivered, </w:t>
      </w:r>
      <w:r>
        <w:rPr>
          <w:rFonts w:ascii="Inter" w:hAnsi="Inter" w:cs="Inter"/>
          <w:b/>
          <w:i w:val="0"/>
          <w:color w:val="2D2D2D"/>
          <w:sz w:val="22"/>
        </w:rPr>
        <w:t>THEN</w:t>
      </w:r>
      <w:r>
        <w:rPr>
          <w:rFonts w:ascii="Inter" w:hAnsi="Inter" w:cs="Inter"/>
          <w:b w:val="0"/>
          <w:i w:val="0"/>
          <w:color w:val="2D2D2D"/>
          <w:sz w:val="22"/>
        </w:rPr>
        <w:t xml:space="preserve"> [short-term outcome] will result, </w:t>
      </w:r>
      <w:r>
        <w:rPr>
          <w:rFonts w:ascii="Inter" w:hAnsi="Inter" w:cs="Inter"/>
          <w:b/>
          <w:i w:val="0"/>
          <w:color w:val="2D2D2D"/>
          <w:sz w:val="22"/>
        </w:rPr>
        <w:t>BECAUSE</w:t>
      </w:r>
      <w:r>
        <w:rPr>
          <w:rFonts w:ascii="Inter" w:hAnsi="Inter" w:cs="Inter"/>
          <w:b w:val="0"/>
          <w:i w:val="0"/>
          <w:color w:val="2D2D2D"/>
          <w:sz w:val="22"/>
        </w:rPr>
        <w:t xml:space="preserve"> [mechanism]."</w:t>
      </w:r>
    </w:p>
    <w:p>
      <w:pPr>
        <w:pStyle w:val="ListNumber"/>
      </w:pPr>
      <w:r>
        <w:rPr>
          <w:rFonts w:ascii="Inter" w:hAnsi="Inter" w:cs="Inter"/>
          <w:b w:val="0"/>
          <w:i w:val="0"/>
          <w:color w:val="2D2D2D"/>
          <w:sz w:val="22"/>
        </w:rPr>
        <w:t>For each short-term outcome, write: "</w:t>
      </w:r>
      <w:r>
        <w:rPr>
          <w:rFonts w:ascii="Inter" w:hAnsi="Inter" w:cs="Inter"/>
          <w:b/>
          <w:i w:val="0"/>
          <w:color w:val="2D2D2D"/>
          <w:sz w:val="22"/>
        </w:rPr>
        <w:t>IF</w:t>
      </w:r>
      <w:r>
        <w:rPr>
          <w:rFonts w:ascii="Inter" w:hAnsi="Inter" w:cs="Inter"/>
          <w:b w:val="0"/>
          <w:i w:val="0"/>
          <w:color w:val="2D2D2D"/>
          <w:sz w:val="22"/>
        </w:rPr>
        <w:t xml:space="preserve"> [short-term outcome] is achieved, </w:t>
      </w:r>
      <w:r>
        <w:rPr>
          <w:rFonts w:ascii="Inter" w:hAnsi="Inter" w:cs="Inter"/>
          <w:b/>
          <w:i w:val="0"/>
          <w:color w:val="2D2D2D"/>
          <w:sz w:val="22"/>
        </w:rPr>
        <w:t>THEN</w:t>
      </w:r>
      <w:r>
        <w:rPr>
          <w:rFonts w:ascii="Inter" w:hAnsi="Inter" w:cs="Inter"/>
          <w:b w:val="0"/>
          <w:i w:val="0"/>
          <w:color w:val="2D2D2D"/>
          <w:sz w:val="22"/>
        </w:rPr>
        <w:t xml:space="preserve"> [medium-term outcome] will follow, </w:t>
      </w:r>
      <w:r>
        <w:rPr>
          <w:rFonts w:ascii="Inter" w:hAnsi="Inter" w:cs="Inter"/>
          <w:b/>
          <w:i w:val="0"/>
          <w:color w:val="2D2D2D"/>
          <w:sz w:val="22"/>
        </w:rPr>
        <w:t>BECAUSE</w:t>
      </w:r>
      <w:r>
        <w:rPr>
          <w:rFonts w:ascii="Inter" w:hAnsi="Inter" w:cs="Inter"/>
          <w:b w:val="0"/>
          <w:i w:val="0"/>
          <w:color w:val="2D2D2D"/>
          <w:sz w:val="22"/>
        </w:rPr>
        <w:t xml:space="preserve"> [mechanism]."</w:t>
      </w:r>
    </w:p>
    <w:p>
      <w:pPr>
        <w:pStyle w:val="ListNumber"/>
      </w:pPr>
      <w:r>
        <w:rPr>
          <w:rFonts w:ascii="Inter" w:hAnsi="Inter" w:cs="Inter"/>
          <w:b w:val="0"/>
          <w:i w:val="0"/>
          <w:color w:val="2D2D2D"/>
          <w:sz w:val="22"/>
        </w:rPr>
        <w:t>For each medium-term outcome, write: "</w:t>
      </w:r>
      <w:r>
        <w:rPr>
          <w:rFonts w:ascii="Inter" w:hAnsi="Inter" w:cs="Inter"/>
          <w:b/>
          <w:i w:val="0"/>
          <w:color w:val="2D2D2D"/>
          <w:sz w:val="22"/>
        </w:rPr>
        <w:t>IF</w:t>
      </w:r>
      <w:r>
        <w:rPr>
          <w:rFonts w:ascii="Inter" w:hAnsi="Inter" w:cs="Inter"/>
          <w:b w:val="0"/>
          <w:i w:val="0"/>
          <w:color w:val="2D2D2D"/>
          <w:sz w:val="22"/>
        </w:rPr>
        <w:t xml:space="preserve"> [medium-term outcomes] are sustained, </w:t>
      </w:r>
      <w:r>
        <w:rPr>
          <w:rFonts w:ascii="Inter" w:hAnsi="Inter" w:cs="Inter"/>
          <w:b/>
          <w:i w:val="0"/>
          <w:color w:val="2D2D2D"/>
          <w:sz w:val="22"/>
        </w:rPr>
        <w:t>THEN</w:t>
      </w:r>
      <w:r>
        <w:rPr>
          <w:rFonts w:ascii="Inter" w:hAnsi="Inter" w:cs="Inter"/>
          <w:b w:val="0"/>
          <w:i w:val="0"/>
          <w:color w:val="2D2D2D"/>
          <w:sz w:val="22"/>
        </w:rPr>
        <w:t xml:space="preserve"> [impact] will be contributed to, </w:t>
      </w:r>
      <w:r>
        <w:rPr>
          <w:rFonts w:ascii="Inter" w:hAnsi="Inter" w:cs="Inter"/>
          <w:b/>
          <w:i w:val="0"/>
          <w:color w:val="2D2D2D"/>
          <w:sz w:val="22"/>
        </w:rPr>
        <w:t>BECAUSE</w:t>
      </w:r>
      <w:r>
        <w:rPr>
          <w:rFonts w:ascii="Inter" w:hAnsi="Inter" w:cs="Inter"/>
          <w:b w:val="0"/>
          <w:i w:val="0"/>
          <w:color w:val="2D2D2D"/>
          <w:sz w:val="22"/>
        </w:rPr>
        <w:t xml:space="preserve"> [mechanism]."</w:t>
      </w:r>
    </w:p>
    <w:p>
      <w:pPr>
        <w:spacing w:after="120" w:line="276" w:lineRule="auto"/>
      </w:pPr>
      <w:r>
        <w:rPr>
          <w:rFonts w:ascii="Inter" w:hAnsi="Inter" w:cs="Inter"/>
          <w:b w:val="0"/>
          <w:i w:val="0"/>
          <w:color w:val="2D2D2D"/>
          <w:sz w:val="22"/>
        </w:rPr>
        <w:t>The "BECAUSE" clause is the hardest part. It forces you to state *why* you believe the link works. If you cannot articulate a credible mechanism, the link may be wishful thinking rather than causal logic.</w:t>
      </w:r>
    </w:p>
    <w:p>
      <w:pPr>
        <w:pStyle w:val="Heading3"/>
      </w:pPr>
      <w:r>
        <w:rPr>
          <w:rFonts w:ascii="Inter" w:hAnsi="Inter" w:cs="Inter"/>
          <w:b/>
          <w:i w:val="0"/>
          <w:color w:val="2C5F7C"/>
          <w:sz w:val="26"/>
        </w:rPr>
        <w:t>Step 7: Test Each Link</w:t>
      </w:r>
    </w:p>
    <w:p>
      <w:pPr>
        <w:spacing w:after="120" w:line="276" w:lineRule="auto"/>
      </w:pPr>
      <w:r>
        <w:rPr>
          <w:rFonts w:ascii="Inter" w:hAnsi="Inter" w:cs="Inter"/>
          <w:b w:val="0"/>
          <w:i w:val="0"/>
          <w:color w:val="2D2D2D"/>
          <w:sz w:val="22"/>
        </w:rPr>
        <w:t>Review every causal pathway using three questions:</w:t>
      </w:r>
    </w:p>
    <w:p>
      <w:pPr>
        <w:pStyle w:val="ListNumber"/>
      </w:pPr>
      <w:r>
        <w:rPr>
          <w:rFonts w:ascii="Inter" w:hAnsi="Inter" w:cs="Inter"/>
          <w:b w:val="0"/>
          <w:i w:val="0"/>
          <w:color w:val="2D2D2D"/>
          <w:sz w:val="22"/>
        </w:rPr>
      </w:r>
      <w:r>
        <w:rPr>
          <w:rFonts w:ascii="Inter" w:hAnsi="Inter" w:cs="Inter"/>
          <w:b/>
          <w:i w:val="0"/>
          <w:color w:val="2D2D2D"/>
          <w:sz w:val="22"/>
        </w:rPr>
        <w:t>Is the logic sound?</w:t>
      </w:r>
      <w:r>
        <w:rPr>
          <w:rFonts w:ascii="Inter" w:hAnsi="Inter" w:cs="Inter"/>
          <w:b w:val="0"/>
          <w:i w:val="0"/>
          <w:color w:val="2D2D2D"/>
          <w:sz w:val="22"/>
        </w:rPr>
        <w:t xml:space="preserve"> Does the "if...then...because" statement make sense? Would a skeptical reviewer agree that this is a reasonable expectation?</w:t>
      </w:r>
    </w:p>
    <w:p>
      <w:pPr>
        <w:pStyle w:val="ListNumber"/>
      </w:pPr>
      <w:r>
        <w:rPr>
          <w:rFonts w:ascii="Inter" w:hAnsi="Inter" w:cs="Inter"/>
          <w:b w:val="0"/>
          <w:i w:val="0"/>
          <w:color w:val="2D2D2D"/>
          <w:sz w:val="22"/>
        </w:rPr>
      </w:r>
      <w:r>
        <w:rPr>
          <w:rFonts w:ascii="Inter" w:hAnsi="Inter" w:cs="Inter"/>
          <w:b/>
          <w:i w:val="0"/>
          <w:color w:val="2D2D2D"/>
          <w:sz w:val="22"/>
        </w:rPr>
        <w:t>Is there evidence?</w:t>
      </w:r>
      <w:r>
        <w:rPr>
          <w:rFonts w:ascii="Inter" w:hAnsi="Inter" w:cs="Inter"/>
          <w:b w:val="0"/>
          <w:i w:val="0"/>
          <w:color w:val="2D2D2D"/>
          <w:sz w:val="22"/>
        </w:rPr>
        <w:t xml:space="preserve"> Has this type of intervention produced this type of result before --- in BARMM, in the Philippines, or in comparable contexts? If not, you are innovating, which is fine, but you should acknowledge the evidence gap.</w:t>
      </w:r>
    </w:p>
    <w:p>
      <w:pPr>
        <w:pStyle w:val="ListNumber"/>
      </w:pPr>
      <w:r>
        <w:rPr>
          <w:rFonts w:ascii="Inter" w:hAnsi="Inter" w:cs="Inter"/>
          <w:b w:val="0"/>
          <w:i w:val="0"/>
          <w:color w:val="2D2D2D"/>
          <w:sz w:val="22"/>
        </w:rPr>
      </w:r>
      <w:r>
        <w:rPr>
          <w:rFonts w:ascii="Inter" w:hAnsi="Inter" w:cs="Inter"/>
          <w:b/>
          <w:i w:val="0"/>
          <w:color w:val="2D2D2D"/>
          <w:sz w:val="22"/>
        </w:rPr>
        <w:t>Are there alternative explanations?</w:t>
      </w:r>
      <w:r>
        <w:rPr>
          <w:rFonts w:ascii="Inter" w:hAnsi="Inter" w:cs="Inter"/>
          <w:b w:val="0"/>
          <w:i w:val="0"/>
          <w:color w:val="2D2D2D"/>
          <w:sz w:val="22"/>
        </w:rPr>
        <w:t xml:space="preserve"> Could the outcome happen without your intervention? Could the outcome fail to happen despite your intervention? If yes, your causal pathway has weak attribution, and you should be honest about that in your narrative.</w:t>
      </w:r>
    </w:p>
    <w:p>
      <w:pPr>
        <w:pStyle w:val="Heading3"/>
      </w:pPr>
      <w:r>
        <w:rPr>
          <w:rFonts w:ascii="Inter" w:hAnsi="Inter" w:cs="Inter"/>
          <w:b/>
          <w:i w:val="0"/>
          <w:color w:val="2C5F7C"/>
          <w:sz w:val="26"/>
        </w:rPr>
        <w:t>Step 8: Identify Assumptions at Each Level</w:t>
      </w:r>
    </w:p>
    <w:p>
      <w:pPr>
        <w:spacing w:after="120" w:line="276" w:lineRule="auto"/>
      </w:pPr>
      <w:r>
        <w:rPr>
          <w:rFonts w:ascii="Inter" w:hAnsi="Inter" w:cs="Inter"/>
          <w:b w:val="0"/>
          <w:i w:val="0"/>
          <w:color w:val="2D2D2D"/>
          <w:sz w:val="22"/>
        </w:rPr>
        <w:t>For every causal pathway, list the assumptions that must hold true. Use the assumption categories from Section 7.2: precondition, implementation, causal, contextual, and sustainability.</w:t>
      </w:r>
    </w:p>
    <w:p>
      <w:pPr>
        <w:spacing w:after="120" w:line="276" w:lineRule="auto"/>
      </w:pPr>
      <w:r>
        <w:rPr>
          <w:rFonts w:ascii="Inter" w:hAnsi="Inter" w:cs="Inter"/>
          <w:b w:val="0"/>
          <w:i w:val="0"/>
          <w:color w:val="2D2D2D"/>
          <w:sz w:val="22"/>
        </w:rPr>
        <w:t>A useful technique is to ask: *What would have to go wrong for this link to break?* Each answer points to an assumption. If the link between "farmers trained" and "farmers adopt techniques" could break because "farmers cannot afford the required inputs," then "farmers have access to affordable inputs" is an assumption.</w:t>
      </w:r>
    </w:p>
    <w:p>
      <w:pPr>
        <w:spacing w:after="120" w:line="276" w:lineRule="auto"/>
      </w:pPr>
      <w:r>
        <w:rPr>
          <w:rFonts w:ascii="Inter" w:hAnsi="Inter" w:cs="Inter"/>
          <w:b w:val="0"/>
          <w:i w:val="0"/>
          <w:color w:val="2D2D2D"/>
          <w:sz w:val="22"/>
        </w:rPr>
        <w:t>Do not list assumptions that are actually activities within your MOA's control. "Staff are hired on time" is a management issue, not an assumption. "The Civil Service Commission approves the plantilla positions" is an assumption --- it is an external condition you depend on.</w:t>
      </w:r>
    </w:p>
    <w:p>
      <w:pPr>
        <w:pStyle w:val="Heading3"/>
      </w:pPr>
      <w:r>
        <w:rPr>
          <w:rFonts w:ascii="Inter" w:hAnsi="Inter" w:cs="Inter"/>
          <w:b/>
          <w:i w:val="0"/>
          <w:color w:val="2C5F7C"/>
          <w:sz w:val="26"/>
        </w:rPr>
        <w:t>Step 9: Identify Risks</w:t>
      </w:r>
    </w:p>
    <w:p>
      <w:pPr>
        <w:spacing w:after="120" w:line="276" w:lineRule="auto"/>
      </w:pPr>
      <w:r>
        <w:rPr>
          <w:rFonts w:ascii="Inter" w:hAnsi="Inter" w:cs="Inter"/>
          <w:b w:val="0"/>
          <w:i w:val="0"/>
          <w:color w:val="2D2D2D"/>
          <w:sz w:val="22"/>
        </w:rPr>
        <w:t>For each critical assumption, assess the risk --- the probability and impact of the assumption not holding. Focus on assumptions where:</w:t>
      </w:r>
    </w:p>
    <w:p>
      <w:pPr>
        <w:pStyle w:val="ListBullet"/>
      </w:pPr>
      <w:r>
        <w:rPr>
          <w:rFonts w:ascii="Inter" w:hAnsi="Inter" w:cs="Inter"/>
          <w:b w:val="0"/>
          <w:i w:val="0"/>
          <w:color w:val="2D2D2D"/>
          <w:sz w:val="22"/>
        </w:rPr>
        <w:t>Likelihood of failure is medium or high, AND</w:t>
      </w:r>
    </w:p>
    <w:p>
      <w:pPr>
        <w:pStyle w:val="ListBullet"/>
      </w:pPr>
      <w:r>
        <w:rPr>
          <w:rFonts w:ascii="Inter" w:hAnsi="Inter" w:cs="Inter"/>
          <w:b w:val="0"/>
          <w:i w:val="0"/>
          <w:color w:val="2D2D2D"/>
          <w:sz w:val="22"/>
        </w:rPr>
        <w:t>Impact on the causal pathway is high.</w:t>
      </w:r>
    </w:p>
    <w:p>
      <w:pPr>
        <w:spacing w:after="120" w:line="276" w:lineRule="auto"/>
      </w:pPr>
      <w:r>
        <w:rPr>
          <w:rFonts w:ascii="Inter" w:hAnsi="Inter" w:cs="Inter"/>
          <w:b w:val="0"/>
          <w:i w:val="0"/>
          <w:color w:val="2D2D2D"/>
          <w:sz w:val="22"/>
        </w:rPr>
        <w:t>For each high-priority risk, develop a mitigation strategy: what your MOA will do to reduce the likelihood or manage the consequences. Some mitigation strategies will become activities in your plan.</w:t>
      </w:r>
    </w:p>
    <w:p>
      <w:pPr>
        <w:pStyle w:val="Heading3"/>
      </w:pPr>
      <w:r>
        <w:rPr>
          <w:rFonts w:ascii="Inter" w:hAnsi="Inter" w:cs="Inter"/>
          <w:b/>
          <w:i w:val="0"/>
          <w:color w:val="2C5F7C"/>
          <w:sz w:val="26"/>
        </w:rPr>
        <w:t>Step 10: Write the Theory of Change Narrative</w:t>
      </w:r>
    </w:p>
    <w:p>
      <w:pPr>
        <w:spacing w:after="120" w:line="276" w:lineRule="auto"/>
      </w:pPr>
      <w:r>
        <w:rPr>
          <w:rFonts w:ascii="Inter" w:hAnsi="Inter" w:cs="Inter"/>
          <w:b w:val="0"/>
          <w:i w:val="0"/>
          <w:color w:val="2D2D2D"/>
          <w:sz w:val="22"/>
        </w:rPr>
        <w:t>The ToC narrative is a one-to-two-page prose explanation of your results chain diagram. It tells the story of how your MOA believes change happens in your sector. The narrative should cover:</w:t>
      </w:r>
    </w:p>
    <w:p>
      <w:pPr>
        <w:pStyle w:val="ListNumber"/>
      </w:pPr>
      <w:r>
        <w:rPr>
          <w:rFonts w:ascii="Inter" w:hAnsi="Inter" w:cs="Inter"/>
          <w:b w:val="0"/>
          <w:i w:val="0"/>
          <w:color w:val="2D2D2D"/>
          <w:sz w:val="22"/>
        </w:rPr>
      </w:r>
      <w:r>
        <w:rPr>
          <w:rFonts w:ascii="Inter" w:hAnsi="Inter" w:cs="Inter"/>
          <w:b/>
          <w:i w:val="0"/>
          <w:color w:val="2D2D2D"/>
          <w:sz w:val="22"/>
        </w:rPr>
        <w:t>The change you seek.</w:t>
      </w:r>
      <w:r>
        <w:rPr>
          <w:rFonts w:ascii="Inter" w:hAnsi="Inter" w:cs="Inter"/>
          <w:b w:val="0"/>
          <w:i w:val="0"/>
          <w:color w:val="2D2D2D"/>
          <w:sz w:val="22"/>
        </w:rPr>
        <w:t xml:space="preserve"> Start with your impact statement and explain what long-term change your MOA contributes to and why it matters for Bangsamoro communities.</w:t>
      </w:r>
    </w:p>
    <w:p>
      <w:pPr>
        <w:pStyle w:val="ListNumber"/>
      </w:pPr>
      <w:r>
        <w:rPr>
          <w:rFonts w:ascii="Inter" w:hAnsi="Inter" w:cs="Inter"/>
          <w:b w:val="0"/>
          <w:i w:val="0"/>
          <w:color w:val="2D2D2D"/>
          <w:sz w:val="22"/>
        </w:rPr>
      </w:r>
      <w:r>
        <w:rPr>
          <w:rFonts w:ascii="Inter" w:hAnsi="Inter" w:cs="Inter"/>
          <w:b/>
          <w:i w:val="0"/>
          <w:color w:val="2D2D2D"/>
          <w:sz w:val="22"/>
        </w:rPr>
        <w:t>The pathway to change.</w:t>
      </w:r>
      <w:r>
        <w:rPr>
          <w:rFonts w:ascii="Inter" w:hAnsi="Inter" w:cs="Inter"/>
          <w:b w:val="0"/>
          <w:i w:val="0"/>
          <w:color w:val="2D2D2D"/>
          <w:sz w:val="22"/>
        </w:rPr>
        <w:t xml:space="preserve"> Walk through the results chain from activities to impact, explaining the causal logic at each level. Use the "if...then...because" language but in prose form.</w:t>
      </w:r>
    </w:p>
    <w:p>
      <w:pPr>
        <w:pStyle w:val="ListNumber"/>
      </w:pPr>
      <w:r>
        <w:rPr>
          <w:rFonts w:ascii="Inter" w:hAnsi="Inter" w:cs="Inter"/>
          <w:b w:val="0"/>
          <w:i w:val="0"/>
          <w:color w:val="2D2D2D"/>
          <w:sz w:val="22"/>
        </w:rPr>
      </w:r>
      <w:r>
        <w:rPr>
          <w:rFonts w:ascii="Inter" w:hAnsi="Inter" w:cs="Inter"/>
          <w:b/>
          <w:i w:val="0"/>
          <w:color w:val="2D2D2D"/>
          <w:sz w:val="22"/>
        </w:rPr>
        <w:t>Critical assumptions.</w:t>
      </w:r>
      <w:r>
        <w:rPr>
          <w:rFonts w:ascii="Inter" w:hAnsi="Inter" w:cs="Inter"/>
          <w:b w:val="0"/>
          <w:i w:val="0"/>
          <w:color w:val="2D2D2D"/>
          <w:sz w:val="22"/>
        </w:rPr>
        <w:t xml:space="preserve"> Identify the two or three assumptions that matter most --- the ones where, if they fail, the entire plan is at risk.</w:t>
      </w:r>
    </w:p>
    <w:p>
      <w:pPr>
        <w:pStyle w:val="ListNumber"/>
      </w:pPr>
      <w:r>
        <w:rPr>
          <w:rFonts w:ascii="Inter" w:hAnsi="Inter" w:cs="Inter"/>
          <w:b w:val="0"/>
          <w:i w:val="0"/>
          <w:color w:val="2D2D2D"/>
          <w:sz w:val="22"/>
        </w:rPr>
      </w:r>
      <w:r>
        <w:rPr>
          <w:rFonts w:ascii="Inter" w:hAnsi="Inter" w:cs="Inter"/>
          <w:b/>
          <w:i w:val="0"/>
          <w:color w:val="2D2D2D"/>
          <w:sz w:val="22"/>
        </w:rPr>
        <w:t>Key risks and mitigations.</w:t>
      </w:r>
      <w:r>
        <w:rPr>
          <w:rFonts w:ascii="Inter" w:hAnsi="Inter" w:cs="Inter"/>
          <w:b w:val="0"/>
          <w:i w:val="0"/>
          <w:color w:val="2D2D2D"/>
          <w:sz w:val="22"/>
        </w:rPr>
        <w:t xml:space="preserve"> Explain the most significant risks and what your MOA will do about them.</w:t>
      </w:r>
    </w:p>
    <w:p>
      <w:pPr>
        <w:pStyle w:val="ListNumber"/>
      </w:pPr>
      <w:r>
        <w:rPr>
          <w:rFonts w:ascii="Inter" w:hAnsi="Inter" w:cs="Inter"/>
          <w:b w:val="0"/>
          <w:i w:val="0"/>
          <w:color w:val="2D2D2D"/>
          <w:sz w:val="22"/>
        </w:rPr>
      </w:r>
      <w:r>
        <w:rPr>
          <w:rFonts w:ascii="Inter" w:hAnsi="Inter" w:cs="Inter"/>
          <w:b/>
          <w:i w:val="0"/>
          <w:color w:val="2D2D2D"/>
          <w:sz w:val="22"/>
        </w:rPr>
        <w:t>Evidence base.</w:t>
      </w:r>
      <w:r>
        <w:rPr>
          <w:rFonts w:ascii="Inter" w:hAnsi="Inter" w:cs="Inter"/>
          <w:b w:val="0"/>
          <w:i w:val="0"/>
          <w:color w:val="2D2D2D"/>
          <w:sz w:val="22"/>
        </w:rPr>
        <w:t xml:space="preserve"> Where possible, cite evidence that supports your causal logic --- previous evaluations, research, comparable programs, or lessons from BARMM experience.</w:t>
      </w:r>
    </w:p>
    <w:p>
      <w:pPr>
        <w:spacing w:after="120" w:line="276" w:lineRule="auto"/>
      </w:pPr>
      <w:r>
        <w:rPr>
          <w:rFonts w:ascii="Inter" w:hAnsi="Inter" w:cs="Inter"/>
          <w:b w:val="0"/>
          <w:i w:val="0"/>
          <w:color w:val="2D2D2D"/>
          <w:sz w:val="22"/>
        </w:rPr>
        <w:t>The narrative is for human readers: Parliament members, BPDA reviewers, development partners, and your own staff. Write it clearly and without jargon. If someone outside your sector can read your narrative and understand how your MOA expects to create change, you have written it well.</w:t>
      </w:r>
    </w:p>
    <w:p>
      <w:pPr>
        <w:pStyle w:val="Heading3"/>
      </w:pPr>
      <w:r>
        <w:rPr>
          <w:rFonts w:ascii="Inter" w:hAnsi="Inter" w:cs="Inter"/>
          <w:b/>
          <w:i w:val="0"/>
          <w:color w:val="2C5F7C"/>
          <w:sz w:val="26"/>
        </w:rPr>
        <w:t>Step 11: Complete the Theory of Change Template</w:t>
      </w:r>
    </w:p>
    <w:p>
      <w:pPr>
        <w:spacing w:after="120" w:line="276" w:lineRule="auto"/>
      </w:pPr>
      <w:r>
        <w:rPr>
          <w:rFonts w:ascii="Inter" w:hAnsi="Inter" w:cs="Inter"/>
          <w:b w:val="0"/>
          <w:i w:val="0"/>
          <w:color w:val="2D2D2D"/>
          <w:sz w:val="22"/>
        </w:rPr>
        <w:t>Use the template in Section 7.7 to document your complete Theory of Change: the diagram (results chain with causal pathways, assumptions, and risks) and the narrative. This becomes a section of your MOA's strategic plan document (Chapter 12).</w:t>
      </w:r>
    </w:p>
    <w:p>
      <w:pPr>
        <w:pStyle w:val="Heading2"/>
      </w:pPr>
      <w:r>
        <w:rPr>
          <w:rFonts w:ascii="Inter" w:hAnsi="Inter" w:cs="Inter"/>
          <w:b/>
          <w:i w:val="0"/>
          <w:color w:val="1B365D"/>
          <w:sz w:val="32"/>
        </w:rPr>
        <w:t>7.4 Worked Example: Office for Other Bangsamoro Communities (OOBC)</w:t>
      </w:r>
    </w:p>
    <w:p>
      <w:pPr>
        <w:spacing w:after="120" w:line="276" w:lineRule="auto"/>
      </w:pPr>
      <w:r>
        <w:rPr>
          <w:rFonts w:ascii="Inter" w:hAnsi="Inter" w:cs="Inter"/>
          <w:b w:val="0"/>
          <w:i w:val="0"/>
          <w:color w:val="2D2D2D"/>
          <w:sz w:val="22"/>
        </w:rPr>
        <w:t>Continuing with OOBC from previous chapters, this section builds a complete Theory of Change for the office's mandate to ensure equitable access and inclusion for Bangsamoro communities outside the BARMM core territory.</w:t>
      </w:r>
    </w:p>
    <w:p>
      <w:pPr>
        <w:pStyle w:val="Heading3"/>
      </w:pPr>
      <w:r>
        <w:rPr>
          <w:rFonts w:ascii="Inter" w:hAnsi="Inter" w:cs="Inter"/>
          <w:b/>
          <w:i w:val="0"/>
          <w:color w:val="2C5F7C"/>
          <w:sz w:val="26"/>
        </w:rPr>
        <w:t>Impact Statement</w:t>
      </w:r>
    </w:p>
    <w:p>
      <w:pPr>
        <w:spacing w:after="120" w:line="276" w:lineRule="auto"/>
        <w:ind w:left="850"/>
      </w:pPr>
      <w:r>
        <w:rPr>
          <w:rFonts w:ascii="Inter" w:hAnsi="Inter" w:cs="Inter"/>
          <w:b w:val="0"/>
          <w:i/>
          <w:color w:val="2D2D2D"/>
          <w:sz w:val="22"/>
        </w:rPr>
      </w:r>
      <w:r>
        <w:rPr>
          <w:rFonts w:ascii="Inter" w:hAnsi="Inter" w:cs="Inter"/>
          <w:b/>
          <w:i w:val="0"/>
          <w:color w:val="2D2D2D"/>
          <w:sz w:val="22"/>
        </w:rPr>
        <w:t>Impact:</w:t>
      </w:r>
      <w:r>
        <w:rPr>
          <w:rFonts w:ascii="Inter" w:hAnsi="Inter" w:cs="Inter"/>
          <w:b w:val="0"/>
          <w:i/>
          <w:color w:val="2D2D2D"/>
          <w:sz w:val="22"/>
        </w:rPr>
        <w:t xml:space="preserve"> Bangsamoro communities outside BARMM are fully included in regional development and enjoy equitable access to services and opportunities. </w:t>
      </w:r>
      <w:r>
        <w:rPr>
          <w:rFonts w:ascii="Inter" w:hAnsi="Inter" w:cs="Inter"/>
          <w:b/>
          <w:i w:val="0"/>
          <w:color w:val="2D2D2D"/>
          <w:sz w:val="22"/>
        </w:rPr>
        <w:t>Timeframe:</w:t>
      </w:r>
      <w:r>
        <w:rPr>
          <w:rFonts w:ascii="Inter" w:hAnsi="Inter" w:cs="Inter"/>
          <w:b w:val="0"/>
          <w:i/>
          <w:color w:val="2D2D2D"/>
          <w:sz w:val="22"/>
        </w:rPr>
        <w:t xml:space="preserve"> 10-15 years </w:t>
      </w:r>
      <w:r>
        <w:rPr>
          <w:rFonts w:ascii="Inter" w:hAnsi="Inter" w:cs="Inter"/>
          <w:b/>
          <w:i w:val="0"/>
          <w:color w:val="2D2D2D"/>
          <w:sz w:val="22"/>
        </w:rPr>
        <w:t>Contribution type:</w:t>
      </w:r>
      <w:r>
        <w:rPr>
          <w:rFonts w:ascii="Inter" w:hAnsi="Inter" w:cs="Inter"/>
          <w:b w:val="0"/>
          <w:i/>
          <w:color w:val="2D2D2D"/>
          <w:sz w:val="22"/>
        </w:rPr>
        <w:t xml:space="preserve"> Contributory (OOBC is the lead coordinating office, but LGUs, NGAs, BARMM ministries, development partners, and the communities themselves also contribute) </w:t>
      </w:r>
      <w:r>
        <w:rPr>
          <w:rFonts w:ascii="Inter" w:hAnsi="Inter" w:cs="Inter"/>
          <w:b/>
          <w:i w:val="0"/>
          <w:color w:val="2D2D2D"/>
          <w:sz w:val="22"/>
        </w:rPr>
        <w:t>Linked to:</w:t>
      </w:r>
      <w:r>
        <w:rPr>
          <w:rFonts w:ascii="Inter" w:hAnsi="Inter" w:cs="Inter"/>
          <w:b w:val="0"/>
          <w:i/>
          <w:color w:val="2D2D2D"/>
          <w:sz w:val="22"/>
        </w:rPr>
        <w:t xml:space="preserve"> BDP Goal 1 (Stable, Just, and Accountable Government), Goal 3 (Peaceful, Safe, and Resilient Bangsamoro Communities), Goal 4 (Inclusive, Responsive, and Quality Social Services), and Priority Agenda Point 1 (Moral Governance) and Point 5 (Social Services)</w:t>
      </w:r>
    </w:p>
    <w:p>
      <w:pPr>
        <w:pStyle w:val="Heading3"/>
      </w:pPr>
      <w:r>
        <w:rPr>
          <w:rFonts w:ascii="Inter" w:hAnsi="Inter" w:cs="Inter"/>
          <w:b/>
          <w:i w:val="0"/>
          <w:color w:val="2C5F7C"/>
          <w:sz w:val="26"/>
        </w:rPr>
        <w:t>Results Chain</w:t>
      </w:r>
    </w:p>
    <w:p>
      <w:pPr>
        <w:spacing w:after="120" w:line="276" w:lineRule="auto"/>
      </w:pPr>
      <w:r>
        <w:rPr>
          <w:rFonts w:ascii="Inter" w:hAnsi="Inter" w:cs="Inter"/>
          <w:b w:val="0"/>
          <w:i w:val="0"/>
          <w:color w:val="2D2D2D"/>
          <w:sz w:val="22"/>
        </w:rPr>
      </w:r>
      <w:r>
        <w:rPr>
          <w:rFonts w:ascii="Inter" w:hAnsi="Inter" w:cs="Inter"/>
          <w:b/>
          <w:i w:val="0"/>
          <w:color w:val="2D2D2D"/>
          <w:sz w:val="22"/>
        </w:rPr>
        <w:t>Medium-Term Outcome 1:</w:t>
      </w:r>
      <w:r>
        <w:rPr>
          <w:rFonts w:ascii="Inter" w:hAnsi="Inter" w:cs="Inter"/>
          <w:b w:val="0"/>
          <w:i w:val="0"/>
          <w:color w:val="2D2D2D"/>
          <w:sz w:val="22"/>
        </w:rPr>
        <w:t xml:space="preserve"> OOBC has strong institutional capacity with functional systems and trained staff, enabling effective program delivery and coordination for OBCs.</w:t>
      </w:r>
    </w:p>
    <w:p>
      <w:pPr>
        <w:spacing w:after="120" w:line="276" w:lineRule="auto"/>
      </w:pPr>
      <w:r>
        <w:rPr>
          <w:rFonts w:ascii="Inter" w:hAnsi="Inter" w:cs="Inter"/>
          <w:b w:val="0"/>
          <w:i w:val="0"/>
          <w:color w:val="2D2D2D"/>
          <w:sz w:val="22"/>
        </w:rPr>
        <w:t>*Linked to OOBC Strategic Objective 1 (from Chapter 6): Establish a comprehensive OBC community database covering [X] provinces by December 2028.*</w:t>
      </w:r>
    </w:p>
    <w:p>
      <w:pPr>
        <w:pStyle w:val="ListBullet"/>
      </w:pPr>
      <w:r>
        <w:rPr>
          <w:rFonts w:ascii="Inter" w:hAnsi="Inter" w:cs="Inter"/>
          <w:b w:val="0"/>
          <w:i w:val="0"/>
          <w:color w:val="2D2D2D"/>
          <w:sz w:val="22"/>
        </w:rPr>
      </w:r>
      <w:r>
        <w:rPr>
          <w:rFonts w:ascii="Inter" w:hAnsi="Inter" w:cs="Inter"/>
          <w:b/>
          <w:i w:val="0"/>
          <w:color w:val="2D2D2D"/>
          <w:sz w:val="22"/>
        </w:rPr>
        <w:t>Short-Term Outcome 1.1:</w:t>
      </w:r>
      <w:r>
        <w:rPr>
          <w:rFonts w:ascii="Inter" w:hAnsi="Inter" w:cs="Inter"/>
          <w:b w:val="0"/>
          <w:i w:val="0"/>
          <w:color w:val="2D2D2D"/>
          <w:sz w:val="22"/>
        </w:rPr>
        <w:t xml:space="preserve"> A unified OBC Needs Database and Public Service Request and Referral System (PSRRS) is operational and populated with community data.</w:t>
      </w:r>
    </w:p>
    <w:p>
      <w:pPr>
        <w:pStyle w:val="ListBullet"/>
      </w:pPr>
      <w:r>
        <w:rPr>
          <w:rFonts w:ascii="Inter" w:hAnsi="Inter" w:cs="Inter"/>
          <w:b w:val="0"/>
          <w:i w:val="0"/>
          <w:color w:val="2D2D2D"/>
          <w:sz w:val="22"/>
        </w:rPr>
      </w:r>
      <w:r>
        <w:rPr>
          <w:rFonts w:ascii="Inter" w:hAnsi="Inter" w:cs="Inter"/>
          <w:b/>
          <w:i w:val="0"/>
          <w:color w:val="2D2D2D"/>
          <w:sz w:val="22"/>
        </w:rPr>
        <w:t>Short-Term Outcome 1.2:</w:t>
      </w:r>
      <w:r>
        <w:rPr>
          <w:rFonts w:ascii="Inter" w:hAnsi="Inter" w:cs="Inter"/>
          <w:b w:val="0"/>
          <w:i w:val="0"/>
          <w:color w:val="2D2D2D"/>
          <w:sz w:val="22"/>
        </w:rPr>
        <w:t xml:space="preserve"> OOBC staff are trained in data management, community profiling, and coordination protocols.</w:t>
      </w:r>
    </w:p>
    <w:p>
      <w:pPr>
        <w:spacing w:after="120" w:line="276" w:lineRule="auto"/>
      </w:pPr>
      <w:r>
        <w:rPr>
          <w:rFonts w:ascii="Inter" w:hAnsi="Inter" w:cs="Inter"/>
          <w:b w:val="0"/>
          <w:i w:val="0"/>
          <w:color w:val="2D2D2D"/>
          <w:sz w:val="22"/>
        </w:rPr>
      </w:r>
      <w:r>
        <w:rPr>
          <w:rFonts w:ascii="Inter" w:hAnsi="Inter" w:cs="Inter"/>
          <w:b/>
          <w:i w:val="0"/>
          <w:color w:val="2D2D2D"/>
          <w:sz w:val="22"/>
        </w:rPr>
        <w:t>Medium-Term Outcome 2:</w:t>
      </w:r>
      <w:r>
        <w:rPr>
          <w:rFonts w:ascii="Inter" w:hAnsi="Inter" w:cs="Inter"/>
          <w:b w:val="0"/>
          <w:i w:val="0"/>
          <w:color w:val="2D2D2D"/>
          <w:sz w:val="22"/>
        </w:rPr>
        <w:t xml:space="preserve"> Comprehensive OBC data guides evidence-based planning and enables targeted service delivery to Bangsamoro communities outside BARMM.</w:t>
      </w:r>
    </w:p>
    <w:p>
      <w:pPr>
        <w:spacing w:after="120" w:line="276" w:lineRule="auto"/>
      </w:pPr>
      <w:r>
        <w:rPr>
          <w:rFonts w:ascii="Inter" w:hAnsi="Inter" w:cs="Inter"/>
          <w:b w:val="0"/>
          <w:i w:val="0"/>
          <w:color w:val="2D2D2D"/>
          <w:sz w:val="22"/>
        </w:rPr>
        <w:t>*Linked to OOBC Strategic Objective 2: Formalize coordination agreements (MOUs/MOAs) with [X] LGUs and [X] NGAs by December 2027.*</w:t>
      </w:r>
    </w:p>
    <w:p>
      <w:pPr>
        <w:pStyle w:val="ListBullet"/>
      </w:pPr>
      <w:r>
        <w:rPr>
          <w:rFonts w:ascii="Inter" w:hAnsi="Inter" w:cs="Inter"/>
          <w:b w:val="0"/>
          <w:i w:val="0"/>
          <w:color w:val="2D2D2D"/>
          <w:sz w:val="22"/>
        </w:rPr>
      </w:r>
      <w:r>
        <w:rPr>
          <w:rFonts w:ascii="Inter" w:hAnsi="Inter" w:cs="Inter"/>
          <w:b/>
          <w:i w:val="0"/>
          <w:color w:val="2D2D2D"/>
          <w:sz w:val="22"/>
        </w:rPr>
        <w:t>Short-Term Outcome 2.1:</w:t>
      </w:r>
      <w:r>
        <w:rPr>
          <w:rFonts w:ascii="Inter" w:hAnsi="Inter" w:cs="Inter"/>
          <w:b w:val="0"/>
          <w:i w:val="0"/>
          <w:color w:val="2D2D2D"/>
          <w:sz w:val="22"/>
        </w:rPr>
        <w:t xml:space="preserve"> Community profiling data from field assessments is systematically collected and integrated into planning documents.</w:t>
      </w:r>
    </w:p>
    <w:p>
      <w:pPr>
        <w:pStyle w:val="ListBullet"/>
      </w:pPr>
      <w:r>
        <w:rPr>
          <w:rFonts w:ascii="Inter" w:hAnsi="Inter" w:cs="Inter"/>
          <w:b w:val="0"/>
          <w:i w:val="0"/>
          <w:color w:val="2D2D2D"/>
          <w:sz w:val="22"/>
        </w:rPr>
      </w:r>
      <w:r>
        <w:rPr>
          <w:rFonts w:ascii="Inter" w:hAnsi="Inter" w:cs="Inter"/>
          <w:b/>
          <w:i w:val="0"/>
          <w:color w:val="2D2D2D"/>
          <w:sz w:val="22"/>
        </w:rPr>
        <w:t>Short-Term Outcome 2.2:</w:t>
      </w:r>
      <w:r>
        <w:rPr>
          <w:rFonts w:ascii="Inter" w:hAnsi="Inter" w:cs="Inter"/>
          <w:b w:val="0"/>
          <w:i w:val="0"/>
          <w:color w:val="2D2D2D"/>
          <w:sz w:val="22"/>
        </w:rPr>
        <w:t xml:space="preserve"> OOBC produces data-driven reports that inform BARMM ministry programming for OBCs.</w:t>
      </w:r>
    </w:p>
    <w:p>
      <w:pPr>
        <w:spacing w:after="120" w:line="276" w:lineRule="auto"/>
      </w:pPr>
      <w:r>
        <w:rPr>
          <w:rFonts w:ascii="Inter" w:hAnsi="Inter" w:cs="Inter"/>
          <w:b w:val="0"/>
          <w:i w:val="0"/>
          <w:color w:val="2D2D2D"/>
          <w:sz w:val="22"/>
        </w:rPr>
      </w:r>
      <w:r>
        <w:rPr>
          <w:rFonts w:ascii="Inter" w:hAnsi="Inter" w:cs="Inter"/>
          <w:b/>
          <w:i w:val="0"/>
          <w:color w:val="2D2D2D"/>
          <w:sz w:val="22"/>
        </w:rPr>
        <w:t>Medium-Term Outcome 3:</w:t>
      </w:r>
      <w:r>
        <w:rPr>
          <w:rFonts w:ascii="Inter" w:hAnsi="Inter" w:cs="Inter"/>
          <w:b w:val="0"/>
          <w:i w:val="0"/>
          <w:color w:val="2D2D2D"/>
          <w:sz w:val="22"/>
        </w:rPr>
        <w:t xml:space="preserve"> Effective coordination mechanisms with LGUs, NGAs, and BARMM ministries enable consistent service delivery to OBC communities.</w:t>
      </w:r>
    </w:p>
    <w:p>
      <w:pPr>
        <w:spacing w:after="120" w:line="276" w:lineRule="auto"/>
      </w:pPr>
      <w:r>
        <w:rPr>
          <w:rFonts w:ascii="Inter" w:hAnsi="Inter" w:cs="Inter"/>
          <w:b w:val="0"/>
          <w:i w:val="0"/>
          <w:color w:val="2D2D2D"/>
          <w:sz w:val="22"/>
        </w:rPr>
        <w:t>*Linked to OOBC Strategic Objective 3: Increase the percentage of OBC communities with documented access to BARMM services from [baseline] to [target] by December 2028.*</w:t>
      </w:r>
    </w:p>
    <w:p>
      <w:pPr>
        <w:pStyle w:val="ListBullet"/>
      </w:pPr>
      <w:r>
        <w:rPr>
          <w:rFonts w:ascii="Inter" w:hAnsi="Inter" w:cs="Inter"/>
          <w:b w:val="0"/>
          <w:i w:val="0"/>
          <w:color w:val="2D2D2D"/>
          <w:sz w:val="22"/>
        </w:rPr>
      </w:r>
      <w:r>
        <w:rPr>
          <w:rFonts w:ascii="Inter" w:hAnsi="Inter" w:cs="Inter"/>
          <w:b/>
          <w:i w:val="0"/>
          <w:color w:val="2D2D2D"/>
          <w:sz w:val="22"/>
        </w:rPr>
        <w:t>Short-Term Outcome 3.1:</w:t>
      </w:r>
      <w:r>
        <w:rPr>
          <w:rFonts w:ascii="Inter" w:hAnsi="Inter" w:cs="Inter"/>
          <w:b w:val="0"/>
          <w:i w:val="0"/>
          <w:color w:val="2D2D2D"/>
          <w:sz w:val="22"/>
        </w:rPr>
        <w:t xml:space="preserve"> MOUs/MOAs with target LGUs and NGAs are formalized, and coordination protocols are operational.</w:t>
      </w:r>
    </w:p>
    <w:p>
      <w:pPr>
        <w:pStyle w:val="ListBullet"/>
      </w:pPr>
      <w:r>
        <w:rPr>
          <w:rFonts w:ascii="Inter" w:hAnsi="Inter" w:cs="Inter"/>
          <w:b w:val="0"/>
          <w:i w:val="0"/>
          <w:color w:val="2D2D2D"/>
          <w:sz w:val="22"/>
        </w:rPr>
      </w:r>
      <w:r>
        <w:rPr>
          <w:rFonts w:ascii="Inter" w:hAnsi="Inter" w:cs="Inter"/>
          <w:b/>
          <w:i w:val="0"/>
          <w:color w:val="2D2D2D"/>
          <w:sz w:val="22"/>
        </w:rPr>
        <w:t>Short-Term Outcome 3.2:</w:t>
      </w:r>
      <w:r>
        <w:rPr>
          <w:rFonts w:ascii="Inter" w:hAnsi="Inter" w:cs="Inter"/>
          <w:b w:val="0"/>
          <w:i w:val="0"/>
          <w:color w:val="2D2D2D"/>
          <w:sz w:val="22"/>
        </w:rPr>
        <w:t xml:space="preserve"> OBC communities report increased awareness of and access to BARMM services through referral mechanisms.</w:t>
      </w:r>
    </w:p>
    <w:p>
      <w:pPr>
        <w:pStyle w:val="Heading3"/>
      </w:pPr>
      <w:r>
        <w:rPr>
          <w:rFonts w:ascii="Inter" w:hAnsi="Inter" w:cs="Inter"/>
          <w:b/>
          <w:i w:val="0"/>
          <w:color w:val="2C5F7C"/>
          <w:sz w:val="26"/>
        </w:rPr>
        <w:t>Outputs (Selected --- for Medium-Term Outcome 1)</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Output</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Target</w:t>
            </w:r>
          </w:p>
        </w:tc>
      </w:tr>
      <w:tr>
        <w:tc>
          <w:tcPr>
            <w:tcW w:type="dxa" w:w="3120"/>
          </w:tcPr>
          <w:p>
            <w:r/>
            <w:r>
              <w:rPr>
                <w:rFonts w:ascii="Inter" w:hAnsi="Inter" w:cs="Inter"/>
                <w:b w:val="0"/>
                <w:i w:val="0"/>
                <w:color w:val="2D2D2D"/>
                <w:sz w:val="19"/>
              </w:rPr>
              <w:t>Output 1.1.1</w:t>
            </w:r>
          </w:p>
        </w:tc>
        <w:tc>
          <w:tcPr>
            <w:tcW w:type="dxa" w:w="3120"/>
          </w:tcPr>
          <w:p>
            <w:r/>
            <w:r>
              <w:rPr>
                <w:rFonts w:ascii="Inter" w:hAnsi="Inter" w:cs="Inter"/>
                <w:b w:val="0"/>
                <w:i w:val="0"/>
                <w:color w:val="2D2D2D"/>
                <w:sz w:val="19"/>
              </w:rPr>
              <w:t>OBC Needs Database designed, developed, and deployed</w:t>
            </w:r>
          </w:p>
        </w:tc>
        <w:tc>
          <w:tcPr>
            <w:tcW w:type="dxa" w:w="3120"/>
          </w:tcPr>
          <w:p>
            <w:r/>
            <w:r>
              <w:rPr>
                <w:rFonts w:ascii="Inter" w:hAnsi="Inter" w:cs="Inter"/>
                <w:b w:val="0"/>
                <w:i w:val="0"/>
                <w:color w:val="2D2D2D"/>
                <w:sz w:val="19"/>
              </w:rPr>
              <w:t>1 system operational</w:t>
            </w:r>
          </w:p>
        </w:tc>
      </w:tr>
      <w:tr>
        <w:tc>
          <w:tcPr>
            <w:tcW w:type="dxa" w:w="3120"/>
            <w:shd w:fill="F0F3F6"/>
          </w:tcPr>
          <w:p>
            <w:r/>
            <w:r>
              <w:rPr>
                <w:rFonts w:ascii="Inter" w:hAnsi="Inter" w:cs="Inter"/>
                <w:b w:val="0"/>
                <w:i w:val="0"/>
                <w:color w:val="2D2D2D"/>
                <w:sz w:val="19"/>
              </w:rPr>
              <w:t>Output 1.1.2</w:t>
            </w:r>
          </w:p>
        </w:tc>
        <w:tc>
          <w:tcPr>
            <w:tcW w:type="dxa" w:w="3120"/>
            <w:shd w:fill="F0F3F6"/>
          </w:tcPr>
          <w:p>
            <w:r/>
            <w:r>
              <w:rPr>
                <w:rFonts w:ascii="Inter" w:hAnsi="Inter" w:cs="Inter"/>
                <w:b w:val="0"/>
                <w:i w:val="0"/>
                <w:color w:val="2D2D2D"/>
                <w:sz w:val="19"/>
              </w:rPr>
              <w:t>Public Service Request and Referral System (PSRRS) developed and integrated with the database</w:t>
            </w:r>
          </w:p>
        </w:tc>
        <w:tc>
          <w:tcPr>
            <w:tcW w:type="dxa" w:w="3120"/>
            <w:shd w:fill="F0F3F6"/>
          </w:tcPr>
          <w:p>
            <w:r/>
            <w:r>
              <w:rPr>
                <w:rFonts w:ascii="Inter" w:hAnsi="Inter" w:cs="Inter"/>
                <w:b w:val="0"/>
                <w:i w:val="0"/>
                <w:color w:val="2D2D2D"/>
                <w:sz w:val="19"/>
              </w:rPr>
              <w:t>1 system operational</w:t>
            </w:r>
          </w:p>
        </w:tc>
      </w:tr>
      <w:tr>
        <w:tc>
          <w:tcPr>
            <w:tcW w:type="dxa" w:w="3120"/>
          </w:tcPr>
          <w:p>
            <w:r/>
            <w:r>
              <w:rPr>
                <w:rFonts w:ascii="Inter" w:hAnsi="Inter" w:cs="Inter"/>
                <w:b w:val="0"/>
                <w:i w:val="0"/>
                <w:color w:val="2D2D2D"/>
                <w:sz w:val="19"/>
              </w:rPr>
              <w:t>Output 1.1.3</w:t>
            </w:r>
          </w:p>
        </w:tc>
        <w:tc>
          <w:tcPr>
            <w:tcW w:type="dxa" w:w="3120"/>
          </w:tcPr>
          <w:p>
            <w:r/>
            <w:r>
              <w:rPr>
                <w:rFonts w:ascii="Inter" w:hAnsi="Inter" w:cs="Inter"/>
                <w:b w:val="0"/>
                <w:i w:val="0"/>
                <w:color w:val="2D2D2D"/>
                <w:sz w:val="19"/>
              </w:rPr>
              <w:t>Community profiling instruments and protocols developed and standardized</w:t>
            </w:r>
          </w:p>
        </w:tc>
        <w:tc>
          <w:tcPr>
            <w:tcW w:type="dxa" w:w="3120"/>
          </w:tcPr>
          <w:p>
            <w:r/>
            <w:r>
              <w:rPr>
                <w:rFonts w:ascii="Inter" w:hAnsi="Inter" w:cs="Inter"/>
                <w:b w:val="0"/>
                <w:i w:val="0"/>
                <w:color w:val="2D2D2D"/>
                <w:sz w:val="19"/>
              </w:rPr>
              <w:t>1 set of instruments</w:t>
            </w:r>
          </w:p>
        </w:tc>
      </w:tr>
      <w:tr>
        <w:tc>
          <w:tcPr>
            <w:tcW w:type="dxa" w:w="3120"/>
            <w:shd w:fill="F0F3F6"/>
          </w:tcPr>
          <w:p>
            <w:r/>
            <w:r>
              <w:rPr>
                <w:rFonts w:ascii="Inter" w:hAnsi="Inter" w:cs="Inter"/>
                <w:b w:val="0"/>
                <w:i w:val="0"/>
                <w:color w:val="2D2D2D"/>
                <w:sz w:val="19"/>
              </w:rPr>
              <w:t>Output 1.2.1</w:t>
            </w:r>
          </w:p>
        </w:tc>
        <w:tc>
          <w:tcPr>
            <w:tcW w:type="dxa" w:w="3120"/>
            <w:shd w:fill="F0F3F6"/>
          </w:tcPr>
          <w:p>
            <w:r/>
            <w:r>
              <w:rPr>
                <w:rFonts w:ascii="Inter" w:hAnsi="Inter" w:cs="Inter"/>
                <w:b w:val="0"/>
                <w:i w:val="0"/>
                <w:color w:val="2D2D2D"/>
                <w:sz w:val="19"/>
              </w:rPr>
              <w:t>OOBC staff trained in data management and community profiling procedures</w:t>
            </w:r>
          </w:p>
        </w:tc>
        <w:tc>
          <w:tcPr>
            <w:tcW w:type="dxa" w:w="3120"/>
            <w:shd w:fill="F0F3F6"/>
          </w:tcPr>
          <w:p>
            <w:r/>
            <w:r>
              <w:rPr>
                <w:rFonts w:ascii="Inter" w:hAnsi="Inter" w:cs="Inter"/>
                <w:b w:val="0"/>
                <w:i w:val="0"/>
                <w:color w:val="2D2D2D"/>
                <w:sz w:val="19"/>
              </w:rPr>
              <w:t>25 staff trained</w:t>
            </w:r>
          </w:p>
        </w:tc>
      </w:tr>
      <w:tr>
        <w:tc>
          <w:tcPr>
            <w:tcW w:type="dxa" w:w="3120"/>
          </w:tcPr>
          <w:p>
            <w:r/>
            <w:r>
              <w:rPr>
                <w:rFonts w:ascii="Inter" w:hAnsi="Inter" w:cs="Inter"/>
                <w:b w:val="0"/>
                <w:i w:val="0"/>
                <w:color w:val="2D2D2D"/>
                <w:sz w:val="19"/>
              </w:rPr>
              <w:t>Output 1.2.2</w:t>
            </w:r>
          </w:p>
        </w:tc>
        <w:tc>
          <w:tcPr>
            <w:tcW w:type="dxa" w:w="3120"/>
          </w:tcPr>
          <w:p>
            <w:r/>
            <w:r>
              <w:rPr>
                <w:rFonts w:ascii="Inter" w:hAnsi="Inter" w:cs="Inter"/>
                <w:b w:val="0"/>
                <w:i w:val="0"/>
                <w:color w:val="2D2D2D"/>
                <w:sz w:val="19"/>
              </w:rPr>
              <w:t>Staff trained in inter-agency coordination and referral protocols</w:t>
            </w:r>
          </w:p>
        </w:tc>
        <w:tc>
          <w:tcPr>
            <w:tcW w:type="dxa" w:w="3120"/>
          </w:tcPr>
          <w:p>
            <w:r/>
            <w:r>
              <w:rPr>
                <w:rFonts w:ascii="Inter" w:hAnsi="Inter" w:cs="Inter"/>
                <w:b w:val="0"/>
                <w:i w:val="0"/>
                <w:color w:val="2D2D2D"/>
                <w:sz w:val="19"/>
              </w:rPr>
              <w:t>25 staff trained</w:t>
            </w:r>
          </w:p>
        </w:tc>
      </w:tr>
      <w:tr>
        <w:tc>
          <w:tcPr>
            <w:tcW w:type="dxa" w:w="3120"/>
            <w:shd w:fill="F0F3F6"/>
          </w:tcPr>
          <w:p>
            <w:r/>
            <w:r>
              <w:rPr>
                <w:rFonts w:ascii="Inter" w:hAnsi="Inter" w:cs="Inter"/>
                <w:b w:val="0"/>
                <w:i w:val="0"/>
                <w:color w:val="2D2D2D"/>
                <w:sz w:val="19"/>
              </w:rPr>
              <w:t>Output 1.2.3</w:t>
            </w:r>
          </w:p>
        </w:tc>
        <w:tc>
          <w:tcPr>
            <w:tcW w:type="dxa" w:w="3120"/>
            <w:shd w:fill="F0F3F6"/>
          </w:tcPr>
          <w:p>
            <w:r/>
            <w:r>
              <w:rPr>
                <w:rFonts w:ascii="Inter" w:hAnsi="Inter" w:cs="Inter"/>
                <w:b w:val="0"/>
                <w:i w:val="0"/>
                <w:color w:val="2D2D2D"/>
                <w:sz w:val="19"/>
              </w:rPr>
              <w:t>Training manual for OBC community engagement and data collection published</w:t>
            </w:r>
          </w:p>
        </w:tc>
        <w:tc>
          <w:tcPr>
            <w:tcW w:type="dxa" w:w="3120"/>
            <w:shd w:fill="F0F3F6"/>
          </w:tcPr>
          <w:p>
            <w:r/>
            <w:r>
              <w:rPr>
                <w:rFonts w:ascii="Inter" w:hAnsi="Inter" w:cs="Inter"/>
                <w:b w:val="0"/>
                <w:i w:val="0"/>
                <w:color w:val="2D2D2D"/>
                <w:sz w:val="19"/>
              </w:rPr>
              <w:t>1 manual</w:t>
            </w:r>
          </w:p>
        </w:tc>
      </w:tr>
    </w:tbl>
    <w:p/>
    <w:p>
      <w:pPr>
        <w:pStyle w:val="Heading3"/>
      </w:pPr>
      <w:r>
        <w:rPr>
          <w:rFonts w:ascii="Inter" w:hAnsi="Inter" w:cs="Inter"/>
          <w:b/>
          <w:i w:val="0"/>
          <w:color w:val="2C5F7C"/>
          <w:sz w:val="26"/>
        </w:rPr>
        <w:t>Activities (Selected --- for Output 1.1.1)</w:t>
      </w:r>
    </w:p>
    <w:p>
      <w:pPr>
        <w:pStyle w:val="ListNumber"/>
      </w:pPr>
      <w:r>
        <w:rPr>
          <w:rFonts w:ascii="Inter" w:hAnsi="Inter" w:cs="Inter"/>
          <w:b w:val="0"/>
          <w:i w:val="0"/>
          <w:color w:val="2D2D2D"/>
          <w:sz w:val="22"/>
        </w:rPr>
        <w:t>Conduct needs assessment and requirements analysis for the OBC database, consulting with OOBC field staff and partner agencies on data requirements.</w:t>
      </w:r>
    </w:p>
    <w:p>
      <w:pPr>
        <w:pStyle w:val="ListNumber"/>
      </w:pPr>
      <w:r>
        <w:rPr>
          <w:rFonts w:ascii="Inter" w:hAnsi="Inter" w:cs="Inter"/>
          <w:b w:val="0"/>
          <w:i w:val="0"/>
          <w:color w:val="2D2D2D"/>
          <w:sz w:val="22"/>
        </w:rPr>
        <w:t>Procure or develop the database system, incorporating community profiling fields, service request tracking, and reporting functions.</w:t>
      </w:r>
    </w:p>
    <w:p>
      <w:pPr>
        <w:pStyle w:val="ListNumber"/>
      </w:pPr>
      <w:r>
        <w:rPr>
          <w:rFonts w:ascii="Inter" w:hAnsi="Inter" w:cs="Inter"/>
          <w:b w:val="0"/>
          <w:i w:val="0"/>
          <w:color w:val="2D2D2D"/>
          <w:sz w:val="22"/>
        </w:rPr>
        <w:t>Pilot the database in [X] provinces where OOBC has existing field presence.</w:t>
      </w:r>
    </w:p>
    <w:p>
      <w:pPr>
        <w:pStyle w:val="ListNumber"/>
      </w:pPr>
      <w:r>
        <w:rPr>
          <w:rFonts w:ascii="Inter" w:hAnsi="Inter" w:cs="Inter"/>
          <w:b w:val="0"/>
          <w:i w:val="0"/>
          <w:color w:val="2D2D2D"/>
          <w:sz w:val="22"/>
        </w:rPr>
        <w:t>Conduct data migration from existing manual records into the digital system.</w:t>
      </w:r>
    </w:p>
    <w:p>
      <w:pPr>
        <w:pStyle w:val="ListNumber"/>
      </w:pPr>
      <w:r>
        <w:rPr>
          <w:rFonts w:ascii="Inter" w:hAnsi="Inter" w:cs="Inter"/>
          <w:b w:val="0"/>
          <w:i w:val="0"/>
          <w:color w:val="2D2D2D"/>
          <w:sz w:val="22"/>
        </w:rPr>
        <w:t>Deploy the system to remaining provinces and train all OOBC staff on data entry, retrieval, and reporting.</w:t>
      </w:r>
    </w:p>
    <w:p>
      <w:pPr>
        <w:pStyle w:val="Heading3"/>
      </w:pPr>
      <w:r>
        <w:rPr>
          <w:rFonts w:ascii="Inter" w:hAnsi="Inter" w:cs="Inter"/>
          <w:b/>
          <w:i w:val="0"/>
          <w:color w:val="2C5F7C"/>
          <w:sz w:val="26"/>
        </w:rPr>
        <w:t>Inputs (Selected --- for Output 1.1.1)</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Input</w:t>
            </w:r>
          </w:p>
        </w:tc>
        <w:tc>
          <w:tcPr>
            <w:tcW w:type="dxa" w:w="4680"/>
            <w:shd w:fill="1B365D"/>
          </w:tcPr>
          <w:p>
            <w:r/>
            <w:r>
              <w:rPr>
                <w:rFonts w:ascii="Inter" w:hAnsi="Inter" w:cs="Inter"/>
                <w:b/>
                <w:i w:val="0"/>
                <w:color w:val="FFFFFF"/>
                <w:sz w:val="19"/>
              </w:rPr>
              <w:t>Requirement</w:t>
            </w:r>
          </w:p>
        </w:tc>
      </w:tr>
      <w:tr>
        <w:tc>
          <w:tcPr>
            <w:tcW w:type="dxa" w:w="4680"/>
          </w:tcPr>
          <w:p>
            <w:r/>
            <w:r>
              <w:rPr>
                <w:rFonts w:ascii="Inter" w:hAnsi="Inter" w:cs="Inter"/>
                <w:b w:val="0"/>
                <w:i w:val="0"/>
                <w:color w:val="2D2D2D"/>
                <w:sz w:val="19"/>
              </w:rPr>
              <w:t>Budget</w:t>
            </w:r>
          </w:p>
        </w:tc>
        <w:tc>
          <w:tcPr>
            <w:tcW w:type="dxa" w:w="4680"/>
          </w:tcPr>
          <w:p>
            <w:r/>
            <w:r>
              <w:rPr>
                <w:rFonts w:ascii="Inter" w:hAnsi="Inter" w:cs="Inter"/>
                <w:b w:val="0"/>
                <w:i w:val="0"/>
                <w:color w:val="2D2D2D"/>
                <w:sz w:val="19"/>
              </w:rPr>
              <w:t>PHP [X] million (system development, hardware, training, deployment)</w:t>
            </w:r>
          </w:p>
        </w:tc>
      </w:tr>
      <w:tr>
        <w:tc>
          <w:tcPr>
            <w:tcW w:type="dxa" w:w="4680"/>
            <w:shd w:fill="F0F3F6"/>
          </w:tcPr>
          <w:p>
            <w:r/>
            <w:r>
              <w:rPr>
                <w:rFonts w:ascii="Inter" w:hAnsi="Inter" w:cs="Inter"/>
                <w:b w:val="0"/>
                <w:i w:val="0"/>
                <w:color w:val="2D2D2D"/>
                <w:sz w:val="19"/>
              </w:rPr>
              <w:t>Personnel</w:t>
            </w:r>
          </w:p>
        </w:tc>
        <w:tc>
          <w:tcPr>
            <w:tcW w:type="dxa" w:w="4680"/>
            <w:shd w:fill="F0F3F6"/>
          </w:tcPr>
          <w:p>
            <w:r/>
            <w:r>
              <w:rPr>
                <w:rFonts w:ascii="Inter" w:hAnsi="Inter" w:cs="Inter"/>
                <w:b w:val="0"/>
                <w:i w:val="0"/>
                <w:color w:val="2D2D2D"/>
                <w:sz w:val="19"/>
              </w:rPr>
              <w:t>2 OOBC staff as system administrators, 1 IT consultant for development</w:t>
            </w:r>
          </w:p>
        </w:tc>
      </w:tr>
      <w:tr>
        <w:tc>
          <w:tcPr>
            <w:tcW w:type="dxa" w:w="4680"/>
          </w:tcPr>
          <w:p>
            <w:r/>
            <w:r>
              <w:rPr>
                <w:rFonts w:ascii="Inter" w:hAnsi="Inter" w:cs="Inter"/>
                <w:b w:val="0"/>
                <w:i w:val="0"/>
                <w:color w:val="2D2D2D"/>
                <w:sz w:val="19"/>
              </w:rPr>
              <w:t>Equipment</w:t>
            </w:r>
          </w:p>
        </w:tc>
        <w:tc>
          <w:tcPr>
            <w:tcW w:type="dxa" w:w="4680"/>
          </w:tcPr>
          <w:p>
            <w:r/>
            <w:r>
              <w:rPr>
                <w:rFonts w:ascii="Inter" w:hAnsi="Inter" w:cs="Inter"/>
                <w:b w:val="0"/>
                <w:i w:val="0"/>
                <w:color w:val="2D2D2D"/>
                <w:sz w:val="19"/>
              </w:rPr>
              <w:t>Laptops/tablets for field data entry, server or cloud hosting</w:t>
            </w:r>
          </w:p>
        </w:tc>
      </w:tr>
      <w:tr>
        <w:tc>
          <w:tcPr>
            <w:tcW w:type="dxa" w:w="4680"/>
            <w:shd w:fill="F0F3F6"/>
          </w:tcPr>
          <w:p>
            <w:r/>
            <w:r>
              <w:rPr>
                <w:rFonts w:ascii="Inter" w:hAnsi="Inter" w:cs="Inter"/>
                <w:b w:val="0"/>
                <w:i w:val="0"/>
                <w:color w:val="2D2D2D"/>
                <w:sz w:val="19"/>
              </w:rPr>
              <w:t>Technical assistance</w:t>
            </w:r>
          </w:p>
        </w:tc>
        <w:tc>
          <w:tcPr>
            <w:tcW w:type="dxa" w:w="4680"/>
            <w:shd w:fill="F0F3F6"/>
          </w:tcPr>
          <w:p>
            <w:r/>
            <w:r>
              <w:rPr>
                <w:rFonts w:ascii="Inter" w:hAnsi="Inter" w:cs="Inter"/>
                <w:b w:val="0"/>
                <w:i w:val="0"/>
                <w:color w:val="2D2D2D"/>
                <w:sz w:val="19"/>
              </w:rPr>
              <w:t>BARMM DICT or external IT partner for system development</w:t>
            </w:r>
          </w:p>
        </w:tc>
      </w:tr>
      <w:tr>
        <w:tc>
          <w:tcPr>
            <w:tcW w:type="dxa" w:w="4680"/>
          </w:tcPr>
          <w:p>
            <w:r/>
            <w:r>
              <w:rPr>
                <w:rFonts w:ascii="Inter" w:hAnsi="Inter" w:cs="Inter"/>
                <w:b w:val="0"/>
                <w:i w:val="0"/>
                <w:color w:val="2D2D2D"/>
                <w:sz w:val="19"/>
              </w:rPr>
              <w:t>Time</w:t>
            </w:r>
          </w:p>
        </w:tc>
        <w:tc>
          <w:tcPr>
            <w:tcW w:type="dxa" w:w="4680"/>
          </w:tcPr>
          <w:p>
            <w:r/>
            <w:r>
              <w:rPr>
                <w:rFonts w:ascii="Inter" w:hAnsi="Inter" w:cs="Inter"/>
                <w:b w:val="0"/>
                <w:i w:val="0"/>
                <w:color w:val="2D2D2D"/>
                <w:sz w:val="19"/>
              </w:rPr>
              <w:t>12 months from requirements analysis to full deployment</w:t>
            </w:r>
          </w:p>
        </w:tc>
      </w:tr>
    </w:tbl>
    <w:p/>
    <w:p>
      <w:pPr>
        <w:pStyle w:val="Heading3"/>
      </w:pPr>
      <w:r>
        <w:rPr>
          <w:rFonts w:ascii="Inter" w:hAnsi="Inter" w:cs="Inter"/>
          <w:b/>
          <w:i w:val="0"/>
          <w:color w:val="2C5F7C"/>
          <w:sz w:val="26"/>
        </w:rPr>
        <w:t>Causal Pathways (Selected)</w:t>
      </w:r>
    </w:p>
    <w:p>
      <w:pPr>
        <w:spacing w:after="120" w:line="276" w:lineRule="auto"/>
      </w:pPr>
      <w:r>
        <w:rPr>
          <w:rFonts w:ascii="Inter" w:hAnsi="Inter" w:cs="Inter"/>
          <w:b w:val="0"/>
          <w:i w:val="0"/>
          <w:color w:val="2D2D2D"/>
          <w:sz w:val="22"/>
        </w:rPr>
      </w:r>
      <w:r>
        <w:rPr>
          <w:rFonts w:ascii="Inter" w:hAnsi="Inter" w:cs="Inter"/>
          <w:b/>
          <w:i w:val="0"/>
          <w:color w:val="2D2D2D"/>
          <w:sz w:val="22"/>
        </w:rPr>
        <w:t>Pathway 1: Outputs 1.1.1 and 1.2.1 to Short-Term Outcome 1.1</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IF</w:t>
      </w:r>
      <w:r>
        <w:rPr>
          <w:rFonts w:ascii="Inter" w:hAnsi="Inter" w:cs="Inter"/>
          <w:b w:val="0"/>
          <w:i/>
          <w:color w:val="2D2D2D"/>
          <w:sz w:val="22"/>
        </w:rPr>
        <w:t xml:space="preserve"> the OBC Needs Database is developed and deployed, and OOBC staff are trained in data management and community profiling procedures, </w:t>
      </w:r>
      <w:r>
        <w:rPr>
          <w:rFonts w:ascii="Inter" w:hAnsi="Inter" w:cs="Inter"/>
          <w:b/>
          <w:i w:val="0"/>
          <w:color w:val="2D2D2D"/>
          <w:sz w:val="22"/>
        </w:rPr>
        <w:t>THEN</w:t>
      </w:r>
      <w:r>
        <w:rPr>
          <w:rFonts w:ascii="Inter" w:hAnsi="Inter" w:cs="Inter"/>
          <w:b w:val="0"/>
          <w:i/>
          <w:color w:val="2D2D2D"/>
          <w:sz w:val="22"/>
        </w:rPr>
        <w:t xml:space="preserve"> a unified database and referral system will be operational and populated with community data, </w:t>
      </w:r>
      <w:r>
        <w:rPr>
          <w:rFonts w:ascii="Inter" w:hAnsi="Inter" w:cs="Inter"/>
          <w:b/>
          <w:i w:val="0"/>
          <w:color w:val="2D2D2D"/>
          <w:sz w:val="22"/>
        </w:rPr>
        <w:t>BECAUSE</w:t>
      </w:r>
      <w:r>
        <w:rPr>
          <w:rFonts w:ascii="Inter" w:hAnsi="Inter" w:cs="Inter"/>
          <w:b w:val="0"/>
          <w:i/>
          <w:color w:val="2D2D2D"/>
          <w:sz w:val="22"/>
        </w:rPr>
        <w:t xml:space="preserve"> a purpose-built digital system replaces fragmented manual records, and trained staff with standardized profiling instruments can systematically collect, enter, and maintain community data across provinces.</w:t>
      </w:r>
    </w:p>
    <w:p>
      <w:pPr>
        <w:spacing w:after="120" w:line="276" w:lineRule="auto"/>
      </w:pPr>
      <w:r>
        <w:rPr>
          <w:rFonts w:ascii="Inter" w:hAnsi="Inter" w:cs="Inter"/>
          <w:b w:val="0"/>
          <w:i w:val="0"/>
          <w:color w:val="2D2D2D"/>
          <w:sz w:val="22"/>
        </w:rPr>
      </w:r>
      <w:r>
        <w:rPr>
          <w:rFonts w:ascii="Inter" w:hAnsi="Inter" w:cs="Inter"/>
          <w:b/>
          <w:i w:val="0"/>
          <w:color w:val="2D2D2D"/>
          <w:sz w:val="22"/>
        </w:rPr>
        <w:t>Assumptions:</w:t>
      </w:r>
      <w:r>
        <w:rPr>
          <w:rFonts w:ascii="Inter" w:hAnsi="Inter" w:cs="Inter"/>
          <w:b w:val="0"/>
          <w:i w:val="0"/>
          <w:color w:val="2D2D2D"/>
          <w:sz w:val="22"/>
        </w:rPr>
      </w:r>
    </w:p>
    <w:p>
      <w:pPr>
        <w:pStyle w:val="ListBullet"/>
      </w:pPr>
      <w:r>
        <w:rPr>
          <w:rFonts w:ascii="Inter" w:hAnsi="Inter" w:cs="Inter"/>
          <w:b w:val="0"/>
          <w:i w:val="0"/>
          <w:color w:val="2D2D2D"/>
          <w:sz w:val="22"/>
        </w:rPr>
        <w:t>OOBC receives adequate budget allocation and timely fund releases for system development and deployment (resource assumption).</w:t>
      </w:r>
    </w:p>
    <w:p>
      <w:pPr>
        <w:pStyle w:val="ListBullet"/>
      </w:pPr>
      <w:r>
        <w:rPr>
          <w:rFonts w:ascii="Inter" w:hAnsi="Inter" w:cs="Inter"/>
          <w:b w:val="0"/>
          <w:i w:val="0"/>
          <w:color w:val="2D2D2D"/>
          <w:sz w:val="22"/>
        </w:rPr>
        <w:t>IT infrastructure (connectivity, hardware) is sufficient in OOBC offices and field locations for database operation (infrastructure assumption).</w:t>
      </w:r>
    </w:p>
    <w:p>
      <w:pPr>
        <w:pStyle w:val="ListBullet"/>
      </w:pPr>
      <w:r>
        <w:rPr>
          <w:rFonts w:ascii="Inter" w:hAnsi="Inter" w:cs="Inter"/>
          <w:b w:val="0"/>
          <w:i w:val="0"/>
          <w:color w:val="2D2D2D"/>
          <w:sz w:val="22"/>
        </w:rPr>
        <w:t>Existing community data from manual records is recoverable and usable for migration into the new system (data quality assumption).</w:t>
      </w:r>
    </w:p>
    <w:p>
      <w:pPr>
        <w:spacing w:after="120" w:line="276" w:lineRule="auto"/>
      </w:pPr>
      <w:r>
        <w:rPr>
          <w:rFonts w:ascii="Inter" w:hAnsi="Inter" w:cs="Inter"/>
          <w:b w:val="0"/>
          <w:i w:val="0"/>
          <w:color w:val="2D2D2D"/>
          <w:sz w:val="22"/>
        </w:rPr>
      </w:r>
      <w:r>
        <w:rPr>
          <w:rFonts w:ascii="Inter" w:hAnsi="Inter" w:cs="Inter"/>
          <w:b/>
          <w:i w:val="0"/>
          <w:color w:val="2D2D2D"/>
          <w:sz w:val="22"/>
        </w:rPr>
        <w:t>Risks:</w:t>
      </w:r>
      <w:r>
        <w:rPr>
          <w:rFonts w:ascii="Inter" w:hAnsi="Inter" w:cs="Inter"/>
          <w:b w:val="0"/>
          <w:i w:val="0"/>
          <w:color w:val="2D2D2D"/>
          <w:sz w:val="22"/>
        </w:rPr>
      </w:r>
    </w:p>
    <w:p>
      <w:pPr>
        <w:pStyle w:val="ListBullet"/>
      </w:pPr>
      <w:r>
        <w:rPr>
          <w:rFonts w:ascii="Inter" w:hAnsi="Inter" w:cs="Inter"/>
          <w:b w:val="0"/>
          <w:i w:val="0"/>
          <w:color w:val="2D2D2D"/>
          <w:sz w:val="22"/>
        </w:rPr>
        <w:t>*Delayed fund releases:* Budget for system development is not released on schedule. Likelihood: Medium. Impact: High. *Mitigation:* Phase development to begin with available resources; prioritize provinces with existing field presence for pilot deployment.</w:t>
      </w:r>
    </w:p>
    <w:p>
      <w:pPr>
        <w:pStyle w:val="ListBullet"/>
      </w:pPr>
      <w:r>
        <w:rPr>
          <w:rFonts w:ascii="Inter" w:hAnsi="Inter" w:cs="Inter"/>
          <w:b w:val="0"/>
          <w:i w:val="0"/>
          <w:color w:val="2D2D2D"/>
          <w:sz w:val="22"/>
        </w:rPr>
        <w:t>*Connectivity limitations:* Field offices lack reliable internet for real-time database access. Likelihood: Medium. Impact: Medium. *Mitigation:* Design the system with offline data entry capability and periodic sync; procure portable connectivity solutions for field teams.</w:t>
      </w:r>
    </w:p>
    <w:p>
      <w:pPr>
        <w:spacing w:after="120" w:line="276" w:lineRule="auto"/>
      </w:pPr>
      <w:r>
        <w:rPr>
          <w:rFonts w:ascii="Inter" w:hAnsi="Inter" w:cs="Inter"/>
          <w:b w:val="0"/>
          <w:i w:val="0"/>
          <w:color w:val="2D2D2D"/>
          <w:sz w:val="22"/>
        </w:rPr>
      </w:r>
      <w:r>
        <w:rPr>
          <w:rFonts w:ascii="Inter" w:hAnsi="Inter" w:cs="Inter"/>
          <w:b/>
          <w:i w:val="0"/>
          <w:color w:val="2D2D2D"/>
          <w:sz w:val="22"/>
        </w:rPr>
        <w:t>Pathway 2: Short-Term Outcomes 1.1 and 2.1 to Medium-Term Outcome 2</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IF</w:t>
      </w:r>
      <w:r>
        <w:rPr>
          <w:rFonts w:ascii="Inter" w:hAnsi="Inter" w:cs="Inter"/>
          <w:b w:val="0"/>
          <w:i/>
          <w:color w:val="2D2D2D"/>
          <w:sz w:val="22"/>
        </w:rPr>
        <w:t xml:space="preserve"> the OBC Needs Database is operational and populated with systematic community profiling data, </w:t>
      </w:r>
      <w:r>
        <w:rPr>
          <w:rFonts w:ascii="Inter" w:hAnsi="Inter" w:cs="Inter"/>
          <w:b/>
          <w:i w:val="0"/>
          <w:color w:val="2D2D2D"/>
          <w:sz w:val="22"/>
        </w:rPr>
        <w:t>THEN</w:t>
      </w:r>
      <w:r>
        <w:rPr>
          <w:rFonts w:ascii="Inter" w:hAnsi="Inter" w:cs="Inter"/>
          <w:b w:val="0"/>
          <w:i/>
          <w:color w:val="2D2D2D"/>
          <w:sz w:val="22"/>
        </w:rPr>
        <w:t xml:space="preserve"> comprehensive OBC data will guide evidence-based planning and enable targeted service delivery, </w:t>
      </w:r>
      <w:r>
        <w:rPr>
          <w:rFonts w:ascii="Inter" w:hAnsi="Inter" w:cs="Inter"/>
          <w:b/>
          <w:i w:val="0"/>
          <w:color w:val="2D2D2D"/>
          <w:sz w:val="22"/>
        </w:rPr>
        <w:t>BECAUSE</w:t>
      </w:r>
      <w:r>
        <w:rPr>
          <w:rFonts w:ascii="Inter" w:hAnsi="Inter" w:cs="Inter"/>
          <w:b w:val="0"/>
          <w:i/>
          <w:color w:val="2D2D2D"/>
          <w:sz w:val="22"/>
        </w:rPr>
        <w:t xml:space="preserve"> planners and coordinators with access to accurate, current, and comprehensive community data can identify needs, prioritize interventions, and direct services to the communities that need them most --- replacing the ad hoc, anecdotal approach that results from having no unified data system.</w:t>
      </w:r>
    </w:p>
    <w:p>
      <w:pPr>
        <w:spacing w:after="120" w:line="276" w:lineRule="auto"/>
      </w:pPr>
      <w:r>
        <w:rPr>
          <w:rFonts w:ascii="Inter" w:hAnsi="Inter" w:cs="Inter"/>
          <w:b w:val="0"/>
          <w:i w:val="0"/>
          <w:color w:val="2D2D2D"/>
          <w:sz w:val="22"/>
        </w:rPr>
      </w:r>
      <w:r>
        <w:rPr>
          <w:rFonts w:ascii="Inter" w:hAnsi="Inter" w:cs="Inter"/>
          <w:b/>
          <w:i w:val="0"/>
          <w:color w:val="2D2D2D"/>
          <w:sz w:val="22"/>
        </w:rPr>
        <w:t>Assumptions:</w:t>
      </w:r>
      <w:r>
        <w:rPr>
          <w:rFonts w:ascii="Inter" w:hAnsi="Inter" w:cs="Inter"/>
          <w:b w:val="0"/>
          <w:i w:val="0"/>
          <w:color w:val="2D2D2D"/>
          <w:sz w:val="22"/>
        </w:rPr>
      </w:r>
    </w:p>
    <w:p>
      <w:pPr>
        <w:pStyle w:val="ListBullet"/>
      </w:pPr>
      <w:r>
        <w:rPr>
          <w:rFonts w:ascii="Inter" w:hAnsi="Inter" w:cs="Inter"/>
          <w:b w:val="0"/>
          <w:i w:val="0"/>
          <w:color w:val="2D2D2D"/>
          <w:sz w:val="22"/>
        </w:rPr>
        <w:t>Communities are accessible and willing to participate in profiling activities (community cooperation assumption).</w:t>
      </w:r>
    </w:p>
    <w:p>
      <w:pPr>
        <w:pStyle w:val="ListBullet"/>
      </w:pPr>
      <w:r>
        <w:rPr>
          <w:rFonts w:ascii="Inter" w:hAnsi="Inter" w:cs="Inter"/>
          <w:b w:val="0"/>
          <w:i w:val="0"/>
          <w:color w:val="2D2D2D"/>
          <w:sz w:val="22"/>
        </w:rPr>
        <w:t>OOBC staff conduct regular field visits to update and verify community data (implementation assumption).</w:t>
      </w:r>
    </w:p>
    <w:p>
      <w:pPr>
        <w:pStyle w:val="ListBullet"/>
      </w:pPr>
      <w:r>
        <w:rPr>
          <w:rFonts w:ascii="Inter" w:hAnsi="Inter" w:cs="Inter"/>
          <w:b w:val="0"/>
          <w:i w:val="0"/>
          <w:color w:val="2D2D2D"/>
          <w:sz w:val="22"/>
        </w:rPr>
        <w:t>BARMM ministries and partner agencies use the data products OOBC provides in their own programming and planning (uptake assumption).</w:t>
      </w:r>
    </w:p>
    <w:p>
      <w:pPr>
        <w:spacing w:after="120" w:line="276" w:lineRule="auto"/>
      </w:pPr>
      <w:r>
        <w:rPr>
          <w:rFonts w:ascii="Inter" w:hAnsi="Inter" w:cs="Inter"/>
          <w:b w:val="0"/>
          <w:i w:val="0"/>
          <w:color w:val="2D2D2D"/>
          <w:sz w:val="22"/>
        </w:rPr>
      </w:r>
      <w:r>
        <w:rPr>
          <w:rFonts w:ascii="Inter" w:hAnsi="Inter" w:cs="Inter"/>
          <w:b/>
          <w:i w:val="0"/>
          <w:color w:val="2D2D2D"/>
          <w:sz w:val="22"/>
        </w:rPr>
        <w:t>Pathway 3: Medium-Term Outcomes 2 and 3 to Impact</w:t>
      </w:r>
      <w:r>
        <w:rPr>
          <w:rFonts w:ascii="Inter" w:hAnsi="Inter" w:cs="Inter"/>
          <w:b w:val="0"/>
          <w:i w:val="0"/>
          <w:color w:val="2D2D2D"/>
          <w:sz w:val="22"/>
        </w:rPr>
      </w:r>
    </w:p>
    <w:p>
      <w:pPr>
        <w:spacing w:after="120" w:line="276" w:lineRule="auto"/>
        <w:ind w:left="850"/>
      </w:pPr>
      <w:r>
        <w:rPr>
          <w:rFonts w:ascii="Inter" w:hAnsi="Inter" w:cs="Inter"/>
          <w:b w:val="0"/>
          <w:i/>
          <w:color w:val="2D2D2D"/>
          <w:sz w:val="22"/>
        </w:rPr>
      </w:r>
      <w:r>
        <w:rPr>
          <w:rFonts w:ascii="Inter" w:hAnsi="Inter" w:cs="Inter"/>
          <w:b/>
          <w:i w:val="0"/>
          <w:color w:val="2D2D2D"/>
          <w:sz w:val="22"/>
        </w:rPr>
        <w:t>IF</w:t>
      </w:r>
      <w:r>
        <w:rPr>
          <w:rFonts w:ascii="Inter" w:hAnsi="Inter" w:cs="Inter"/>
          <w:b w:val="0"/>
          <w:i/>
          <w:color w:val="2D2D2D"/>
          <w:sz w:val="22"/>
        </w:rPr>
        <w:t xml:space="preserve"> comprehensive OBC data guides evidence-based planning AND effective coordination mechanisms with LGUs, NGAs, and ministries enable consistent service delivery, </w:t>
      </w:r>
      <w:r>
        <w:rPr>
          <w:rFonts w:ascii="Inter" w:hAnsi="Inter" w:cs="Inter"/>
          <w:b/>
          <w:i w:val="0"/>
          <w:color w:val="2D2D2D"/>
          <w:sz w:val="22"/>
        </w:rPr>
        <w:t>THEN</w:t>
      </w:r>
      <w:r>
        <w:rPr>
          <w:rFonts w:ascii="Inter" w:hAnsi="Inter" w:cs="Inter"/>
          <w:b w:val="0"/>
          <w:i/>
          <w:color w:val="2D2D2D"/>
          <w:sz w:val="22"/>
        </w:rPr>
        <w:t xml:space="preserve"> Bangsamoro communities outside BARMM will be fully included in regional development and enjoy equitable access to services, </w:t>
      </w:r>
      <w:r>
        <w:rPr>
          <w:rFonts w:ascii="Inter" w:hAnsi="Inter" w:cs="Inter"/>
          <w:b/>
          <w:i w:val="0"/>
          <w:color w:val="2D2D2D"/>
          <w:sz w:val="22"/>
        </w:rPr>
        <w:t>BECAUSE</w:t>
      </w:r>
      <w:r>
        <w:rPr>
          <w:rFonts w:ascii="Inter" w:hAnsi="Inter" w:cs="Inter"/>
          <w:b w:val="0"/>
          <w:i/>
          <w:color w:val="2D2D2D"/>
          <w:sz w:val="22"/>
        </w:rPr>
        <w:t xml:space="preserve"> data-driven coordination ensures that services reach dispersed communities rather than concentrating in areas closer to BARMM's core territory, and formalized agreements create institutional commitments that survive changes in personnel and political leadership.</w:t>
      </w:r>
    </w:p>
    <w:p>
      <w:pPr>
        <w:spacing w:after="120" w:line="276" w:lineRule="auto"/>
      </w:pPr>
      <w:r>
        <w:rPr>
          <w:rFonts w:ascii="Inter" w:hAnsi="Inter" w:cs="Inter"/>
          <w:b w:val="0"/>
          <w:i w:val="0"/>
          <w:color w:val="2D2D2D"/>
          <w:sz w:val="22"/>
        </w:rPr>
      </w:r>
      <w:r>
        <w:rPr>
          <w:rFonts w:ascii="Inter" w:hAnsi="Inter" w:cs="Inter"/>
          <w:b/>
          <w:i w:val="0"/>
          <w:color w:val="2D2D2D"/>
          <w:sz w:val="22"/>
        </w:rPr>
        <w:t>Assumptions:</w:t>
      </w:r>
      <w:r>
        <w:rPr>
          <w:rFonts w:ascii="Inter" w:hAnsi="Inter" w:cs="Inter"/>
          <w:b w:val="0"/>
          <w:i w:val="0"/>
          <w:color w:val="2D2D2D"/>
          <w:sz w:val="22"/>
        </w:rPr>
      </w:r>
    </w:p>
    <w:p>
      <w:pPr>
        <w:pStyle w:val="ListBullet"/>
      </w:pPr>
      <w:r>
        <w:rPr>
          <w:rFonts w:ascii="Inter" w:hAnsi="Inter" w:cs="Inter"/>
          <w:b w:val="0"/>
          <w:i w:val="0"/>
          <w:color w:val="2D2D2D"/>
          <w:sz w:val="22"/>
        </w:rPr>
        <w:t>Political support for the OBC agenda is sustained across administration changes (political sustainability assumption).</w:t>
      </w:r>
    </w:p>
    <w:p>
      <w:pPr>
        <w:pStyle w:val="ListBullet"/>
      </w:pPr>
      <w:r>
        <w:rPr>
          <w:rFonts w:ascii="Inter" w:hAnsi="Inter" w:cs="Inter"/>
          <w:b w:val="0"/>
          <w:i w:val="0"/>
          <w:color w:val="2D2D2D"/>
          <w:sz w:val="22"/>
        </w:rPr>
        <w:t>LGUs and NGAs are willing to formalize and honor coordination agreements with OOBC (partnership assumption).</w:t>
      </w:r>
    </w:p>
    <w:p>
      <w:pPr>
        <w:pStyle w:val="ListBullet"/>
      </w:pPr>
      <w:r>
        <w:rPr>
          <w:rFonts w:ascii="Inter" w:hAnsi="Inter" w:cs="Inter"/>
          <w:b w:val="0"/>
          <w:i w:val="0"/>
          <w:color w:val="2D2D2D"/>
          <w:sz w:val="22"/>
        </w:rPr>
        <w:t>Adequate funding is maintained for OOBC operations and service delivery coordination over the planning period (fiscal assumption).</w:t>
      </w:r>
    </w:p>
    <w:p>
      <w:pPr>
        <w:pStyle w:val="Heading3"/>
      </w:pPr>
      <w:r>
        <w:rPr>
          <w:rFonts w:ascii="Inter" w:hAnsi="Inter" w:cs="Inter"/>
          <w:b/>
          <w:i w:val="0"/>
          <w:color w:val="2C5F7C"/>
          <w:sz w:val="26"/>
        </w:rPr>
        <w:t>Partial Theory of Change Narrative</w:t>
      </w:r>
    </w:p>
    <w:p>
      <w:pPr>
        <w:spacing w:after="120" w:line="276" w:lineRule="auto"/>
      </w:pPr>
      <w:r>
        <w:rPr>
          <w:rFonts w:ascii="Inter" w:hAnsi="Inter" w:cs="Inter"/>
          <w:b w:val="0"/>
          <w:i w:val="0"/>
          <w:color w:val="2D2D2D"/>
          <w:sz w:val="22"/>
        </w:rPr>
        <w:t>*The following illustrates the narrative style for OOBC's ToC. A complete narrative would be one to two pages.*</w:t>
      </w:r>
    </w:p>
    <w:p>
      <w:pPr>
        <w:spacing w:after="120" w:line="276" w:lineRule="auto"/>
      </w:pPr>
      <w:r>
        <w:rPr>
          <w:rFonts w:ascii="Inter" w:hAnsi="Inter" w:cs="Inter"/>
          <w:b w:val="0"/>
          <w:i w:val="0"/>
          <w:color w:val="2D2D2D"/>
          <w:sz w:val="22"/>
        </w:rPr>
        <w:t>OOBC's Theory of Change rests on the premise that equitable inclusion of Bangsamoro communities outside the BARMM core territory requires three preconditions, built in sequence: institutional capacity, comprehensive data, and effective coordination. Without internal capacity --- functional systems, trained staff, and operational processes --- OOBC cannot perform its mandate. Without comprehensive data on OBC communities --- their locations, needs, service gaps, and conditions --- OOBC cannot plan or advocate with evidence. And without formalized coordination mechanisms with LGUs, NGAs, and BARMM ministries, even good data and capable staff cannot translate into actual service delivery for dispersed communities.</w:t>
      </w:r>
    </w:p>
    <w:p>
      <w:pPr>
        <w:spacing w:after="120" w:line="276" w:lineRule="auto"/>
      </w:pPr>
      <w:r>
        <w:rPr>
          <w:rFonts w:ascii="Inter" w:hAnsi="Inter" w:cs="Inter"/>
          <w:b w:val="0"/>
          <w:i w:val="0"/>
          <w:color w:val="2D2D2D"/>
          <w:sz w:val="22"/>
        </w:rPr>
        <w:t>The office's theory is that building these three pillars in sequence creates a compounding effect. A functional database enables evidence-based advocacy. Evidence-based advocacy strengthens the case for coordination agreements. Formalized coordination agreements create institutional channels through which services can flow. And documented service delivery outcomes --- tracked through the same database --- provide the accountability data that sustains political support and justifies continued investment.</w:t>
      </w:r>
    </w:p>
    <w:p>
      <w:pPr>
        <w:spacing w:after="120" w:line="276" w:lineRule="auto"/>
      </w:pPr>
      <w:r>
        <w:rPr>
          <w:rFonts w:ascii="Inter" w:hAnsi="Inter" w:cs="Inter"/>
          <w:b w:val="0"/>
          <w:i w:val="0"/>
          <w:color w:val="2D2D2D"/>
          <w:sz w:val="22"/>
        </w:rPr>
        <w:t>This theory depends on several critical assumptions. First, that OOBC receives timely and adequate budget releases --- a significant concern given the office's documented experience with delayed fund releases and limited fiscal autonomy. Second, that LGUs and NGAs in provinces with OBC populations are willing to enter into and honor coordination agreements --- a condition OOBC can cultivate but not compel. Third, that political support for the OBC agenda is sustained through potential changes in administration --- which requires OOBC to demonstrate measurable results that make the case for continued support. If the first assumption fails, system development and field operations stall. If the second fails, OOBC remains a coordinating office without coordination partners. If the third fails, the institutional foundation for OBC inclusion erodes. Each of these risks has a mitigation strategy embedded in OOBC's program design...</w:t>
      </w:r>
    </w:p>
    <w:p>
      <w:pPr>
        <w:pStyle w:val="Heading2"/>
      </w:pPr>
      <w:r>
        <w:rPr>
          <w:rFonts w:ascii="Inter" w:hAnsi="Inter" w:cs="Inter"/>
          <w:b/>
          <w:i w:val="0"/>
          <w:color w:val="1B365D"/>
          <w:sz w:val="32"/>
        </w:rPr>
        <w:t>7.5 For Decision-Makers</w:t>
      </w:r>
    </w:p>
    <w:p>
      <w:pPr>
        <w:spacing w:after="120" w:line="276" w:lineRule="auto"/>
      </w:pPr>
      <w:r>
        <w:rPr>
          <w:rFonts w:ascii="Inter" w:hAnsi="Inter" w:cs="Inter"/>
          <w:b w:val="0"/>
          <w:i w:val="0"/>
          <w:color w:val="2D2D2D"/>
          <w:sz w:val="22"/>
        </w:rPr>
        <w:t>The Theory of Change is the plan's intellectual foundation. If the causal logic is wrong, the plan will fail regardless of how well it is managed.</w:t>
      </w:r>
    </w:p>
    <w:p>
      <w:pPr>
        <w:spacing w:after="120" w:line="276" w:lineRule="auto"/>
      </w:pPr>
      <w:r>
        <w:rPr>
          <w:rFonts w:ascii="Inter" w:hAnsi="Inter" w:cs="Inter"/>
          <w:b w:val="0"/>
          <w:i w:val="0"/>
          <w:color w:val="2D2D2D"/>
          <w:sz w:val="22"/>
        </w:rPr>
        <w:t>As a leader reviewing a ToC, your role is not to approve the format but to challenge the thinking. Three questions matter:</w:t>
      </w:r>
    </w:p>
    <w:p>
      <w:pPr>
        <w:spacing w:after="120" w:line="276" w:lineRule="auto"/>
      </w:pPr>
      <w:r>
        <w:rPr>
          <w:rFonts w:ascii="Inter" w:hAnsi="Inter" w:cs="Inter"/>
          <w:b w:val="0"/>
          <w:i w:val="0"/>
          <w:color w:val="2D2D2D"/>
          <w:sz w:val="22"/>
        </w:rPr>
      </w:r>
      <w:r>
        <w:rPr>
          <w:rFonts w:ascii="Inter" w:hAnsi="Inter" w:cs="Inter"/>
          <w:b/>
          <w:i w:val="0"/>
          <w:color w:val="2D2D2D"/>
          <w:sz w:val="22"/>
        </w:rPr>
        <w:t>First, is the causal logic credible?</w:t>
      </w:r>
      <w:r>
        <w:rPr>
          <w:rFonts w:ascii="Inter" w:hAnsi="Inter" w:cs="Inter"/>
          <w:b w:val="0"/>
          <w:i w:val="0"/>
          <w:color w:val="2D2D2D"/>
          <w:sz w:val="22"/>
        </w:rPr>
        <w:t xml:space="preserve"> Read each "if...then...because" statement and ask whether the mechanism makes sense. Would this logic hold up under scrutiny from Parliament, from BPDA, from development partners, from the communities your MOA serves? If a causal pathway depends on an assumption that "people will change their behavior because we told them to," that pathway is weak and needs strengthening.</w:t>
      </w:r>
    </w:p>
    <w:p>
      <w:pPr>
        <w:spacing w:after="120" w:line="276" w:lineRule="auto"/>
      </w:pPr>
      <w:r>
        <w:rPr>
          <w:rFonts w:ascii="Inter" w:hAnsi="Inter" w:cs="Inter"/>
          <w:b w:val="0"/>
          <w:i w:val="0"/>
          <w:color w:val="2D2D2D"/>
          <w:sz w:val="22"/>
        </w:rPr>
      </w:r>
      <w:r>
        <w:rPr>
          <w:rFonts w:ascii="Inter" w:hAnsi="Inter" w:cs="Inter"/>
          <w:b/>
          <w:i w:val="0"/>
          <w:color w:val="2D2D2D"/>
          <w:sz w:val="22"/>
        </w:rPr>
        <w:t>Second, what are the most critical assumptions --- and what happens if they fail?</w:t>
      </w:r>
      <w:r>
        <w:rPr>
          <w:rFonts w:ascii="Inter" w:hAnsi="Inter" w:cs="Inter"/>
          <w:b w:val="0"/>
          <w:i w:val="0"/>
          <w:color w:val="2D2D2D"/>
          <w:sz w:val="22"/>
        </w:rPr>
        <w:t xml:space="preserve"> Every ToC has assumptions that are so fundamental that, if they fail, the entire plan is at risk. These are the assumptions worth your attention. Ask your planning team: *If this assumption does not hold, what is your contingency plan?* If the answer is "we don't have one," that is a problem to solve before the plan is submitted.</w:t>
      </w:r>
    </w:p>
    <w:p>
      <w:pPr>
        <w:spacing w:after="120" w:line="276" w:lineRule="auto"/>
      </w:pPr>
      <w:r>
        <w:rPr>
          <w:rFonts w:ascii="Inter" w:hAnsi="Inter" w:cs="Inter"/>
          <w:b w:val="0"/>
          <w:i w:val="0"/>
          <w:color w:val="2D2D2D"/>
          <w:sz w:val="22"/>
        </w:rPr>
      </w:r>
      <w:r>
        <w:rPr>
          <w:rFonts w:ascii="Inter" w:hAnsi="Inter" w:cs="Inter"/>
          <w:b/>
          <w:i w:val="0"/>
          <w:color w:val="2D2D2D"/>
          <w:sz w:val="22"/>
        </w:rPr>
        <w:t>Third, is the ToC honest about what your MOA controls and what it does not?</w:t>
      </w:r>
      <w:r>
        <w:rPr>
          <w:rFonts w:ascii="Inter" w:hAnsi="Inter" w:cs="Inter"/>
          <w:b w:val="0"/>
          <w:i w:val="0"/>
          <w:color w:val="2D2D2D"/>
          <w:sz w:val="22"/>
        </w:rPr>
        <w:t xml:space="preserve"> Many ToCs claim direct causation for results that are, at best, contributory. Your MOA may contribute to reduced deforestation, but it does not control all the factors that determine deforestation rates. A credible ToC acknowledges the limits of your MOA's influence and is honest about where impact depends on factors beyond your control.</w:t>
      </w:r>
    </w:p>
    <w:p>
      <w:pPr>
        <w:spacing w:after="120" w:line="276" w:lineRule="auto"/>
      </w:pPr>
      <w:r>
        <w:rPr>
          <w:rFonts w:ascii="Inter" w:hAnsi="Inter" w:cs="Inter"/>
          <w:b w:val="0"/>
          <w:i w:val="0"/>
          <w:color w:val="2D2D2D"/>
          <w:sz w:val="22"/>
        </w:rPr>
        <w:t>The ToC is also a communication tool. When you present your strategic plan to Parliament, to the Chief Minister, or to development partners, the Theory of Change is the most compelling section --- because it explains not just what you plan to do but *why you believe it will work*. A minister who can articulate the causal logic behind the plan demonstrates mastery of the sector, not just management of the budget.</w:t>
      </w:r>
    </w:p>
    <w:p>
      <w:pPr>
        <w:pStyle w:val="Heading2"/>
      </w:pPr>
      <w:r>
        <w:rPr>
          <w:rFonts w:ascii="Inter" w:hAnsi="Inter" w:cs="Inter"/>
          <w:b/>
          <w:i w:val="0"/>
          <w:color w:val="1B365D"/>
          <w:sz w:val="32"/>
        </w:rPr>
        <w:t>7.6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Confusing outputs with outcomes.</w:t>
      </w:r>
      <w:r>
        <w:rPr>
          <w:rFonts w:ascii="Inter" w:hAnsi="Inter" w:cs="Inter"/>
          <w:b w:val="0"/>
          <w:i w:val="0"/>
          <w:color w:val="2D2D2D"/>
          <w:sz w:val="22"/>
        </w:rPr>
        <w:t xml:space="preserve"> This is the most common error. Building a school is an output. Improved literacy is an outcome. Distributing textbooks is an output. Students reading at grade level is an outcome. If your results chain shows only activities and outputs with no behavioral or systemic change, you have an implementation plan, not a Theory of Change. Apply the "so what?" test: if you delivered all your outputs, *so what?* What changes in people's lives?</w:t>
      </w:r>
    </w:p>
    <w:p>
      <w:pPr>
        <w:spacing w:after="120" w:line="276" w:lineRule="auto"/>
      </w:pPr>
      <w:r>
        <w:rPr>
          <w:rFonts w:ascii="Inter" w:hAnsi="Inter" w:cs="Inter"/>
          <w:b w:val="0"/>
          <w:i w:val="0"/>
          <w:color w:val="2D2D2D"/>
          <w:sz w:val="22"/>
        </w:rPr>
      </w:r>
      <w:r>
        <w:rPr>
          <w:rFonts w:ascii="Inter" w:hAnsi="Inter" w:cs="Inter"/>
          <w:b/>
          <w:i w:val="0"/>
          <w:color w:val="2D2D2D"/>
          <w:sz w:val="22"/>
        </w:rPr>
        <w:t>Assuming direct causation without evidence.</w:t>
      </w:r>
      <w:r>
        <w:rPr>
          <w:rFonts w:ascii="Inter" w:hAnsi="Inter" w:cs="Inter"/>
          <w:b w:val="0"/>
          <w:i w:val="0"/>
          <w:color w:val="2D2D2D"/>
          <w:sz w:val="22"/>
        </w:rPr>
        <w:t xml:space="preserve"> Training 500 farmers does not automatically produce improved agricultural productivity. The pathway between training and productivity depends on multiple intermediate steps --- adoption of techniques, access to inputs, favorable weather, market conditions. If your ToC asserts direct causation ("we train, therefore productivity improves") without identifying these steps, your logic is incomplete. Ask: *What has to happen between the output and the outcome?*</w:t>
      </w:r>
    </w:p>
    <w:p>
      <w:pPr>
        <w:spacing w:after="120" w:line="276" w:lineRule="auto"/>
      </w:pPr>
      <w:r>
        <w:rPr>
          <w:rFonts w:ascii="Inter" w:hAnsi="Inter" w:cs="Inter"/>
          <w:b w:val="0"/>
          <w:i w:val="0"/>
          <w:color w:val="2D2D2D"/>
          <w:sz w:val="22"/>
        </w:rPr>
      </w:r>
      <w:r>
        <w:rPr>
          <w:rFonts w:ascii="Inter" w:hAnsi="Inter" w:cs="Inter"/>
          <w:b/>
          <w:i w:val="0"/>
          <w:color w:val="2D2D2D"/>
          <w:sz w:val="22"/>
        </w:rPr>
        <w:t>Listing assumptions that are actually activities.</w:t>
      </w:r>
      <w:r>
        <w:rPr>
          <w:rFonts w:ascii="Inter" w:hAnsi="Inter" w:cs="Inter"/>
          <w:b w:val="0"/>
          <w:i w:val="0"/>
          <w:color w:val="2D2D2D"/>
          <w:sz w:val="22"/>
        </w:rPr>
        <w:t xml:space="preserve"> "Staff will be trained" is an activity. "The Civil Service Commission approves plantilla positions" is an assumption. The difference is control: activities are things your MOA does; assumptions are conditions your MOA depends on but does not control. Review every assumption and ask: *Is this something we do, or something that must be true for what we do to work?*</w:t>
      </w:r>
    </w:p>
    <w:p>
      <w:pPr>
        <w:spacing w:after="120" w:line="276" w:lineRule="auto"/>
      </w:pPr>
      <w:r>
        <w:rPr>
          <w:rFonts w:ascii="Inter" w:hAnsi="Inter" w:cs="Inter"/>
          <w:b w:val="0"/>
          <w:i w:val="0"/>
          <w:color w:val="2D2D2D"/>
          <w:sz w:val="22"/>
        </w:rPr>
      </w:r>
      <w:r>
        <w:rPr>
          <w:rFonts w:ascii="Inter" w:hAnsi="Inter" w:cs="Inter"/>
          <w:b/>
          <w:i w:val="0"/>
          <w:color w:val="2D2D2D"/>
          <w:sz w:val="22"/>
        </w:rPr>
        <w:t>Making the ToC so complex it becomes unusable.</w:t>
      </w:r>
      <w:r>
        <w:rPr>
          <w:rFonts w:ascii="Inter" w:hAnsi="Inter" w:cs="Inter"/>
          <w:b w:val="0"/>
          <w:i w:val="0"/>
          <w:color w:val="2D2D2D"/>
          <w:sz w:val="22"/>
        </w:rPr>
        <w:t xml:space="preserve"> A Theory of Change with 50 results, 80 pathways, and 120 assumptions is theoretically rigorous and practically useless. No one will read it, reference it, or use it for decision-making. Keep the diagram to one page. Limit yourself to two to three medium-term outcomes, each with two to three short-term outcomes. Use the narrative for nuance and detail. A ToC that fits on one page and is understood by everyone is worth more than one that fills ten pages and is understood by no one.</w:t>
      </w:r>
    </w:p>
    <w:p>
      <w:pPr>
        <w:spacing w:after="120" w:line="276" w:lineRule="auto"/>
      </w:pPr>
      <w:r>
        <w:rPr>
          <w:rFonts w:ascii="Inter" w:hAnsi="Inter" w:cs="Inter"/>
          <w:b w:val="0"/>
          <w:i w:val="0"/>
          <w:color w:val="2D2D2D"/>
          <w:sz w:val="22"/>
        </w:rPr>
      </w:r>
      <w:r>
        <w:rPr>
          <w:rFonts w:ascii="Inter" w:hAnsi="Inter" w:cs="Inter"/>
          <w:b/>
          <w:i w:val="0"/>
          <w:color w:val="2D2D2D"/>
          <w:sz w:val="22"/>
        </w:rPr>
        <w:t>Skipping this chapter entirely.</w:t>
      </w:r>
      <w:r>
        <w:rPr>
          <w:rFonts w:ascii="Inter" w:hAnsi="Inter" w:cs="Inter"/>
          <w:b w:val="0"/>
          <w:i w:val="0"/>
          <w:color w:val="2D2D2D"/>
          <w:sz w:val="22"/>
        </w:rPr>
        <w:t xml:space="preserve"> Some planning teams view the ToC as an academic exercise and move directly from strategic direction (Chapter 6) to program design (Chapter 8). This produces a plan that lists what the MOA will do but never explains why those activities should produce the claimed results. BPDA reviewers, development partners, and Parliament members increasingly expect a coherent theory of change. More importantly, a plan without a ToC cannot be evaluated for effectiveness. You can measure whether activities were completed and outputs delivered, but you cannot assess whether the underlying logic was sound --- which means you learn nothing from failure.</w:t>
      </w:r>
    </w:p>
    <w:p>
      <w:pPr>
        <w:spacing w:after="120" w:line="276" w:lineRule="auto"/>
      </w:pPr>
      <w:r>
        <w:rPr>
          <w:rFonts w:ascii="Inter" w:hAnsi="Inter" w:cs="Inter"/>
          <w:b w:val="0"/>
          <w:i w:val="0"/>
          <w:color w:val="2D2D2D"/>
          <w:sz w:val="22"/>
        </w:rPr>
      </w:r>
      <w:r>
        <w:rPr>
          <w:rFonts w:ascii="Inter" w:hAnsi="Inter" w:cs="Inter"/>
          <w:b/>
          <w:i w:val="0"/>
          <w:color w:val="2D2D2D"/>
          <w:sz w:val="22"/>
        </w:rPr>
        <w:t>Writing the ToC after programs are already designed.</w:t>
      </w:r>
      <w:r>
        <w:rPr>
          <w:rFonts w:ascii="Inter" w:hAnsi="Inter" w:cs="Inter"/>
          <w:b w:val="0"/>
          <w:i w:val="0"/>
          <w:color w:val="2D2D2D"/>
          <w:sz w:val="22"/>
        </w:rPr>
        <w:t xml:space="preserve"> The Theory of Change should come *before* program design, not after. If you design your programs first and then reverse-engineer a ToC to justify them, you have defeated the purpose. The ToC is supposed to test whether your planned interventions will produce the desired change. If it is written after the fact, it becomes a rationalization rather than a design tool. The sequence matters: strategic direction (Chapter 6) establishes where you are going; the ToC (this chapter) maps how you get there; programs (Chapter 8) are the specific interventions that travel the pathways the ToC has mapped.</w:t>
      </w:r>
    </w:p>
    <w:p>
      <w:pPr>
        <w:pStyle w:val="Heading2"/>
      </w:pPr>
      <w:r>
        <w:rPr>
          <w:rFonts w:ascii="Inter" w:hAnsi="Inter" w:cs="Inter"/>
          <w:b/>
          <w:i w:val="0"/>
          <w:color w:val="1B365D"/>
          <w:sz w:val="32"/>
        </w:rPr>
        <w:t>7.7 Template: Theory of Change Diagram and Narrative</w:t>
      </w:r>
    </w:p>
    <w:p>
      <w:pPr>
        <w:pStyle w:val="Heading3"/>
      </w:pPr>
      <w:r>
        <w:rPr>
          <w:rFonts w:ascii="Inter" w:hAnsi="Inter" w:cs="Inter"/>
          <w:b/>
          <w:i w:val="0"/>
          <w:color w:val="2C5F7C"/>
          <w:sz w:val="26"/>
        </w:rPr>
        <w:t>Part A: Theory of Change Diagram</w:t>
      </w:r>
    </w:p>
    <w:p>
      <w:pPr>
        <w:spacing w:after="120" w:line="276" w:lineRule="auto"/>
      </w:pPr>
      <w:r>
        <w:rPr>
          <w:rFonts w:ascii="Inter" w:hAnsi="Inter" w:cs="Inter"/>
          <w:b w:val="0"/>
          <w:i w:val="0"/>
          <w:color w:val="2D2D2D"/>
          <w:sz w:val="22"/>
        </w:rPr>
        <w:t>*Instructions: Complete the table below, working from Impact (top) down to Inputs (bottom). For each level, state the result, the causal link to the level above, the key assumptions, and the risks. Add rows as needed. The OOBC example rows are provided in italics --- replace with your MOA's content.*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Level</w:t>
            </w:r>
          </w:p>
        </w:tc>
        <w:tc>
          <w:tcPr>
            <w:tcW w:type="dxa" w:w="1337"/>
            <w:shd w:fill="1B365D"/>
          </w:tcPr>
          <w:p>
            <w:r/>
            <w:r>
              <w:rPr>
                <w:rFonts w:ascii="Inter" w:hAnsi="Inter" w:cs="Inter"/>
                <w:b/>
                <w:i w:val="0"/>
                <w:color w:val="FFFFFF"/>
                <w:sz w:val="19"/>
              </w:rPr>
              <w:t>Code</w:t>
            </w:r>
          </w:p>
        </w:tc>
        <w:tc>
          <w:tcPr>
            <w:tcW w:type="dxa" w:w="1337"/>
            <w:shd w:fill="1B365D"/>
          </w:tcPr>
          <w:p>
            <w:r/>
            <w:r>
              <w:rPr>
                <w:rFonts w:ascii="Inter" w:hAnsi="Inter" w:cs="Inter"/>
                <w:b/>
                <w:i w:val="0"/>
                <w:color w:val="FFFFFF"/>
                <w:sz w:val="19"/>
              </w:rPr>
              <w:t>Result Statement</w:t>
            </w:r>
          </w:p>
        </w:tc>
        <w:tc>
          <w:tcPr>
            <w:tcW w:type="dxa" w:w="1337"/>
            <w:shd w:fill="1B365D"/>
          </w:tcPr>
          <w:p>
            <w:r/>
            <w:r>
              <w:rPr>
                <w:rFonts w:ascii="Inter" w:hAnsi="Inter" w:cs="Inter"/>
                <w:b/>
                <w:i w:val="0"/>
                <w:color w:val="FFFFFF"/>
                <w:sz w:val="19"/>
              </w:rPr>
              <w:t>Causal Link ("If...then...because")</w:t>
            </w:r>
          </w:p>
        </w:tc>
        <w:tc>
          <w:tcPr>
            <w:tcW w:type="dxa" w:w="1337"/>
            <w:shd w:fill="1B365D"/>
          </w:tcPr>
          <w:p>
            <w:r/>
            <w:r>
              <w:rPr>
                <w:rFonts w:ascii="Inter" w:hAnsi="Inter" w:cs="Inter"/>
                <w:b/>
                <w:i w:val="0"/>
                <w:color w:val="FFFFFF"/>
                <w:sz w:val="19"/>
              </w:rPr>
              <w:t>Key Assumptions</w:t>
            </w:r>
          </w:p>
        </w:tc>
        <w:tc>
          <w:tcPr>
            <w:tcW w:type="dxa" w:w="1337"/>
            <w:shd w:fill="1B365D"/>
          </w:tcPr>
          <w:p>
            <w:r/>
            <w:r>
              <w:rPr>
                <w:rFonts w:ascii="Inter" w:hAnsi="Inter" w:cs="Inter"/>
                <w:b/>
                <w:i w:val="0"/>
                <w:color w:val="FFFFFF"/>
                <w:sz w:val="19"/>
              </w:rPr>
              <w:t>Key Risks</w:t>
            </w:r>
          </w:p>
        </w:tc>
        <w:tc>
          <w:tcPr>
            <w:tcW w:type="dxa" w:w="1337"/>
            <w:shd w:fill="1B365D"/>
          </w:tcPr>
          <w:p>
            <w:r/>
            <w:r>
              <w:rPr>
                <w:rFonts w:ascii="Inter" w:hAnsi="Inter" w:cs="Inter"/>
                <w:b/>
                <w:i w:val="0"/>
                <w:color w:val="FFFFFF"/>
                <w:sz w:val="19"/>
              </w:rPr>
              <w:t>Risk Rating</w:t>
            </w:r>
          </w:p>
        </w:tc>
      </w:tr>
      <w:tr>
        <w:tc>
          <w:tcPr>
            <w:tcW w:type="dxa" w:w="1337"/>
          </w:tcPr>
          <w:p>
            <w:r/>
            <w:r>
              <w:rPr>
                <w:rFonts w:ascii="Inter" w:hAnsi="Inter" w:cs="Inter"/>
                <w:b w:val="0"/>
                <w:i w:val="0"/>
                <w:color w:val="2D2D2D"/>
                <w:sz w:val="19"/>
              </w:rPr>
              <w:t>**Impact**</w:t>
            </w:r>
          </w:p>
        </w:tc>
        <w:tc>
          <w:tcPr>
            <w:tcW w:type="dxa" w:w="1337"/>
          </w:tcPr>
          <w:p>
            <w:r/>
            <w:r>
              <w:rPr>
                <w:rFonts w:ascii="Inter" w:hAnsi="Inter" w:cs="Inter"/>
                <w:b w:val="0"/>
                <w:i w:val="0"/>
                <w:color w:val="2D2D2D"/>
                <w:sz w:val="19"/>
              </w:rPr>
              <w:t>IMP</w:t>
            </w:r>
          </w:p>
        </w:tc>
        <w:tc>
          <w:tcPr>
            <w:tcW w:type="dxa" w:w="1337"/>
          </w:tcPr>
          <w:p>
            <w:r/>
            <w:r>
              <w:rPr>
                <w:rFonts w:ascii="Inter" w:hAnsi="Inter" w:cs="Inter"/>
                <w:b w:val="0"/>
                <w:i w:val="0"/>
                <w:color w:val="2D2D2D"/>
                <w:sz w:val="19"/>
              </w:rPr>
              <w:t>*Bangsamoro communities outside BARMM are fully included in regional development and enjoy equitable access to services and opportunities.*</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r>
      <w:tr>
        <w:tc>
          <w:tcPr>
            <w:tcW w:type="dxa" w:w="1337"/>
            <w:shd w:fill="F0F3F6"/>
          </w:tcPr>
          <w:p>
            <w:r/>
            <w:r>
              <w:rPr>
                <w:rFonts w:ascii="Inter" w:hAnsi="Inter" w:cs="Inter"/>
                <w:b w:val="0"/>
                <w:i w:val="0"/>
                <w:color w:val="2D2D2D"/>
                <w:sz w:val="19"/>
              </w:rPr>
              <w:t>**Medium-Term Outcome**</w:t>
            </w:r>
          </w:p>
        </w:tc>
        <w:tc>
          <w:tcPr>
            <w:tcW w:type="dxa" w:w="1337"/>
            <w:shd w:fill="F0F3F6"/>
          </w:tcPr>
          <w:p>
            <w:r/>
            <w:r>
              <w:rPr>
                <w:rFonts w:ascii="Inter" w:hAnsi="Inter" w:cs="Inter"/>
                <w:b w:val="0"/>
                <w:i w:val="0"/>
                <w:color w:val="2D2D2D"/>
                <w:sz w:val="19"/>
              </w:rPr>
              <w:t>MT-O-1</w:t>
            </w:r>
          </w:p>
        </w:tc>
        <w:tc>
          <w:tcPr>
            <w:tcW w:type="dxa" w:w="1337"/>
            <w:shd w:fill="F0F3F6"/>
          </w:tcPr>
          <w:p>
            <w:r/>
            <w:r>
              <w:rPr>
                <w:rFonts w:ascii="Inter" w:hAnsi="Inter" w:cs="Inter"/>
                <w:b w:val="0"/>
                <w:i w:val="0"/>
                <w:color w:val="2D2D2D"/>
                <w:sz w:val="19"/>
              </w:rPr>
              <w:t>*OOBC has strong institutional capacity with functional systems and trained staff, enabling effective program delivery and coordination for OBCs.*</w:t>
            </w:r>
          </w:p>
        </w:tc>
        <w:tc>
          <w:tcPr>
            <w:tcW w:type="dxa" w:w="1337"/>
            <w:shd w:fill="F0F3F6"/>
          </w:tcPr>
          <w:p>
            <w:r/>
            <w:r>
              <w:rPr>
                <w:rFonts w:ascii="Inter" w:hAnsi="Inter" w:cs="Inter"/>
                <w:b w:val="0"/>
                <w:i w:val="0"/>
                <w:color w:val="2D2D2D"/>
                <w:sz w:val="19"/>
              </w:rPr>
              <w:t>*If a unified database and referral system are operational and staff are trained, then institutional capacity is established, because functional digital systems and competent staff replace fragmented manual processes.*</w:t>
            </w:r>
          </w:p>
        </w:tc>
        <w:tc>
          <w:tcPr>
            <w:tcW w:type="dxa" w:w="1337"/>
            <w:shd w:fill="F0F3F6"/>
          </w:tcPr>
          <w:p>
            <w:r/>
            <w:r>
              <w:rPr>
                <w:rFonts w:ascii="Inter" w:hAnsi="Inter" w:cs="Inter"/>
                <w:b w:val="0"/>
                <w:i w:val="0"/>
                <w:color w:val="2D2D2D"/>
                <w:sz w:val="19"/>
              </w:rPr>
              <w:t>*Budget releases are timely. IT infrastructure is sufficient.*</w:t>
            </w:r>
          </w:p>
        </w:tc>
        <w:tc>
          <w:tcPr>
            <w:tcW w:type="dxa" w:w="1337"/>
            <w:shd w:fill="F0F3F6"/>
          </w:tcPr>
          <w:p>
            <w:r/>
            <w:r>
              <w:rPr>
                <w:rFonts w:ascii="Inter" w:hAnsi="Inter" w:cs="Inter"/>
                <w:b w:val="0"/>
                <w:i w:val="0"/>
                <w:color w:val="2D2D2D"/>
                <w:sz w:val="19"/>
              </w:rPr>
              <w:t>*Delayed fund releases. Connectivity limitations in field offices.*</w:t>
            </w:r>
          </w:p>
        </w:tc>
        <w:tc>
          <w:tcPr>
            <w:tcW w:type="dxa" w:w="1337"/>
            <w:shd w:fill="F0F3F6"/>
          </w:tcPr>
          <w:p>
            <w:r/>
            <w:r>
              <w:rPr>
                <w:rFonts w:ascii="Inter" w:hAnsi="Inter" w:cs="Inter"/>
                <w:b w:val="0"/>
                <w:i w:val="0"/>
                <w:color w:val="2D2D2D"/>
                <w:sz w:val="19"/>
              </w:rPr>
              <w:t>Medium</w:t>
            </w:r>
          </w:p>
        </w:tc>
      </w:tr>
      <w:tr>
        <w:tc>
          <w:tcPr>
            <w:tcW w:type="dxa" w:w="1337"/>
          </w:tcPr>
          <w:p>
            <w:r/>
            <w:r>
              <w:rPr>
                <w:rFonts w:ascii="Inter" w:hAnsi="Inter" w:cs="Inter"/>
                <w:b w:val="0"/>
                <w:i w:val="0"/>
                <w:color w:val="2D2D2D"/>
                <w:sz w:val="19"/>
              </w:rPr>
              <w:t>**Short-Term Outcome**</w:t>
            </w:r>
          </w:p>
        </w:tc>
        <w:tc>
          <w:tcPr>
            <w:tcW w:type="dxa" w:w="1337"/>
          </w:tcPr>
          <w:p>
            <w:r/>
            <w:r>
              <w:rPr>
                <w:rFonts w:ascii="Inter" w:hAnsi="Inter" w:cs="Inter"/>
                <w:b w:val="0"/>
                <w:i w:val="0"/>
                <w:color w:val="2D2D2D"/>
                <w:sz w:val="19"/>
              </w:rPr>
              <w:t>ST-O-1.1</w:t>
            </w:r>
          </w:p>
        </w:tc>
        <w:tc>
          <w:tcPr>
            <w:tcW w:type="dxa" w:w="1337"/>
          </w:tcPr>
          <w:p>
            <w:r/>
            <w:r>
              <w:rPr>
                <w:rFonts w:ascii="Inter" w:hAnsi="Inter" w:cs="Inter"/>
                <w:b w:val="0"/>
                <w:i w:val="0"/>
                <w:color w:val="2D2D2D"/>
                <w:sz w:val="19"/>
              </w:rPr>
              <w:t>*A unified OBC Needs Database and PSRRS is operational and populated with community data.*</w:t>
            </w:r>
          </w:p>
        </w:tc>
        <w:tc>
          <w:tcPr>
            <w:tcW w:type="dxa" w:w="1337"/>
          </w:tcPr>
          <w:p>
            <w:r/>
            <w:r>
              <w:rPr>
                <w:rFonts w:ascii="Inter" w:hAnsi="Inter" w:cs="Inter"/>
                <w:b w:val="0"/>
                <w:i w:val="0"/>
                <w:color w:val="2D2D2D"/>
                <w:sz w:val="19"/>
              </w:rPr>
              <w:t>*If the database is developed and staff are trained in data management, then the system is operational and populated, because a purpose-built system with trained operators replaces fragmented manual records.*</w:t>
            </w:r>
          </w:p>
        </w:tc>
        <w:tc>
          <w:tcPr>
            <w:tcW w:type="dxa" w:w="1337"/>
          </w:tcPr>
          <w:p>
            <w:r/>
            <w:r>
              <w:rPr>
                <w:rFonts w:ascii="Inter" w:hAnsi="Inter" w:cs="Inter"/>
                <w:b w:val="0"/>
                <w:i w:val="0"/>
                <w:color w:val="2D2D2D"/>
                <w:sz w:val="19"/>
              </w:rPr>
              <w:t>*Adequate budget for system development. Existing manual data is recoverable.*</w:t>
            </w:r>
          </w:p>
        </w:tc>
        <w:tc>
          <w:tcPr>
            <w:tcW w:type="dxa" w:w="1337"/>
          </w:tcPr>
          <w:p>
            <w:r/>
            <w:r>
              <w:rPr>
                <w:rFonts w:ascii="Inter" w:hAnsi="Inter" w:cs="Inter"/>
                <w:b w:val="0"/>
                <w:i w:val="0"/>
                <w:color w:val="2D2D2D"/>
                <w:sz w:val="19"/>
              </w:rPr>
              <w:t>*Budget delays. Data quality from manual records is poor.*</w:t>
            </w:r>
          </w:p>
        </w:tc>
        <w:tc>
          <w:tcPr>
            <w:tcW w:type="dxa" w:w="1337"/>
          </w:tcPr>
          <w:p>
            <w:r/>
            <w:r>
              <w:rPr>
                <w:rFonts w:ascii="Inter" w:hAnsi="Inter" w:cs="Inter"/>
                <w:b w:val="0"/>
                <w:i w:val="0"/>
                <w:color w:val="2D2D2D"/>
                <w:sz w:val="19"/>
              </w:rPr>
              <w:t>Medium</w:t>
            </w:r>
          </w:p>
        </w:tc>
      </w:tr>
      <w:tr>
        <w:tc>
          <w:tcPr>
            <w:tcW w:type="dxa" w:w="1337"/>
            <w:shd w:fill="F0F3F6"/>
          </w:tcPr>
          <w:p>
            <w:r/>
            <w:r>
              <w:rPr>
                <w:rFonts w:ascii="Inter" w:hAnsi="Inter" w:cs="Inter"/>
                <w:b w:val="0"/>
                <w:i w:val="0"/>
                <w:color w:val="2D2D2D"/>
                <w:sz w:val="19"/>
              </w:rPr>
              <w:t>**Output**</w:t>
            </w:r>
          </w:p>
        </w:tc>
        <w:tc>
          <w:tcPr>
            <w:tcW w:type="dxa" w:w="1337"/>
            <w:shd w:fill="F0F3F6"/>
          </w:tcPr>
          <w:p>
            <w:r/>
            <w:r>
              <w:rPr>
                <w:rFonts w:ascii="Inter" w:hAnsi="Inter" w:cs="Inter"/>
                <w:b w:val="0"/>
                <w:i w:val="0"/>
                <w:color w:val="2D2D2D"/>
                <w:sz w:val="19"/>
              </w:rPr>
              <w:t>OUT-1.1.1</w:t>
            </w:r>
          </w:p>
        </w:tc>
        <w:tc>
          <w:tcPr>
            <w:tcW w:type="dxa" w:w="1337"/>
            <w:shd w:fill="F0F3F6"/>
          </w:tcPr>
          <w:p>
            <w:r/>
            <w:r>
              <w:rPr>
                <w:rFonts w:ascii="Inter" w:hAnsi="Inter" w:cs="Inter"/>
                <w:b w:val="0"/>
                <w:i w:val="0"/>
                <w:color w:val="2D2D2D"/>
                <w:sz w:val="19"/>
              </w:rPr>
              <w:t>*OBC Needs Database designed, developed, and deployed.*</w:t>
            </w:r>
          </w:p>
        </w:tc>
        <w:tc>
          <w:tcPr>
            <w:tcW w:type="dxa" w:w="1337"/>
            <w:shd w:fill="F0F3F6"/>
          </w:tcPr>
          <w:p>
            <w:r/>
            <w:r>
              <w:rPr>
                <w:rFonts w:ascii="Inter" w:hAnsi="Inter" w:cs="Inter"/>
                <w:b w:val="0"/>
                <w:i w:val="0"/>
                <w:color w:val="2D2D2D"/>
                <w:sz w:val="19"/>
              </w:rPr>
              <w:t>*If requirements analysis is completed and IT partner is secured, then database is developed, because technical expertise and defined requirements yield a functional system.*</w:t>
            </w:r>
          </w:p>
        </w:tc>
        <w:tc>
          <w:tcPr>
            <w:tcW w:type="dxa" w:w="1337"/>
            <w:shd w:fill="F0F3F6"/>
          </w:tcPr>
          <w:p>
            <w:r/>
            <w:r>
              <w:rPr>
                <w:rFonts w:ascii="Inter" w:hAnsi="Inter" w:cs="Inter"/>
                <w:b w:val="0"/>
                <w:i w:val="0"/>
                <w:color w:val="2D2D2D"/>
                <w:sz w:val="19"/>
              </w:rPr>
              <w:t>*BARMM DICT or external IT partner is available. Requirements are well-defined.*</w:t>
            </w:r>
          </w:p>
        </w:tc>
        <w:tc>
          <w:tcPr>
            <w:tcW w:type="dxa" w:w="1337"/>
            <w:shd w:fill="F0F3F6"/>
          </w:tcPr>
          <w:p>
            <w:r/>
            <w:r>
              <w:rPr>
                <w:rFonts w:ascii="Inter" w:hAnsi="Inter" w:cs="Inter"/>
                <w:b w:val="0"/>
                <w:i w:val="0"/>
                <w:color w:val="2D2D2D"/>
                <w:sz w:val="19"/>
              </w:rPr>
              <w:t>*IT partner delays or scope changes.*</w:t>
            </w:r>
          </w:p>
        </w:tc>
        <w:tc>
          <w:tcPr>
            <w:tcW w:type="dxa" w:w="1337"/>
            <w:shd w:fill="F0F3F6"/>
          </w:tcPr>
          <w:p>
            <w:r/>
            <w:r>
              <w:rPr>
                <w:rFonts w:ascii="Inter" w:hAnsi="Inter" w:cs="Inter"/>
                <w:b w:val="0"/>
                <w:i w:val="0"/>
                <w:color w:val="2D2D2D"/>
                <w:sz w:val="19"/>
              </w:rPr>
              <w:t>Low</w:t>
            </w:r>
          </w:p>
        </w:tc>
      </w:tr>
      <w:tr>
        <w:tc>
          <w:tcPr>
            <w:tcW w:type="dxa" w:w="1337"/>
          </w:tcPr>
          <w:p>
            <w:r/>
            <w:r>
              <w:rPr>
                <w:rFonts w:ascii="Inter" w:hAnsi="Inter" w:cs="Inter"/>
                <w:b w:val="0"/>
                <w:i w:val="0"/>
                <w:color w:val="2D2D2D"/>
                <w:sz w:val="19"/>
              </w:rPr>
              <w:t>**Output**</w:t>
            </w:r>
          </w:p>
        </w:tc>
        <w:tc>
          <w:tcPr>
            <w:tcW w:type="dxa" w:w="1337"/>
          </w:tcPr>
          <w:p>
            <w:r/>
            <w:r>
              <w:rPr>
                <w:rFonts w:ascii="Inter" w:hAnsi="Inter" w:cs="Inter"/>
                <w:b w:val="0"/>
                <w:i w:val="0"/>
                <w:color w:val="2D2D2D"/>
                <w:sz w:val="19"/>
              </w:rPr>
              <w:t>OUT-1.2.1</w:t>
            </w:r>
          </w:p>
        </w:tc>
        <w:tc>
          <w:tcPr>
            <w:tcW w:type="dxa" w:w="1337"/>
          </w:tcPr>
          <w:p>
            <w:r/>
            <w:r>
              <w:rPr>
                <w:rFonts w:ascii="Inter" w:hAnsi="Inter" w:cs="Inter"/>
                <w:b w:val="0"/>
                <w:i w:val="0"/>
                <w:color w:val="2D2D2D"/>
                <w:sz w:val="19"/>
              </w:rPr>
              <w:t>*25 OOBC staff trained in data management and community profiling procedures.*</w:t>
            </w:r>
          </w:p>
        </w:tc>
        <w:tc>
          <w:tcPr>
            <w:tcW w:type="dxa" w:w="1337"/>
          </w:tcPr>
          <w:p>
            <w:r/>
            <w:r>
              <w:rPr>
                <w:rFonts w:ascii="Inter" w:hAnsi="Inter" w:cs="Inter"/>
                <w:b w:val="0"/>
                <w:i w:val="0"/>
                <w:color w:val="2D2D2D"/>
                <w:sz w:val="19"/>
              </w:rPr>
              <w:t>*If training curriculum is developed and workshops delivered, then staff are trained, because structured learning with hands-on practicum builds competence.*</w:t>
            </w:r>
          </w:p>
        </w:tc>
        <w:tc>
          <w:tcPr>
            <w:tcW w:type="dxa" w:w="1337"/>
          </w:tcPr>
          <w:p>
            <w:r/>
            <w:r>
              <w:rPr>
                <w:rFonts w:ascii="Inter" w:hAnsi="Inter" w:cs="Inter"/>
                <w:b w:val="0"/>
                <w:i w:val="0"/>
                <w:color w:val="2D2D2D"/>
                <w:sz w:val="19"/>
              </w:rPr>
              <w:t>*All staff are available for training. Training materials are contextualized for OBC operations.*</w:t>
            </w:r>
          </w:p>
        </w:tc>
        <w:tc>
          <w:tcPr>
            <w:tcW w:type="dxa" w:w="1337"/>
          </w:tcPr>
          <w:p>
            <w:r/>
            <w:r>
              <w:rPr>
                <w:rFonts w:ascii="Inter" w:hAnsi="Inter" w:cs="Inter"/>
                <w:b w:val="0"/>
                <w:i w:val="0"/>
                <w:color w:val="2D2D2D"/>
                <w:sz w:val="19"/>
              </w:rPr>
              <w:t>*Staff unavailability due to field deployment schedules.*</w:t>
            </w:r>
          </w:p>
        </w:tc>
        <w:tc>
          <w:tcPr>
            <w:tcW w:type="dxa" w:w="1337"/>
          </w:tcPr>
          <w:p>
            <w:r/>
            <w:r>
              <w:rPr>
                <w:rFonts w:ascii="Inter" w:hAnsi="Inter" w:cs="Inter"/>
                <w:b w:val="0"/>
                <w:i w:val="0"/>
                <w:color w:val="2D2D2D"/>
                <w:sz w:val="19"/>
              </w:rPr>
              <w:t>Low</w:t>
            </w:r>
          </w:p>
        </w:tc>
      </w:tr>
      <w:tr>
        <w:tc>
          <w:tcPr>
            <w:tcW w:type="dxa" w:w="1337"/>
            <w:shd w:fill="F0F3F6"/>
          </w:tcPr>
          <w:p>
            <w:r/>
            <w:r>
              <w:rPr>
                <w:rFonts w:ascii="Inter" w:hAnsi="Inter" w:cs="Inter"/>
                <w:b w:val="0"/>
                <w:i w:val="0"/>
                <w:color w:val="2D2D2D"/>
                <w:sz w:val="19"/>
              </w:rPr>
              <w:t>**Activity**</w:t>
            </w:r>
          </w:p>
        </w:tc>
        <w:tc>
          <w:tcPr>
            <w:tcW w:type="dxa" w:w="1337"/>
            <w:shd w:fill="F0F3F6"/>
          </w:tcPr>
          <w:p>
            <w:r/>
            <w:r>
              <w:rPr>
                <w:rFonts w:ascii="Inter" w:hAnsi="Inter" w:cs="Inter"/>
                <w:b w:val="0"/>
                <w:i w:val="0"/>
                <w:color w:val="2D2D2D"/>
                <w:sz w:val="19"/>
              </w:rPr>
              <w:t>ACT-1.1.1a</w:t>
            </w:r>
          </w:p>
        </w:tc>
        <w:tc>
          <w:tcPr>
            <w:tcW w:type="dxa" w:w="1337"/>
            <w:shd w:fill="F0F3F6"/>
          </w:tcPr>
          <w:p>
            <w:r/>
            <w:r>
              <w:rPr>
                <w:rFonts w:ascii="Inter" w:hAnsi="Inter" w:cs="Inter"/>
                <w:b w:val="0"/>
                <w:i w:val="0"/>
                <w:color w:val="2D2D2D"/>
                <w:sz w:val="19"/>
              </w:rPr>
              <w:t>*Conduct needs assessment and requirements analysis for the OBC database.*</w:t>
            </w:r>
          </w:p>
        </w:tc>
        <w:tc>
          <w:tcPr>
            <w:tcW w:type="dxa" w:w="1337"/>
            <w:shd w:fill="F0F3F6"/>
          </w:tcPr>
          <w:p>
            <w:r/>
            <w:r>
              <w:rPr>
                <w:rFonts w:ascii="Inter" w:hAnsi="Inter" w:cs="Inter"/>
                <w:b w:val="0"/>
                <w:i w:val="0"/>
                <w:color w:val="2D2D2D"/>
                <w:sz w:val="19"/>
              </w:rPr>
              <w:t>*If budget is allocated and field staff are consulted, then requirements are defined, because practitioners who use the data daily can specify what the system must capture.*</w:t>
            </w:r>
          </w:p>
        </w:tc>
        <w:tc>
          <w:tcPr>
            <w:tcW w:type="dxa" w:w="1337"/>
            <w:shd w:fill="F0F3F6"/>
          </w:tcPr>
          <w:p>
            <w:r/>
            <w:r>
              <w:rPr>
                <w:rFonts w:ascii="Inter" w:hAnsi="Inter" w:cs="Inter"/>
                <w:b w:val="0"/>
                <w:i w:val="0"/>
                <w:color w:val="2D2D2D"/>
                <w:sz w:val="19"/>
              </w:rPr>
              <w:t>*Field staff participate in requirements workshops.*</w:t>
            </w:r>
          </w:p>
        </w:tc>
        <w:tc>
          <w:tcPr>
            <w:tcW w:type="dxa" w:w="1337"/>
            <w:shd w:fill="F0F3F6"/>
          </w:tcPr>
          <w:p>
            <w:r/>
            <w:r>
              <w:rPr>
                <w:rFonts w:ascii="Inter" w:hAnsi="Inter" w:cs="Inter"/>
                <w:b w:val="0"/>
                <w:i w:val="0"/>
                <w:color w:val="2D2D2D"/>
                <w:sz w:val="19"/>
              </w:rPr>
              <w:t>*Competing operational priorities limit staff availability.*</w:t>
            </w:r>
          </w:p>
        </w:tc>
        <w:tc>
          <w:tcPr>
            <w:tcW w:type="dxa" w:w="1337"/>
            <w:shd w:fill="F0F3F6"/>
          </w:tcPr>
          <w:p>
            <w:r/>
            <w:r>
              <w:rPr>
                <w:rFonts w:ascii="Inter" w:hAnsi="Inter" w:cs="Inter"/>
                <w:b w:val="0"/>
                <w:i w:val="0"/>
                <w:color w:val="2D2D2D"/>
                <w:sz w:val="19"/>
              </w:rPr>
              <w:t>Low</w:t>
            </w:r>
          </w:p>
        </w:tc>
      </w:tr>
      <w:tr>
        <w:tc>
          <w:tcPr>
            <w:tcW w:type="dxa" w:w="1337"/>
          </w:tcPr>
          <w:p>
            <w:r/>
            <w:r>
              <w:rPr>
                <w:rFonts w:ascii="Inter" w:hAnsi="Inter" w:cs="Inter"/>
                <w:b w:val="0"/>
                <w:i w:val="0"/>
                <w:color w:val="2D2D2D"/>
                <w:sz w:val="19"/>
              </w:rPr>
              <w:t>**Inputs**</w:t>
            </w:r>
          </w:p>
        </w:tc>
        <w:tc>
          <w:tcPr>
            <w:tcW w:type="dxa" w:w="1337"/>
          </w:tcPr>
          <w:p>
            <w:r/>
            <w:r>
              <w:rPr>
                <w:rFonts w:ascii="Inter" w:hAnsi="Inter" w:cs="Inter"/>
                <w:b w:val="0"/>
                <w:i w:val="0"/>
                <w:color w:val="2D2D2D"/>
                <w:sz w:val="19"/>
              </w:rPr>
              <w:t>INP-1.1.1</w:t>
            </w:r>
          </w:p>
        </w:tc>
        <w:tc>
          <w:tcPr>
            <w:tcW w:type="dxa" w:w="1337"/>
          </w:tcPr>
          <w:p>
            <w:r/>
            <w:r>
              <w:rPr>
                <w:rFonts w:ascii="Inter" w:hAnsi="Inter" w:cs="Inter"/>
                <w:b w:val="0"/>
                <w:i w:val="0"/>
                <w:color w:val="2D2D2D"/>
                <w:sz w:val="19"/>
              </w:rPr>
              <w:t>*PHP [X]M budget, 2 OOBC system administrators, 1 IT consultant, laptops/tablets for field data entry, server or cloud hosting.*</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r>
    </w:tbl>
    <w:p/>
    <w:p>
      <w:pPr>
        <w:spacing w:after="120" w:line="276" w:lineRule="auto"/>
      </w:pPr>
      <w:r>
        <w:rPr>
          <w:rFonts w:ascii="Inter" w:hAnsi="Inter" w:cs="Inter"/>
          <w:b w:val="0"/>
          <w:i w:val="0"/>
          <w:color w:val="2D2D2D"/>
          <w:sz w:val="22"/>
        </w:rPr>
        <w:t>*Add additional rows for each medium-term outcome, short-term outcome, output, and activity cluster in your results chain.*</w:t>
      </w:r>
    </w:p>
    <w:p>
      <w:pPr>
        <w:pStyle w:val="Heading3"/>
      </w:pPr>
      <w:r>
        <w:rPr>
          <w:rFonts w:ascii="Inter" w:hAnsi="Inter" w:cs="Inter"/>
          <w:b/>
          <w:i w:val="0"/>
          <w:color w:val="2C5F7C"/>
          <w:sz w:val="26"/>
        </w:rPr>
        <w:t>Part B: Theory of Change Narrative</w:t>
      </w:r>
    </w:p>
    <w:p>
      <w:pPr>
        <w:spacing w:after="120" w:line="276" w:lineRule="auto"/>
      </w:pPr>
      <w:r>
        <w:rPr>
          <w:rFonts w:ascii="Inter" w:hAnsi="Inter" w:cs="Inter"/>
          <w:b w:val="0"/>
          <w:i w:val="0"/>
          <w:color w:val="2D2D2D"/>
          <w:sz w:val="22"/>
        </w:rPr>
        <w:t>*Instructions: Write a one-to-two-page prose explanation of your Theory of Change. Use the structure below as a guide. The narrative should be readable by a non-specialist --- avoid jargon and explain your reasoning clearly.*</w:t>
      </w:r>
    </w:p>
    <w:p>
      <w:pPr>
        <w:spacing w:after="120" w:line="276" w:lineRule="auto"/>
      </w:pPr>
      <w:r>
        <w:rPr>
          <w:rFonts w:ascii="Inter" w:hAnsi="Inter" w:cs="Inter"/>
          <w:b w:val="0"/>
          <w:i w:val="0"/>
          <w:color w:val="2D2D2D"/>
          <w:sz w:val="22"/>
        </w:rPr>
      </w:r>
      <w:r>
        <w:rPr>
          <w:rFonts w:ascii="Inter" w:hAnsi="Inter" w:cs="Inter"/>
          <w:b/>
          <w:i w:val="0"/>
          <w:color w:val="2D2D2D"/>
          <w:sz w:val="22"/>
        </w:rPr>
        <w:t>Section 1: The Change We Seek</w:t>
      </w:r>
      <w:r>
        <w:rPr>
          <w:rFonts w:ascii="Inter" w:hAnsi="Inter" w:cs="Inter"/>
          <w:b w:val="0"/>
          <w:i w:val="0"/>
          <w:color w:val="2D2D2D"/>
          <w:sz w:val="22"/>
        </w:rPr>
        <w:t xml:space="preserve"> (1-2 paragraphs)</w:t>
      </w:r>
    </w:p>
    <w:p>
      <w:pPr>
        <w:spacing w:after="120" w:line="276" w:lineRule="auto"/>
      </w:pPr>
      <w:r>
        <w:rPr>
          <w:rFonts w:ascii="Inter" w:hAnsi="Inter" w:cs="Inter"/>
          <w:b w:val="0"/>
          <w:i w:val="0"/>
          <w:color w:val="2D2D2D"/>
          <w:sz w:val="22"/>
        </w:rPr>
        <w:t>Describe your MOA's impact statement. Explain what long-term change your MOA contributes to and why it matters for Bangsamoro communities. Connect to the BDP goal and Priority Agenda point.</w:t>
      </w:r>
    </w:p>
    <w:p>
      <w:pPr>
        <w:spacing w:after="120" w:line="276" w:lineRule="auto"/>
      </w:pPr>
      <w:r>
        <w:rPr>
          <w:rFonts w:ascii="Inter" w:hAnsi="Inter" w:cs="Inter"/>
          <w:b w:val="0"/>
          <w:i w:val="0"/>
          <w:color w:val="2D2D2D"/>
          <w:sz w:val="22"/>
        </w:rPr>
      </w:r>
      <w:r>
        <w:rPr>
          <w:rFonts w:ascii="Inter" w:hAnsi="Inter" w:cs="Inter"/>
          <w:b/>
          <w:i w:val="0"/>
          <w:color w:val="2D2D2D"/>
          <w:sz w:val="22"/>
        </w:rPr>
        <w:t>Section 2: Our Pathway to Change</w:t>
      </w:r>
      <w:r>
        <w:rPr>
          <w:rFonts w:ascii="Inter" w:hAnsi="Inter" w:cs="Inter"/>
          <w:b w:val="0"/>
          <w:i w:val="0"/>
          <w:color w:val="2D2D2D"/>
          <w:sz w:val="22"/>
        </w:rPr>
        <w:t xml:space="preserve"> (3-5 paragraphs)</w:t>
      </w:r>
    </w:p>
    <w:p>
      <w:pPr>
        <w:spacing w:after="120" w:line="276" w:lineRule="auto"/>
      </w:pPr>
      <w:r>
        <w:rPr>
          <w:rFonts w:ascii="Inter" w:hAnsi="Inter" w:cs="Inter"/>
          <w:b w:val="0"/>
          <w:i w:val="0"/>
          <w:color w:val="2D2D2D"/>
          <w:sz w:val="22"/>
        </w:rPr>
        <w:t>Walk through the results chain from medium-term outcomes down to key outputs and activities. For each level, explain the causal logic: why you believe this intervention will produce this result. Use "if...then...because" language in prose form. A reader should be able to follow the logic from activities through to impact without seeing the diagram.</w:t>
      </w:r>
    </w:p>
    <w:p>
      <w:pPr>
        <w:spacing w:after="120" w:line="276" w:lineRule="auto"/>
      </w:pPr>
      <w:r>
        <w:rPr>
          <w:rFonts w:ascii="Inter" w:hAnsi="Inter" w:cs="Inter"/>
          <w:b w:val="0"/>
          <w:i w:val="0"/>
          <w:color w:val="2D2D2D"/>
          <w:sz w:val="22"/>
        </w:rPr>
      </w:r>
      <w:r>
        <w:rPr>
          <w:rFonts w:ascii="Inter" w:hAnsi="Inter" w:cs="Inter"/>
          <w:b/>
          <w:i w:val="0"/>
          <w:color w:val="2D2D2D"/>
          <w:sz w:val="22"/>
        </w:rPr>
        <w:t>Section 3: Critical Assumptions</w:t>
      </w:r>
      <w:r>
        <w:rPr>
          <w:rFonts w:ascii="Inter" w:hAnsi="Inter" w:cs="Inter"/>
          <w:b w:val="0"/>
          <w:i w:val="0"/>
          <w:color w:val="2D2D2D"/>
          <w:sz w:val="22"/>
        </w:rPr>
        <w:t xml:space="preserve"> (1-2 paragraphs)</w:t>
      </w:r>
    </w:p>
    <w:p>
      <w:pPr>
        <w:spacing w:after="120" w:line="276" w:lineRule="auto"/>
      </w:pPr>
      <w:r>
        <w:rPr>
          <w:rFonts w:ascii="Inter" w:hAnsi="Inter" w:cs="Inter"/>
          <w:b w:val="0"/>
          <w:i w:val="0"/>
          <w:color w:val="2D2D2D"/>
          <w:sz w:val="22"/>
        </w:rPr>
        <w:t>Identify the two or three assumptions that are most critical to the plan's success. For each, explain what it means and why it matters. Be honest about which assumptions your MOA can influence and which are entirely external.</w:t>
      </w:r>
    </w:p>
    <w:p>
      <w:pPr>
        <w:spacing w:after="120" w:line="276" w:lineRule="auto"/>
      </w:pPr>
      <w:r>
        <w:rPr>
          <w:rFonts w:ascii="Inter" w:hAnsi="Inter" w:cs="Inter"/>
          <w:b w:val="0"/>
          <w:i w:val="0"/>
          <w:color w:val="2D2D2D"/>
          <w:sz w:val="22"/>
        </w:rPr>
      </w:r>
      <w:r>
        <w:rPr>
          <w:rFonts w:ascii="Inter" w:hAnsi="Inter" w:cs="Inter"/>
          <w:b/>
          <w:i w:val="0"/>
          <w:color w:val="2D2D2D"/>
          <w:sz w:val="22"/>
        </w:rPr>
        <w:t>Section 4: Key Risks and Our Response</w:t>
      </w:r>
      <w:r>
        <w:rPr>
          <w:rFonts w:ascii="Inter" w:hAnsi="Inter" w:cs="Inter"/>
          <w:b w:val="0"/>
          <w:i w:val="0"/>
          <w:color w:val="2D2D2D"/>
          <w:sz w:val="22"/>
        </w:rPr>
        <w:t xml:space="preserve"> (1-2 paragraphs)</w:t>
      </w:r>
    </w:p>
    <w:p>
      <w:pPr>
        <w:spacing w:after="120" w:line="276" w:lineRule="auto"/>
      </w:pPr>
      <w:r>
        <w:rPr>
          <w:rFonts w:ascii="Inter" w:hAnsi="Inter" w:cs="Inter"/>
          <w:b w:val="0"/>
          <w:i w:val="0"/>
          <w:color w:val="2D2D2D"/>
          <w:sz w:val="22"/>
        </w:rPr>
        <w:t>Describe the most significant risks to the causal pathways and the mitigation strategies your MOA will employ. Be specific --- "we will monitor and adapt" is not a mitigation strategy. "We will train cohorts of nine per province to ensure redundancy against staff turnover" is.</w:t>
      </w:r>
    </w:p>
    <w:p>
      <w:pPr>
        <w:spacing w:after="120" w:line="276" w:lineRule="auto"/>
      </w:pPr>
      <w:r>
        <w:rPr>
          <w:rFonts w:ascii="Inter" w:hAnsi="Inter" w:cs="Inter"/>
          <w:b w:val="0"/>
          <w:i w:val="0"/>
          <w:color w:val="2D2D2D"/>
          <w:sz w:val="22"/>
        </w:rPr>
      </w:r>
      <w:r>
        <w:rPr>
          <w:rFonts w:ascii="Inter" w:hAnsi="Inter" w:cs="Inter"/>
          <w:b/>
          <w:i w:val="0"/>
          <w:color w:val="2D2D2D"/>
          <w:sz w:val="22"/>
        </w:rPr>
        <w:t>Section 5: Evidence Base</w:t>
      </w:r>
      <w:r>
        <w:rPr>
          <w:rFonts w:ascii="Inter" w:hAnsi="Inter" w:cs="Inter"/>
          <w:b w:val="0"/>
          <w:i w:val="0"/>
          <w:color w:val="2D2D2D"/>
          <w:sz w:val="22"/>
        </w:rPr>
        <w:t xml:space="preserve"> (1 paragraph, optional but recommended)</w:t>
      </w:r>
    </w:p>
    <w:p>
      <w:pPr>
        <w:spacing w:after="120" w:line="276" w:lineRule="auto"/>
      </w:pPr>
      <w:r>
        <w:rPr>
          <w:rFonts w:ascii="Inter" w:hAnsi="Inter" w:cs="Inter"/>
          <w:b w:val="0"/>
          <w:i w:val="0"/>
          <w:color w:val="2D2D2D"/>
          <w:sz w:val="22"/>
        </w:rPr>
        <w:t>Cite any evidence that supports your causal logic: evaluations of similar programs in BARMM or elsewhere, research on the effectiveness of your chosen interventions, or lessons learned from your MOA's own experience. If evidence is limited, acknowledge the gap and explain how your M&amp;E framework (Chapter 11) will generate the evidence you need.</w:t>
      </w:r>
    </w:p>
    <w:p>
      <w:pPr>
        <w:pStyle w:val="Heading2"/>
      </w:pPr>
      <w:r>
        <w:rPr>
          <w:rFonts w:ascii="Inter" w:hAnsi="Inter" w:cs="Inter"/>
          <w:b/>
          <w:i w:val="0"/>
          <w:color w:val="1B365D"/>
          <w:sz w:val="32"/>
        </w:rPr>
        <w:t>7.8 Quality Checklist</w:t>
      </w:r>
    </w:p>
    <w:p>
      <w:pPr>
        <w:spacing w:after="120" w:line="276" w:lineRule="auto"/>
      </w:pPr>
      <w:r>
        <w:rPr>
          <w:rFonts w:ascii="Inter" w:hAnsi="Inter" w:cs="Inter"/>
          <w:b w:val="0"/>
          <w:i w:val="0"/>
          <w:color w:val="2D2D2D"/>
          <w:sz w:val="22"/>
        </w:rPr>
        <w:t>Before finalizing your Theory of Change, verify the following:</w:t>
      </w:r>
    </w:p>
    <w:p>
      <w:pPr>
        <w:pStyle w:val="ListBullet"/>
      </w:pPr>
      <w:r>
        <w:rPr>
          <w:rFonts w:ascii="Inter" w:hAnsi="Inter" w:cs="Inter"/>
          <w:b w:val="0"/>
          <w:i w:val="0"/>
          <w:color w:val="2D2D2D"/>
          <w:sz w:val="22"/>
        </w:rPr>
        <w:t xml:space="preserve">[ ] </w:t>
      </w:r>
      <w:r>
        <w:rPr>
          <w:rFonts w:ascii="Inter" w:hAnsi="Inter" w:cs="Inter"/>
          <w:b/>
          <w:i w:val="0"/>
          <w:color w:val="2D2D2D"/>
          <w:sz w:val="22"/>
        </w:rPr>
        <w:t>Impact statement describes a change in people's lives</w:t>
      </w:r>
      <w:r>
        <w:rPr>
          <w:rFonts w:ascii="Inter" w:hAnsi="Inter" w:cs="Inter"/>
          <w:b w:val="0"/>
          <w:i w:val="0"/>
          <w:color w:val="2D2D2D"/>
          <w:sz w:val="22"/>
        </w:rPr>
        <w:t>, not an internal organizational achievement or an activity.</w:t>
      </w:r>
    </w:p>
    <w:p>
      <w:pPr>
        <w:pStyle w:val="ListBullet"/>
      </w:pPr>
      <w:r>
        <w:rPr>
          <w:rFonts w:ascii="Inter" w:hAnsi="Inter" w:cs="Inter"/>
          <w:b w:val="0"/>
          <w:i w:val="0"/>
          <w:color w:val="2D2D2D"/>
          <w:sz w:val="22"/>
        </w:rPr>
        <w:t xml:space="preserve">[ ] </w:t>
      </w:r>
      <w:r>
        <w:rPr>
          <w:rFonts w:ascii="Inter" w:hAnsi="Inter" w:cs="Inter"/>
          <w:b/>
          <w:i w:val="0"/>
          <w:color w:val="2D2D2D"/>
          <w:sz w:val="22"/>
        </w:rPr>
        <w:t>Impact links to at least one BDP goal</w:t>
      </w:r>
      <w:r>
        <w:rPr>
          <w:rFonts w:ascii="Inter" w:hAnsi="Inter" w:cs="Inter"/>
          <w:b w:val="0"/>
          <w:i w:val="0"/>
          <w:color w:val="2D2D2D"/>
          <w:sz w:val="22"/>
        </w:rPr>
        <w:t xml:space="preserve"> and, where applicable, to a Priority Agenda point.</w:t>
      </w:r>
    </w:p>
    <w:p>
      <w:pPr>
        <w:pStyle w:val="ListBullet"/>
      </w:pPr>
      <w:r>
        <w:rPr>
          <w:rFonts w:ascii="Inter" w:hAnsi="Inter" w:cs="Inter"/>
          <w:b w:val="0"/>
          <w:i w:val="0"/>
          <w:color w:val="2D2D2D"/>
          <w:sz w:val="22"/>
        </w:rPr>
        <w:t xml:space="preserve">[ ] </w:t>
      </w:r>
      <w:r>
        <w:rPr>
          <w:rFonts w:ascii="Inter" w:hAnsi="Inter" w:cs="Inter"/>
          <w:b/>
          <w:i w:val="0"/>
          <w:color w:val="2D2D2D"/>
          <w:sz w:val="22"/>
        </w:rPr>
        <w:t>Every medium-term outcome has at least one short-term outcome</w:t>
      </w:r>
      <w:r>
        <w:rPr>
          <w:rFonts w:ascii="Inter" w:hAnsi="Inter" w:cs="Inter"/>
          <w:b w:val="0"/>
          <w:i w:val="0"/>
          <w:color w:val="2D2D2D"/>
          <w:sz w:val="22"/>
        </w:rPr>
        <w:t xml:space="preserve"> feeding into it --- no gaps between outputs and medium-term outcomes.</w:t>
      </w:r>
    </w:p>
    <w:p>
      <w:pPr>
        <w:pStyle w:val="ListBullet"/>
      </w:pPr>
      <w:r>
        <w:rPr>
          <w:rFonts w:ascii="Inter" w:hAnsi="Inter" w:cs="Inter"/>
          <w:b w:val="0"/>
          <w:i w:val="0"/>
          <w:color w:val="2D2D2D"/>
          <w:sz w:val="22"/>
        </w:rPr>
        <w:t xml:space="preserve">[ ] </w:t>
      </w:r>
      <w:r>
        <w:rPr>
          <w:rFonts w:ascii="Inter" w:hAnsi="Inter" w:cs="Inter"/>
          <w:b/>
          <w:i w:val="0"/>
          <w:color w:val="2D2D2D"/>
          <w:sz w:val="22"/>
        </w:rPr>
        <w:t>Every output has a clear causal link</w:t>
      </w:r>
      <w:r>
        <w:rPr>
          <w:rFonts w:ascii="Inter" w:hAnsi="Inter" w:cs="Inter"/>
          <w:b w:val="0"/>
          <w:i w:val="0"/>
          <w:color w:val="2D2D2D"/>
          <w:sz w:val="22"/>
        </w:rPr>
        <w:t xml:space="preserve"> to a short-term outcome --- no orphan outputs.</w:t>
      </w:r>
    </w:p>
    <w:p>
      <w:pPr>
        <w:pStyle w:val="ListBullet"/>
      </w:pPr>
      <w:r>
        <w:rPr>
          <w:rFonts w:ascii="Inter" w:hAnsi="Inter" w:cs="Inter"/>
          <w:b w:val="0"/>
          <w:i w:val="0"/>
          <w:color w:val="2D2D2D"/>
          <w:sz w:val="22"/>
        </w:rPr>
        <w:t xml:space="preserve">[ ] </w:t>
      </w:r>
      <w:r>
        <w:rPr>
          <w:rFonts w:ascii="Inter" w:hAnsi="Inter" w:cs="Inter"/>
          <w:b/>
          <w:i w:val="0"/>
          <w:color w:val="2D2D2D"/>
          <w:sz w:val="22"/>
        </w:rPr>
        <w:t>Every causal pathway has an "if...then...because" statement</w:t>
      </w:r>
      <w:r>
        <w:rPr>
          <w:rFonts w:ascii="Inter" w:hAnsi="Inter" w:cs="Inter"/>
          <w:b w:val="0"/>
          <w:i w:val="0"/>
          <w:color w:val="2D2D2D"/>
          <w:sz w:val="22"/>
        </w:rPr>
        <w:t xml:space="preserve"> that articulates the mechanism, not just the assertion.</w:t>
      </w:r>
    </w:p>
    <w:p>
      <w:pPr>
        <w:pStyle w:val="ListBullet"/>
      </w:pPr>
      <w:r>
        <w:rPr>
          <w:rFonts w:ascii="Inter" w:hAnsi="Inter" w:cs="Inter"/>
          <w:b w:val="0"/>
          <w:i w:val="0"/>
          <w:color w:val="2D2D2D"/>
          <w:sz w:val="22"/>
        </w:rPr>
        <w:t xml:space="preserve">[ ] </w:t>
      </w:r>
      <w:r>
        <w:rPr>
          <w:rFonts w:ascii="Inter" w:hAnsi="Inter" w:cs="Inter"/>
          <w:b/>
          <w:i w:val="0"/>
          <w:color w:val="2D2D2D"/>
          <w:sz w:val="22"/>
        </w:rPr>
        <w:t>Assumptions are external conditions</w:t>
      </w:r>
      <w:r>
        <w:rPr>
          <w:rFonts w:ascii="Inter" w:hAnsi="Inter" w:cs="Inter"/>
          <w:b w:val="0"/>
          <w:i w:val="0"/>
          <w:color w:val="2D2D2D"/>
          <w:sz w:val="22"/>
        </w:rPr>
        <w:t>, not activities within your MOA's control.</w:t>
      </w:r>
    </w:p>
    <w:p>
      <w:pPr>
        <w:pStyle w:val="ListBullet"/>
      </w:pPr>
      <w:r>
        <w:rPr>
          <w:rFonts w:ascii="Inter" w:hAnsi="Inter" w:cs="Inter"/>
          <w:b w:val="0"/>
          <w:i w:val="0"/>
          <w:color w:val="2D2D2D"/>
          <w:sz w:val="22"/>
        </w:rPr>
        <w:t xml:space="preserve">[ ] </w:t>
      </w:r>
      <w:r>
        <w:rPr>
          <w:rFonts w:ascii="Inter" w:hAnsi="Inter" w:cs="Inter"/>
          <w:b/>
          <w:i w:val="0"/>
          <w:color w:val="2D2D2D"/>
          <w:sz w:val="22"/>
        </w:rPr>
        <w:t>High-risk assumptions have mitigation strategies</w:t>
      </w:r>
      <w:r>
        <w:rPr>
          <w:rFonts w:ascii="Inter" w:hAnsi="Inter" w:cs="Inter"/>
          <w:b w:val="0"/>
          <w:i w:val="0"/>
          <w:color w:val="2D2D2D"/>
          <w:sz w:val="22"/>
        </w:rPr>
        <w:t xml:space="preserve"> identified --- not just named but described.</w:t>
      </w:r>
    </w:p>
    <w:p>
      <w:pPr>
        <w:pStyle w:val="ListBullet"/>
      </w:pPr>
      <w:r>
        <w:rPr>
          <w:rFonts w:ascii="Inter" w:hAnsi="Inter" w:cs="Inter"/>
          <w:b w:val="0"/>
          <w:i w:val="0"/>
          <w:color w:val="2D2D2D"/>
          <w:sz w:val="22"/>
        </w:rPr>
        <w:t xml:space="preserve">[ ] </w:t>
      </w:r>
      <w:r>
        <w:rPr>
          <w:rFonts w:ascii="Inter" w:hAnsi="Inter" w:cs="Inter"/>
          <w:b/>
          <w:i w:val="0"/>
          <w:color w:val="2D2D2D"/>
          <w:sz w:val="22"/>
        </w:rPr>
        <w:t>The "so what?" test passes at every level</w:t>
      </w:r>
      <w:r>
        <w:rPr>
          <w:rFonts w:ascii="Inter" w:hAnsi="Inter" w:cs="Inter"/>
          <w:b w:val="0"/>
          <w:i w:val="0"/>
          <w:color w:val="2D2D2D"/>
          <w:sz w:val="22"/>
        </w:rPr>
        <w:t xml:space="preserve"> --- each result logically leads to the next, and you can explain why.</w:t>
      </w:r>
    </w:p>
    <w:p>
      <w:pPr>
        <w:pStyle w:val="ListBullet"/>
      </w:pPr>
      <w:r>
        <w:rPr>
          <w:rFonts w:ascii="Inter" w:hAnsi="Inter" w:cs="Inter"/>
          <w:b w:val="0"/>
          <w:i w:val="0"/>
          <w:color w:val="2D2D2D"/>
          <w:sz w:val="22"/>
        </w:rPr>
        <w:t xml:space="preserve">[ ] </w:t>
      </w:r>
      <w:r>
        <w:rPr>
          <w:rFonts w:ascii="Inter" w:hAnsi="Inter" w:cs="Inter"/>
          <w:b/>
          <w:i w:val="0"/>
          <w:color w:val="2D2D2D"/>
          <w:sz w:val="22"/>
        </w:rPr>
        <w:t>The diagram fits on one page</w:t>
      </w:r>
      <w:r>
        <w:rPr>
          <w:rFonts w:ascii="Inter" w:hAnsi="Inter" w:cs="Inter"/>
          <w:b w:val="0"/>
          <w:i w:val="0"/>
          <w:color w:val="2D2D2D"/>
          <w:sz w:val="22"/>
        </w:rPr>
        <w:t xml:space="preserve"> --- the ToC is clear and communicable, not an exhaustive map of every possible pathway.</w:t>
      </w:r>
    </w:p>
    <w:p>
      <w:pPr>
        <w:pStyle w:val="ListBullet"/>
      </w:pPr>
      <w:r>
        <w:rPr>
          <w:rFonts w:ascii="Inter" w:hAnsi="Inter" w:cs="Inter"/>
          <w:b w:val="0"/>
          <w:i w:val="0"/>
          <w:color w:val="2D2D2D"/>
          <w:sz w:val="22"/>
        </w:rPr>
        <w:t xml:space="preserve">[ ] </w:t>
      </w:r>
      <w:r>
        <w:rPr>
          <w:rFonts w:ascii="Inter" w:hAnsi="Inter" w:cs="Inter"/>
          <w:b/>
          <w:i w:val="0"/>
          <w:color w:val="2D2D2D"/>
          <w:sz w:val="22"/>
        </w:rPr>
        <w:t>The narrative is written in plain language</w:t>
      </w:r>
      <w:r>
        <w:rPr>
          <w:rFonts w:ascii="Inter" w:hAnsi="Inter" w:cs="Inter"/>
          <w:b w:val="0"/>
          <w:i w:val="0"/>
          <w:color w:val="2D2D2D"/>
          <w:sz w:val="22"/>
        </w:rPr>
        <w:t xml:space="preserve"> that a non-specialist can follow --- a Parliament member or community leader can read it and understand your logic.</w:t>
      </w:r>
    </w:p>
    <w:p>
      <w:pPr>
        <w:spacing w:after="120" w:line="276" w:lineRule="auto"/>
      </w:pPr>
      <w:r>
        <w:rPr>
          <w:rFonts w:ascii="Inter" w:hAnsi="Inter" w:cs="Inter"/>
          <w:b w:val="0"/>
          <w:i w:val="0"/>
          <w:color w:val="2D2D2D"/>
          <w:sz w:val="22"/>
        </w:rPr>
        <w:t>[^1]: Bangsamoro Autonomy Act No. 13, Section 15(1). The Bangsamoro Economic and Development Council (BEDC) shall "direct the plan formulation and recommend for approval by the Parliament the Bangsamoro Development Plan." MOA strategic plans are evaluated against BDP alignment during BPDA review.</w:t>
      </w:r>
    </w:p>
    <w:p>
      <w:pPr>
        <w:spacing w:after="120" w:line="276" w:lineRule="auto"/>
      </w:pPr>
      <w:r>
        <w:rPr>
          <w:rFonts w:ascii="Inter" w:hAnsi="Inter" w:cs="Inter"/>
          <w:b w:val="0"/>
          <w:i w:val="0"/>
          <w:color w:val="2D2D2D"/>
          <w:sz w:val="22"/>
        </w:rPr>
        <w:t>[^2]: Republic Act No. 11054, Art. VI, Sec. 12 (2018). The Bangsamoro Organic Law provides for the rights and welfare of Bangsamoro communities outside the autonomous region. See also the Office for Other Bangsamoro Communities (OOBC) Year-End Assessment Report (2025) for the institutional assessment and strategic directions referenced in this worked example.</w:t>
      </w:r>
    </w:p>
    <w:p>
      <w:pPr>
        <w:pageBreakBefore/>
      </w:pPr>
    </w:p>
    <w:p>
      <w:pPr>
        <w:pStyle w:val="Heading1"/>
      </w:pPr>
      <w:r>
        <w:rPr>
          <w:rFonts w:ascii="Inter" w:hAnsi="Inter" w:cs="Inter"/>
          <w:b/>
          <w:i w:val="0"/>
          <w:color w:val="1B365D"/>
          <w:sz w:val="44"/>
        </w:rPr>
        <w:t>Chapter 8: Designing Programs, Projects, and Activities</w:t>
      </w:r>
    </w:p>
    <w:p>
      <w:pPr>
        <w:spacing w:after="120" w:line="276" w:lineRule="auto"/>
      </w:pPr>
      <w:r>
        <w:rPr>
          <w:rFonts w:ascii="Inter" w:hAnsi="Inter" w:cs="Inter"/>
          <w:b w:val="0"/>
          <w:i w:val="0"/>
          <w:color w:val="2D2D2D"/>
          <w:sz w:val="22"/>
        </w:rPr>
        <w:t>You have now completed the hardest conceptual work in the strategic planning process. Your Theory of Change (Chapter 7) makes explicit *how* your MOA believes change happens --- the causal pathways from activities to outputs to outcomes to impact. You have named the assumptions your theory depends on and the risks that could break each link.</w:t>
      </w:r>
    </w:p>
    <w:p>
      <w:pPr>
        <w:spacing w:after="120" w:line="276" w:lineRule="auto"/>
      </w:pPr>
      <w:r>
        <w:rPr>
          <w:rFonts w:ascii="Inter" w:hAnsi="Inter" w:cs="Inter"/>
          <w:b w:val="0"/>
          <w:i w:val="0"/>
          <w:color w:val="2D2D2D"/>
          <w:sz w:val="22"/>
        </w:rPr>
        <w:t>This chapter turns that theory into a plan of action.</w:t>
      </w:r>
    </w:p>
    <w:p>
      <w:pPr>
        <w:spacing w:after="120" w:line="276" w:lineRule="auto"/>
      </w:pPr>
      <w:r>
        <w:rPr>
          <w:rFonts w:ascii="Inter" w:hAnsi="Inter" w:cs="Inter"/>
          <w:b w:val="0"/>
          <w:i w:val="0"/>
          <w:color w:val="2D2D2D"/>
          <w:sz w:val="22"/>
        </w:rPr>
        <w:t xml:space="preserve">Programs, Projects, and Activities --- collectively called </w:t>
      </w:r>
      <w:r>
        <w:rPr>
          <w:rFonts w:ascii="Inter" w:hAnsi="Inter" w:cs="Inter"/>
          <w:b/>
          <w:i w:val="0"/>
          <w:color w:val="2D2D2D"/>
          <w:sz w:val="22"/>
        </w:rPr>
        <w:t>PPAs</w:t>
      </w:r>
      <w:r>
        <w:rPr>
          <w:rFonts w:ascii="Inter" w:hAnsi="Inter" w:cs="Inter"/>
          <w:b w:val="0"/>
          <w:i w:val="0"/>
          <w:color w:val="2D2D2D"/>
          <w:sz w:val="22"/>
        </w:rPr>
        <w:t xml:space="preserve"> --- are the operational expression of your Theory of Change. Where the ToC says "if we deliver this output, then this short-term outcome will follow," the PPA Register says "here is the specific program, project, or activity that will deliver that output --- who owns it, when it begins and ends, how much it will cost, and what the annual target is."</w:t>
      </w:r>
    </w:p>
    <w:p>
      <w:pPr>
        <w:spacing w:after="120" w:line="276" w:lineRule="auto"/>
      </w:pPr>
      <w:r>
        <w:rPr>
          <w:rFonts w:ascii="Inter" w:hAnsi="Inter" w:cs="Inter"/>
          <w:b w:val="0"/>
          <w:i w:val="0"/>
          <w:color w:val="2D2D2D"/>
          <w:sz w:val="22"/>
        </w:rPr>
        <w:t>This chapter is where strategy becomes operational. Without PPAs designed specifically to deliver your ToC outputs, your strategic objectives remain aspirations. Without ToC outputs tied back to PPAs, your PPAs become unaccountable activities that absorb budget without demonstrable connection to the goals your MOA has committed to.</w:t>
      </w:r>
    </w:p>
    <w:p>
      <w:pPr>
        <w:spacing w:after="120" w:line="276" w:lineRule="auto"/>
      </w:pPr>
      <w:r>
        <w:rPr>
          <w:rFonts w:ascii="Inter" w:hAnsi="Inter" w:cs="Inter"/>
          <w:b w:val="0"/>
          <w:i w:val="0"/>
          <w:color w:val="2D2D2D"/>
          <w:sz w:val="22"/>
        </w:rPr>
        <w:t>Before you begin, keep two things in mind.</w:t>
      </w:r>
    </w:p>
    <w:p>
      <w:pPr>
        <w:spacing w:after="120" w:line="276" w:lineRule="auto"/>
      </w:pPr>
      <w:r>
        <w:rPr>
          <w:rFonts w:ascii="Inter" w:hAnsi="Inter" w:cs="Inter"/>
          <w:b w:val="0"/>
          <w:i w:val="0"/>
          <w:color w:val="2D2D2D"/>
          <w:sz w:val="22"/>
        </w:rPr>
        <w:t xml:space="preserve">First, the PPA Register you produce in this chapter is a </w:t>
      </w:r>
      <w:r>
        <w:rPr>
          <w:rFonts w:ascii="Inter" w:hAnsi="Inter" w:cs="Inter"/>
          <w:b/>
          <w:i w:val="0"/>
          <w:color w:val="2D2D2D"/>
          <w:sz w:val="22"/>
        </w:rPr>
        <w:t>planning instrument</w:t>
      </w:r>
      <w:r>
        <w:rPr>
          <w:rFonts w:ascii="Inter" w:hAnsi="Inter" w:cs="Inter"/>
          <w:b w:val="0"/>
          <w:i w:val="0"/>
          <w:color w:val="2D2D2D"/>
          <w:sz w:val="22"/>
        </w:rPr>
        <w:t>, not a budget document. It captures what you intend to do and establishes the logical structure. The detailed costing, budget classification, and expenditure estimates are completed in Chapter 9 (Resource Planning). This chapter gives you the skeleton; Chapter 9 puts the numbers on the bones. Chapter 10 (Operational Planning and Annual Targets) takes the skeleton and builds the work plan.</w:t>
      </w:r>
    </w:p>
    <w:p>
      <w:pPr>
        <w:spacing w:after="120" w:line="276" w:lineRule="auto"/>
      </w:pPr>
      <w:r>
        <w:rPr>
          <w:rFonts w:ascii="Inter" w:hAnsi="Inter" w:cs="Inter"/>
          <w:b w:val="0"/>
          <w:i w:val="0"/>
          <w:color w:val="2D2D2D"/>
          <w:sz w:val="22"/>
        </w:rPr>
        <w:t>Second, resist the temptation to copy last year's PPA list and call it done. Your ToC was built from your strategic direction and your understanding of how change happens. If you simply paste in the same programs and activities that ran last year, you are not designing for results --- you are repackaging compliance. Review your ToC outputs first. Then ask: what PPA is needed to deliver each output?</w:t>
      </w:r>
    </w:p>
    <w:p>
      <w:pPr>
        <w:pStyle w:val="Heading2"/>
      </w:pPr>
      <w:r>
        <w:rPr>
          <w:rFonts w:ascii="Inter" w:hAnsi="Inter" w:cs="Inter"/>
          <w:b/>
          <w:i w:val="0"/>
          <w:color w:val="1B365D"/>
          <w:sz w:val="32"/>
        </w:rPr>
        <w:t>8.1 Purpose</w:t>
      </w:r>
    </w:p>
    <w:p>
      <w:pPr>
        <w:spacing w:after="120" w:line="276" w:lineRule="auto"/>
      </w:pPr>
      <w:r>
        <w:rPr>
          <w:rFonts w:ascii="Inter" w:hAnsi="Inter" w:cs="Inter"/>
          <w:b w:val="0"/>
          <w:i w:val="0"/>
          <w:color w:val="2D2D2D"/>
          <w:sz w:val="22"/>
        </w:rPr>
        <w:t>The purpose of this chapter is to help you translate your Theory of Change into concrete Programs, Projects, and Activities, each with a defined type, responsible unit, timeline, UACS code, and link to a ToC output.</w:t>
      </w:r>
    </w:p>
    <w:p>
      <w:pPr>
        <w:spacing w:after="120" w:line="276" w:lineRule="auto"/>
      </w:pPr>
      <w:r>
        <w:rPr>
          <w:rFonts w:ascii="Inter" w:hAnsi="Inter" w:cs="Inter"/>
          <w:b w:val="0"/>
          <w:i w:val="0"/>
          <w:color w:val="2D2D2D"/>
          <w:sz w:val="22"/>
        </w:rPr>
        <w:t>Every PPA in your plan must answer four questions:</w:t>
      </w:r>
    </w:p>
    <w:p>
      <w:pPr>
        <w:pStyle w:val="ListNumber"/>
      </w:pPr>
      <w:r>
        <w:rPr>
          <w:rFonts w:ascii="Inter" w:hAnsi="Inter" w:cs="Inter"/>
          <w:b w:val="0"/>
          <w:i w:val="0"/>
          <w:color w:val="2D2D2D"/>
          <w:sz w:val="22"/>
        </w:rPr>
      </w:r>
      <w:r>
        <w:rPr>
          <w:rFonts w:ascii="Inter" w:hAnsi="Inter" w:cs="Inter"/>
          <w:b/>
          <w:i w:val="0"/>
          <w:color w:val="2D2D2D"/>
          <w:sz w:val="22"/>
        </w:rPr>
        <w:t>What does it produce?</w:t>
      </w:r>
      <w:r>
        <w:rPr>
          <w:rFonts w:ascii="Inter" w:hAnsi="Inter" w:cs="Inter"/>
          <w:b w:val="0"/>
          <w:i w:val="0"/>
          <w:color w:val="2D2D2D"/>
          <w:sz w:val="22"/>
        </w:rPr>
        <w:t xml:space="preserve"> The output it is designed to deliver (traced to the ToC).</w:t>
      </w:r>
    </w:p>
    <w:p>
      <w:pPr>
        <w:pStyle w:val="ListNumber"/>
      </w:pPr>
      <w:r>
        <w:rPr>
          <w:rFonts w:ascii="Inter" w:hAnsi="Inter" w:cs="Inter"/>
          <w:b w:val="0"/>
          <w:i w:val="0"/>
          <w:color w:val="2D2D2D"/>
          <w:sz w:val="22"/>
        </w:rPr>
      </w:r>
      <w:r>
        <w:rPr>
          <w:rFonts w:ascii="Inter" w:hAnsi="Inter" w:cs="Inter"/>
          <w:b/>
          <w:i w:val="0"/>
          <w:color w:val="2D2D2D"/>
          <w:sz w:val="22"/>
        </w:rPr>
        <w:t>Who owns it?</w:t>
      </w:r>
      <w:r>
        <w:rPr>
          <w:rFonts w:ascii="Inter" w:hAnsi="Inter" w:cs="Inter"/>
          <w:b w:val="0"/>
          <w:i w:val="0"/>
          <w:color w:val="2D2D2D"/>
          <w:sz w:val="22"/>
        </w:rPr>
        <w:t xml:space="preserve"> The responsible organizational unit.</w:t>
      </w:r>
    </w:p>
    <w:p>
      <w:pPr>
        <w:pStyle w:val="ListNumber"/>
      </w:pPr>
      <w:r>
        <w:rPr>
          <w:rFonts w:ascii="Inter" w:hAnsi="Inter" w:cs="Inter"/>
          <w:b w:val="0"/>
          <w:i w:val="0"/>
          <w:color w:val="2D2D2D"/>
          <w:sz w:val="22"/>
        </w:rPr>
      </w:r>
      <w:r>
        <w:rPr>
          <w:rFonts w:ascii="Inter" w:hAnsi="Inter" w:cs="Inter"/>
          <w:b/>
          <w:i w:val="0"/>
          <w:color w:val="2D2D2D"/>
          <w:sz w:val="22"/>
        </w:rPr>
        <w:t>When does it run?</w:t>
      </w:r>
      <w:r>
        <w:rPr>
          <w:rFonts w:ascii="Inter" w:hAnsi="Inter" w:cs="Inter"/>
          <w:b w:val="0"/>
          <w:i w:val="0"/>
          <w:color w:val="2D2D2D"/>
          <w:sz w:val="22"/>
        </w:rPr>
        <w:t xml:space="preserve"> The start and end dates.</w:t>
      </w:r>
    </w:p>
    <w:p>
      <w:pPr>
        <w:pStyle w:val="ListNumber"/>
      </w:pPr>
      <w:r>
        <w:rPr>
          <w:rFonts w:ascii="Inter" w:hAnsi="Inter" w:cs="Inter"/>
          <w:b w:val="0"/>
          <w:i w:val="0"/>
          <w:color w:val="2D2D2D"/>
          <w:sz w:val="22"/>
        </w:rPr>
      </w:r>
      <w:r>
        <w:rPr>
          <w:rFonts w:ascii="Inter" w:hAnsi="Inter" w:cs="Inter"/>
          <w:b/>
          <w:i w:val="0"/>
          <w:color w:val="2D2D2D"/>
          <w:sz w:val="22"/>
        </w:rPr>
        <w:t>How does it fit?</w:t>
      </w:r>
      <w:r>
        <w:rPr>
          <w:rFonts w:ascii="Inter" w:hAnsi="Inter" w:cs="Inter"/>
          <w:b w:val="0"/>
          <w:i w:val="0"/>
          <w:color w:val="2D2D2D"/>
          <w:sz w:val="22"/>
        </w:rPr>
        <w:t xml:space="preserve"> The UACS code that connects it to the national budget classification system.</w:t>
      </w:r>
    </w:p>
    <w:p>
      <w:pPr>
        <w:spacing w:after="120" w:line="276" w:lineRule="auto"/>
      </w:pPr>
      <w:r>
        <w:rPr>
          <w:rFonts w:ascii="Inter" w:hAnsi="Inter" w:cs="Inter"/>
          <w:b w:val="0"/>
          <w:i w:val="0"/>
          <w:color w:val="2D2D2D"/>
          <w:sz w:val="22"/>
        </w:rPr>
        <w:t>A PPA that cannot answer all four questions is not ready to be included in a strategic plan. It belongs in a planning backlog --- a list of potential interventions to be developed further in the next planning cycle.</w:t>
      </w:r>
    </w:p>
    <w:p>
      <w:pPr>
        <w:spacing w:after="120" w:line="276" w:lineRule="auto"/>
      </w:pPr>
      <w:r>
        <w:rPr>
          <w:rFonts w:ascii="Inter" w:hAnsi="Inter" w:cs="Inter"/>
          <w:b w:val="0"/>
          <w:i w:val="0"/>
          <w:color w:val="2D2D2D"/>
          <w:sz w:val="22"/>
        </w:rPr>
        <w:t>When this chapter is complete, you will have a PPA Register: a structured inventory of all the programs, projects, and activities your MOA plans to implement over the strategic planning period, with each PPA linked to one or more ToC outputs and assigned the attributes needed for budget preparation.</w:t>
      </w:r>
    </w:p>
    <w:p>
      <w:pPr>
        <w:pStyle w:val="Heading2"/>
      </w:pPr>
      <w:r>
        <w:rPr>
          <w:rFonts w:ascii="Inter" w:hAnsi="Inter" w:cs="Inter"/>
          <w:b/>
          <w:i w:val="0"/>
          <w:color w:val="1B365D"/>
          <w:sz w:val="32"/>
        </w:rPr>
        <w:t>8.2 Key Concepts</w:t>
      </w:r>
    </w:p>
    <w:p>
      <w:pPr>
        <w:pStyle w:val="Heading3"/>
      </w:pPr>
      <w:r>
        <w:rPr>
          <w:rFonts w:ascii="Inter" w:hAnsi="Inter" w:cs="Inter"/>
          <w:b/>
          <w:i w:val="0"/>
          <w:color w:val="2C5F7C"/>
          <w:sz w:val="26"/>
        </w:rPr>
        <w:t>The PPA Hierarchy</w:t>
      </w:r>
    </w:p>
    <w:p>
      <w:pPr>
        <w:spacing w:after="120" w:line="276" w:lineRule="auto"/>
      </w:pPr>
      <w:r>
        <w:rPr>
          <w:rFonts w:ascii="Inter" w:hAnsi="Inter" w:cs="Inter"/>
          <w:b w:val="0"/>
          <w:i w:val="0"/>
          <w:color w:val="2D2D2D"/>
          <w:sz w:val="22"/>
        </w:rPr>
        <w:t>PPAs are not equal in scope, duration, or function. Understanding the hierarchy prevents confusion during design and avoids the most common error: treating all planned work as if it belongs in the same category.</w:t>
      </w:r>
    </w:p>
    <w:p>
      <w:pPr>
        <w:spacing w:after="120" w:line="276" w:lineRule="auto"/>
      </w:pPr>
      <w:r>
        <w:rPr>
          <w:rFonts w:ascii="Inter" w:hAnsi="Inter" w:cs="Inter"/>
          <w:b w:val="0"/>
          <w:i w:val="0"/>
          <w:color w:val="2D2D2D"/>
          <w:sz w:val="22"/>
        </w:rPr>
      </w:r>
      <w:r>
        <w:rPr>
          <w:rFonts w:ascii="Inter" w:hAnsi="Inter" w:cs="Inter"/>
          <w:b/>
          <w:i w:val="0"/>
          <w:color w:val="2D2D2D"/>
          <w:sz w:val="22"/>
        </w:rPr>
        <w:t>Programs</w:t>
      </w:r>
      <w:r>
        <w:rPr>
          <w:rFonts w:ascii="Inter" w:hAnsi="Inter" w:cs="Inter"/>
          <w:b w:val="0"/>
          <w:i w:val="0"/>
          <w:color w:val="2D2D2D"/>
          <w:sz w:val="22"/>
        </w:rPr>
        <w:t xml:space="preserve"> are continuing, cross-cutting collections of related projects and activities that advance a strategic objective over multiple years. A program is not a one-time event --- it is an ongoing function of your MOA that will run for the entire planning period and likely beyond. Programs have:</w:t>
      </w:r>
    </w:p>
    <w:p>
      <w:pPr>
        <w:pStyle w:val="ListBullet"/>
      </w:pPr>
      <w:r>
        <w:rPr>
          <w:rFonts w:ascii="Inter" w:hAnsi="Inter" w:cs="Inter"/>
          <w:b w:val="0"/>
          <w:i w:val="0"/>
          <w:color w:val="2D2D2D"/>
          <w:sz w:val="22"/>
        </w:rPr>
        <w:t>A recurring nature: they run year after year, with activities repeated within each implementation cycle.</w:t>
      </w:r>
    </w:p>
    <w:p>
      <w:pPr>
        <w:pStyle w:val="ListBullet"/>
      </w:pPr>
      <w:r>
        <w:rPr>
          <w:rFonts w:ascii="Inter" w:hAnsi="Inter" w:cs="Inter"/>
          <w:b w:val="0"/>
          <w:i w:val="0"/>
          <w:color w:val="2D2D2D"/>
          <w:sz w:val="22"/>
        </w:rPr>
        <w:t>A cross-cutting function: they often serve multiple strategic objectives or deliver multiple types of outputs.</w:t>
      </w:r>
    </w:p>
    <w:p>
      <w:pPr>
        <w:pStyle w:val="ListBullet"/>
      </w:pPr>
      <w:r>
        <w:rPr>
          <w:rFonts w:ascii="Inter" w:hAnsi="Inter" w:cs="Inter"/>
          <w:b w:val="0"/>
          <w:i w:val="0"/>
          <w:color w:val="2D2D2D"/>
          <w:sz w:val="22"/>
        </w:rPr>
        <w:t>A broad scope: a single program may contain several projects and many activities nested within it.</w:t>
      </w:r>
    </w:p>
    <w:p>
      <w:pPr>
        <w:pStyle w:val="ListBullet"/>
      </w:pPr>
      <w:r>
        <w:rPr>
          <w:rFonts w:ascii="Inter" w:hAnsi="Inter" w:cs="Inter"/>
          <w:b w:val="0"/>
          <w:i w:val="0"/>
          <w:color w:val="2D2D2D"/>
          <w:sz w:val="22"/>
        </w:rPr>
        <w:t>An organizational home: typically a division or bureau that is accountable for program performance.</w:t>
      </w:r>
    </w:p>
    <w:p>
      <w:pPr>
        <w:spacing w:after="120" w:line="276" w:lineRule="auto"/>
      </w:pPr>
      <w:r>
        <w:rPr>
          <w:rFonts w:ascii="Inter" w:hAnsi="Inter" w:cs="Inter"/>
          <w:b w:val="0"/>
          <w:i w:val="0"/>
          <w:color w:val="2D2D2D"/>
          <w:sz w:val="22"/>
        </w:rPr>
        <w:t xml:space="preserve">Programs correspond to three classifications under the national budget system. </w:t>
      </w:r>
      <w:r>
        <w:rPr>
          <w:rFonts w:ascii="Inter" w:hAnsi="Inter" w:cs="Inter"/>
          <w:b/>
          <w:i w:val="0"/>
          <w:color w:val="2D2D2D"/>
          <w:sz w:val="22"/>
        </w:rPr>
        <w:t>General Administration and Support (GAS)</w:t>
      </w:r>
      <w:r>
        <w:rPr>
          <w:rFonts w:ascii="Inter" w:hAnsi="Inter" w:cs="Inter"/>
          <w:b w:val="0"/>
          <w:i w:val="0"/>
          <w:color w:val="2D2D2D"/>
          <w:sz w:val="22"/>
        </w:rPr>
        <w:t xml:space="preserve"> programs cover administrative and management functions that support the ministry's overall operations --- personnel management, financial management, records, procurement, and organizational development. </w:t>
      </w:r>
      <w:r>
        <w:rPr>
          <w:rFonts w:ascii="Inter" w:hAnsi="Inter" w:cs="Inter"/>
          <w:b/>
          <w:i w:val="0"/>
          <w:color w:val="2D2D2D"/>
          <w:sz w:val="22"/>
        </w:rPr>
        <w:t>Support to Operations (STO)</w:t>
      </w:r>
      <w:r>
        <w:rPr>
          <w:rFonts w:ascii="Inter" w:hAnsi="Inter" w:cs="Inter"/>
          <w:b w:val="0"/>
          <w:i w:val="0"/>
          <w:color w:val="2D2D2D"/>
          <w:sz w:val="22"/>
        </w:rPr>
        <w:t xml:space="preserve"> programs provide technical support functions that enable the ministry's core work, such as planning, monitoring, legal services, and information systems. </w:t>
      </w:r>
      <w:r>
        <w:rPr>
          <w:rFonts w:ascii="Inter" w:hAnsi="Inter" w:cs="Inter"/>
          <w:b/>
          <w:i w:val="0"/>
          <w:color w:val="2D2D2D"/>
          <w:sz w:val="22"/>
        </w:rPr>
        <w:t>Operations</w:t>
      </w:r>
      <w:r>
        <w:rPr>
          <w:rFonts w:ascii="Inter" w:hAnsi="Inter" w:cs="Inter"/>
          <w:b w:val="0"/>
          <w:i w:val="0"/>
          <w:color w:val="2D2D2D"/>
          <w:sz w:val="22"/>
        </w:rPr>
        <w:t xml:space="preserve"> programs are the core service delivery and regulatory functions that are the primary reason your MOA exists --- the programs your stakeholders see and feel.</w:t>
      </w:r>
    </w:p>
    <w:p>
      <w:pPr>
        <w:spacing w:after="120" w:line="276" w:lineRule="auto"/>
      </w:pPr>
      <w:r>
        <w:rPr>
          <w:rFonts w:ascii="Inter" w:hAnsi="Inter" w:cs="Inter"/>
          <w:b w:val="0"/>
          <w:i w:val="0"/>
          <w:color w:val="2D2D2D"/>
          <w:sz w:val="22"/>
        </w:rPr>
      </w:r>
      <w:r>
        <w:rPr>
          <w:rFonts w:ascii="Inter" w:hAnsi="Inter" w:cs="Inter"/>
          <w:b/>
          <w:i w:val="0"/>
          <w:color w:val="2D2D2D"/>
          <w:sz w:val="22"/>
        </w:rPr>
        <w:t>Projects</w:t>
      </w:r>
      <w:r>
        <w:rPr>
          <w:rFonts w:ascii="Inter" w:hAnsi="Inter" w:cs="Inter"/>
          <w:b w:val="0"/>
          <w:i w:val="0"/>
          <w:color w:val="2D2D2D"/>
          <w:sz w:val="22"/>
        </w:rPr>
        <w:t xml:space="preserve"> are time-bound interventions with a specific deliverable. Unlike programs, projects have a defined start and end. When the deliverable is produced --- a school building constructed, a management plan completed, a technology system deployed --- the project concludes. Projects have:</w:t>
      </w:r>
    </w:p>
    <w:p>
      <w:pPr>
        <w:pStyle w:val="ListBullet"/>
      </w:pPr>
      <w:r>
        <w:rPr>
          <w:rFonts w:ascii="Inter" w:hAnsi="Inter" w:cs="Inter"/>
          <w:b w:val="0"/>
          <w:i w:val="0"/>
          <w:color w:val="2D2D2D"/>
          <w:sz w:val="22"/>
        </w:rPr>
        <w:t>A specific, deliverable output: you know the project is done when the output exists.</w:t>
      </w:r>
    </w:p>
    <w:p>
      <w:pPr>
        <w:pStyle w:val="ListBullet"/>
      </w:pPr>
      <w:r>
        <w:rPr>
          <w:rFonts w:ascii="Inter" w:hAnsi="Inter" w:cs="Inter"/>
          <w:b w:val="0"/>
          <w:i w:val="0"/>
          <w:color w:val="2D2D2D"/>
          <w:sz w:val="22"/>
        </w:rPr>
        <w:t>A fixed duration: typically one to five years, rarely longer.</w:t>
      </w:r>
    </w:p>
    <w:p>
      <w:pPr>
        <w:pStyle w:val="ListBullet"/>
      </w:pPr>
      <w:r>
        <w:rPr>
          <w:rFonts w:ascii="Inter" w:hAnsi="Inter" w:cs="Inter"/>
          <w:b w:val="0"/>
          <w:i w:val="0"/>
          <w:color w:val="2D2D2D"/>
          <w:sz w:val="22"/>
        </w:rPr>
        <w:t>A defined geographic scope: most projects target a specific area, population group, or institutional partner.</w:t>
      </w:r>
    </w:p>
    <w:p>
      <w:pPr>
        <w:pStyle w:val="ListBullet"/>
      </w:pPr>
      <w:r>
        <w:rPr>
          <w:rFonts w:ascii="Inter" w:hAnsi="Inter" w:cs="Inter"/>
          <w:b w:val="0"/>
          <w:i w:val="0"/>
          <w:color w:val="2D2D2D"/>
          <w:sz w:val="22"/>
        </w:rPr>
        <w:t>An optional parent program: a project may sit inside a program (drawing on the program's continuing support functions) or stand alone as an independent intervention.</w:t>
      </w:r>
    </w:p>
    <w:p>
      <w:pPr>
        <w:spacing w:after="120" w:line="276" w:lineRule="auto"/>
      </w:pPr>
      <w:r>
        <w:rPr>
          <w:rFonts w:ascii="Inter" w:hAnsi="Inter" w:cs="Inter"/>
          <w:b w:val="0"/>
          <w:i w:val="0"/>
          <w:color w:val="2D2D2D"/>
          <w:sz w:val="22"/>
        </w:rPr>
      </w:r>
      <w:r>
        <w:rPr>
          <w:rFonts w:ascii="Inter" w:hAnsi="Inter" w:cs="Inter"/>
          <w:b/>
          <w:i w:val="0"/>
          <w:color w:val="2D2D2D"/>
          <w:sz w:val="22"/>
        </w:rPr>
        <w:t>Activities</w:t>
      </w:r>
      <w:r>
        <w:rPr>
          <w:rFonts w:ascii="Inter" w:hAnsi="Inter" w:cs="Inter"/>
          <w:b w:val="0"/>
          <w:i w:val="0"/>
          <w:color w:val="2D2D2D"/>
          <w:sz w:val="22"/>
        </w:rPr>
        <w:t xml:space="preserve"> are routine, recurring, operational work units. Activities are the building blocks of programs and projects --- the specific tasks your staff undertake, the trainings they deliver, the inspections they conduct, the reports they produce. An activity typically runs within a single fiscal year and repeats in subsequent years (with adjusted targets and costs). Activities have:</w:t>
      </w:r>
    </w:p>
    <w:p>
      <w:pPr>
        <w:pStyle w:val="ListBullet"/>
      </w:pPr>
      <w:r>
        <w:rPr>
          <w:rFonts w:ascii="Inter" w:hAnsi="Inter" w:cs="Inter"/>
          <w:b w:val="0"/>
          <w:i w:val="0"/>
          <w:color w:val="2D2D2D"/>
          <w:sz w:val="22"/>
        </w:rPr>
        <w:t>A recurring or short-cycle nature: conducted monthly, quarterly, or annually.</w:t>
      </w:r>
    </w:p>
    <w:p>
      <w:pPr>
        <w:pStyle w:val="ListBullet"/>
      </w:pPr>
      <w:r>
        <w:rPr>
          <w:rFonts w:ascii="Inter" w:hAnsi="Inter" w:cs="Inter"/>
          <w:b w:val="0"/>
          <w:i w:val="0"/>
          <w:color w:val="2D2D2D"/>
          <w:sz w:val="22"/>
        </w:rPr>
        <w:t>A direct relationship to a specific output: each activity produces something countable.</w:t>
      </w:r>
    </w:p>
    <w:p>
      <w:pPr>
        <w:pStyle w:val="ListBullet"/>
      </w:pPr>
      <w:r>
        <w:rPr>
          <w:rFonts w:ascii="Inter" w:hAnsi="Inter" w:cs="Inter"/>
          <w:b w:val="0"/>
          <w:i w:val="0"/>
          <w:color w:val="2D2D2D"/>
          <w:sz w:val="22"/>
        </w:rPr>
        <w:t>A single responsible unit: the division or section that does the work.</w:t>
      </w:r>
    </w:p>
    <w:p>
      <w:pPr>
        <w:pStyle w:val="ListBullet"/>
      </w:pPr>
      <w:r>
        <w:rPr>
          <w:rFonts w:ascii="Inter" w:hAnsi="Inter" w:cs="Inter"/>
          <w:b w:val="0"/>
          <w:i w:val="0"/>
          <w:color w:val="2D2D2D"/>
          <w:sz w:val="22"/>
        </w:rPr>
        <w:t>A cost structure: the personnel costs, maintenance and other operating expenses, and capital outlay associated with doing the work.</w:t>
      </w:r>
    </w:p>
    <w:p>
      <w:pPr>
        <w:pStyle w:val="Heading3"/>
      </w:pPr>
      <w:r>
        <w:rPr>
          <w:rFonts w:ascii="Inter" w:hAnsi="Inter" w:cs="Inter"/>
          <w:b/>
          <w:i w:val="0"/>
          <w:color w:val="2C5F7C"/>
          <w:sz w:val="26"/>
        </w:rPr>
        <w:t>The Flexible Hierarchy</w:t>
      </w:r>
    </w:p>
    <w:p>
      <w:pPr>
        <w:spacing w:after="120" w:line="276" w:lineRule="auto"/>
      </w:pPr>
      <w:r>
        <w:rPr>
          <w:rFonts w:ascii="Inter" w:hAnsi="Inter" w:cs="Inter"/>
          <w:b w:val="0"/>
          <w:i w:val="0"/>
          <w:color w:val="2D2D2D"/>
          <w:sz w:val="22"/>
        </w:rPr>
        <w:t>Not every PPA needs all three levels. The hierarchy is flexible by design.</w:t>
      </w:r>
    </w:p>
    <w:p>
      <w:pPr>
        <w:spacing w:after="120" w:line="276" w:lineRule="auto"/>
      </w:pPr>
      <w:r>
        <w:rPr>
          <w:rFonts w:ascii="Inter" w:hAnsi="Inter" w:cs="Inter"/>
          <w:b w:val="0"/>
          <w:i w:val="0"/>
          <w:color w:val="2D2D2D"/>
          <w:sz w:val="22"/>
        </w:rPr>
        <w:t xml:space="preserve">A standalone </w:t>
      </w:r>
      <w:r>
        <w:rPr>
          <w:rFonts w:ascii="Inter" w:hAnsi="Inter" w:cs="Inter"/>
          <w:b/>
          <w:i w:val="0"/>
          <w:color w:val="2D2D2D"/>
          <w:sz w:val="22"/>
        </w:rPr>
        <w:t>activity</w:t>
      </w:r>
      <w:r>
        <w:rPr>
          <w:rFonts w:ascii="Inter" w:hAnsi="Inter" w:cs="Inter"/>
          <w:b w:val="0"/>
          <w:i w:val="0"/>
          <w:color w:val="2D2D2D"/>
          <w:sz w:val="22"/>
        </w:rPr>
        <w:t xml:space="preserve"> is valid. If your MOA conducts a recurring annual function --- a policy forum, a compliance audit cycle, a monitoring survey --- and it does not logically fit inside a program or project, register it as a standalone activity. A standalone activity must still link to a ToC output and carry a UACS code.</w:t>
      </w:r>
    </w:p>
    <w:p>
      <w:pPr>
        <w:spacing w:after="120" w:line="276" w:lineRule="auto"/>
      </w:pPr>
      <w:r>
        <w:rPr>
          <w:rFonts w:ascii="Inter" w:hAnsi="Inter" w:cs="Inter"/>
          <w:b w:val="0"/>
          <w:i w:val="0"/>
          <w:color w:val="2D2D2D"/>
          <w:sz w:val="22"/>
        </w:rPr>
        <w:t xml:space="preserve">A standalone </w:t>
      </w:r>
      <w:r>
        <w:rPr>
          <w:rFonts w:ascii="Inter" w:hAnsi="Inter" w:cs="Inter"/>
          <w:b/>
          <w:i w:val="0"/>
          <w:color w:val="2D2D2D"/>
          <w:sz w:val="22"/>
        </w:rPr>
        <w:t>project</w:t>
      </w:r>
      <w:r>
        <w:rPr>
          <w:rFonts w:ascii="Inter" w:hAnsi="Inter" w:cs="Inter"/>
          <w:b w:val="0"/>
          <w:i w:val="0"/>
          <w:color w:val="2D2D2D"/>
          <w:sz w:val="22"/>
        </w:rPr>
        <w:t xml:space="preserve"> is valid. If your MOA is implementing a time-bound, specific-deliverable intervention that is not part of a broader program framework --- a rehabilitation project funded by a development partner, a capital investment, a one-time study --- register it as a standalone project with its own foundation linkages.</w:t>
      </w:r>
    </w:p>
    <w:p>
      <w:pPr>
        <w:spacing w:after="120" w:line="276" w:lineRule="auto"/>
      </w:pPr>
      <w:r>
        <w:rPr>
          <w:rFonts w:ascii="Inter" w:hAnsi="Inter" w:cs="Inter"/>
          <w:b w:val="0"/>
          <w:i w:val="0"/>
          <w:color w:val="2D2D2D"/>
          <w:sz w:val="22"/>
        </w:rPr>
        <w:t xml:space="preserve">A program </w:t>
      </w:r>
      <w:r>
        <w:rPr>
          <w:rFonts w:ascii="Inter" w:hAnsi="Inter" w:cs="Inter"/>
          <w:b/>
          <w:i w:val="0"/>
          <w:color w:val="2D2D2D"/>
          <w:sz w:val="22"/>
        </w:rPr>
        <w:t>without projects</w:t>
      </w:r>
      <w:r>
        <w:rPr>
          <w:rFonts w:ascii="Inter" w:hAnsi="Inter" w:cs="Inter"/>
          <w:b w:val="0"/>
          <w:i w:val="0"/>
          <w:color w:val="2D2D2D"/>
          <w:sz w:val="22"/>
        </w:rPr>
        <w:t xml:space="preserve"> is valid. Some programs consist entirely of activities with no project-level interventions. A General Administration and Support program, for example, typically contains only activities (payroll processing, procurement management, HR development) without any projects nested beneath it.</w:t>
      </w:r>
    </w:p>
    <w:p>
      <w:pPr>
        <w:spacing w:after="120" w:line="276" w:lineRule="auto"/>
      </w:pPr>
      <w:r>
        <w:rPr>
          <w:rFonts w:ascii="Inter" w:hAnsi="Inter" w:cs="Inter"/>
          <w:b w:val="0"/>
          <w:i w:val="0"/>
          <w:color w:val="2D2D2D"/>
          <w:sz w:val="22"/>
        </w:rPr>
        <w:t xml:space="preserve">A project </w:t>
      </w:r>
      <w:r>
        <w:rPr>
          <w:rFonts w:ascii="Inter" w:hAnsi="Inter" w:cs="Inter"/>
          <w:b/>
          <w:i w:val="0"/>
          <w:color w:val="2D2D2D"/>
          <w:sz w:val="22"/>
        </w:rPr>
        <w:t>inside a program</w:t>
      </w:r>
      <w:r>
        <w:rPr>
          <w:rFonts w:ascii="Inter" w:hAnsi="Inter" w:cs="Inter"/>
          <w:b w:val="0"/>
          <w:i w:val="0"/>
          <w:color w:val="2D2D2D"/>
          <w:sz w:val="22"/>
        </w:rPr>
        <w:t xml:space="preserve"> is also valid. A large Operations program may contain several projects that implement specific capital investments or technical deliverables within the program's overall scope.</w:t>
      </w:r>
    </w:p>
    <w:p>
      <w:pPr>
        <w:spacing w:after="120" w:line="276" w:lineRule="auto"/>
      </w:pPr>
      <w:r>
        <w:rPr>
          <w:rFonts w:ascii="Inter" w:hAnsi="Inter" w:cs="Inter"/>
          <w:b w:val="0"/>
          <w:i w:val="0"/>
          <w:color w:val="2D2D2D"/>
          <w:sz w:val="22"/>
        </w:rPr>
        <w:t>The rule is logical fit: choose the PPA type that most accurately describes the nature of the work and its relationship to other planned interventions.</w:t>
      </w:r>
    </w:p>
    <w:p>
      <w:pPr>
        <w:pStyle w:val="Heading3"/>
      </w:pPr>
      <w:r>
        <w:rPr>
          <w:rFonts w:ascii="Inter" w:hAnsi="Inter" w:cs="Inter"/>
          <w:b/>
          <w:i w:val="0"/>
          <w:color w:val="2C5F7C"/>
          <w:sz w:val="26"/>
        </w:rPr>
        <w:t>UACS: The Unified Accounts Code Structure</w:t>
      </w:r>
    </w:p>
    <w:p>
      <w:pPr>
        <w:spacing w:after="120" w:line="276" w:lineRule="auto"/>
      </w:pPr>
      <w:r>
        <w:rPr>
          <w:rFonts w:ascii="Inter" w:hAnsi="Inter" w:cs="Inter"/>
          <w:b w:val="0"/>
          <w:i w:val="0"/>
          <w:color w:val="2D2D2D"/>
          <w:sz w:val="22"/>
        </w:rPr>
        <w:t>The Unified Accounts Code Structure (UACS) is the Philippine national government's standardized coding system for classifying all public expenditures. It was introduced by the Department of Budget and Management (DBM) to enable consistent reporting across all government agencies at all levels, and it is the coding system used in BARMM budget documents.[^1]</w:t>
      </w:r>
    </w:p>
    <w:p>
      <w:pPr>
        <w:spacing w:after="120" w:line="276" w:lineRule="auto"/>
      </w:pPr>
      <w:r>
        <w:rPr>
          <w:rFonts w:ascii="Inter" w:hAnsi="Inter" w:cs="Inter"/>
          <w:b w:val="0"/>
          <w:i w:val="0"/>
          <w:color w:val="2D2D2D"/>
          <w:sz w:val="22"/>
        </w:rPr>
        <w:t>Every PPA in your strategic plan must carry a UACS code. This is not optional. The UACS code is what connects your strategic plan to your Annual Expenditure Program and, ultimately, to the Bangsamoro Annual Budget Act. Without UACS codes on your PPAs, your planning team will be unable to prepare budget requests properly, and BPDA reviewers will be unable to cross-reference your plan against your budget submission.</w:t>
      </w:r>
    </w:p>
    <w:p>
      <w:pPr>
        <w:spacing w:after="120" w:line="276" w:lineRule="auto"/>
      </w:pPr>
      <w:r>
        <w:rPr>
          <w:rFonts w:ascii="Inter" w:hAnsi="Inter" w:cs="Inter"/>
          <w:b w:val="0"/>
          <w:i w:val="0"/>
          <w:color w:val="2D2D2D"/>
          <w:sz w:val="22"/>
        </w:rPr>
        <w:t xml:space="preserve">The UACS code structure has several components, but for planning purposes, the most important is the </w:t>
      </w:r>
      <w:r>
        <w:rPr>
          <w:rFonts w:ascii="Inter" w:hAnsi="Inter" w:cs="Inter"/>
          <w:b/>
          <w:i w:val="0"/>
          <w:color w:val="2D2D2D"/>
          <w:sz w:val="22"/>
        </w:rPr>
        <w:t>program code</w:t>
      </w:r>
      <w:r>
        <w:rPr>
          <w:rFonts w:ascii="Inter" w:hAnsi="Inter" w:cs="Inter"/>
          <w:b w:val="0"/>
          <w:i w:val="0"/>
          <w:color w:val="2D2D2D"/>
          <w:sz w:val="22"/>
        </w:rPr>
        <w:t xml:space="preserve"> --- the standardized code that identifies the type of program (GAS, STO, or Operations) and the organizational unit responsible. Within each program code, projects and activities are assigned sub-codes that further classify the type of expenditure.</w:t>
      </w:r>
    </w:p>
    <w:p>
      <w:pPr>
        <w:spacing w:after="120" w:line="276" w:lineRule="auto"/>
      </w:pPr>
      <w:r>
        <w:rPr>
          <w:rFonts w:ascii="Inter" w:hAnsi="Inter" w:cs="Inter"/>
          <w:b w:val="0"/>
          <w:i w:val="0"/>
          <w:color w:val="2D2D2D"/>
          <w:sz w:val="22"/>
        </w:rPr>
        <w:t>For example, a simplified UACS code for an Operations program activity might be structured as: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3XX-XX-X-XX</w:t>
      </w:r>
    </w:p>
    <w:p>
      <w:pPr>
        <w:spacing w:after="120" w:line="276" w:lineRule="auto"/>
      </w:pPr>
      <w:r>
        <w:rPr>
          <w:rFonts w:ascii="Inter" w:hAnsi="Inter" w:cs="Inter"/>
          <w:b w:val="0"/>
          <w:i w:val="0"/>
          <w:color w:val="2D2D2D"/>
          <w:sz w:val="22"/>
        </w:rPr>
        <w:t>+----------- Program type (3XX = Operations)</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In practice, your Budget Officer and the BPDA budget review process will assist with the precise assignment of UACS codes. Your responsibility as a planning officer is to:</w:t>
      </w:r>
    </w:p>
    <w:p>
      <w:pPr>
        <w:pStyle w:val="ListNumber"/>
      </w:pPr>
      <w:r>
        <w:rPr>
          <w:rFonts w:ascii="Inter" w:hAnsi="Inter" w:cs="Inter"/>
          <w:b w:val="0"/>
          <w:i w:val="0"/>
          <w:color w:val="2D2D2D"/>
          <w:sz w:val="22"/>
        </w:rPr>
        <w:t>Know whether your PPA is GAS, STO, or Operations (this determines the first digits).</w:t>
      </w:r>
    </w:p>
    <w:p>
      <w:pPr>
        <w:pStyle w:val="ListNumber"/>
      </w:pPr>
      <w:r>
        <w:rPr>
          <w:rFonts w:ascii="Inter" w:hAnsi="Inter" w:cs="Inter"/>
          <w:b w:val="0"/>
          <w:i w:val="0"/>
          <w:color w:val="2D2D2D"/>
          <w:sz w:val="22"/>
        </w:rPr>
        <w:t>Know the organizational unit code for the division or bureau responsible.</w:t>
      </w:r>
    </w:p>
    <w:p>
      <w:pPr>
        <w:pStyle w:val="ListNumber"/>
      </w:pPr>
      <w:r>
        <w:rPr>
          <w:rFonts w:ascii="Inter" w:hAnsi="Inter" w:cs="Inter"/>
          <w:b w:val="0"/>
          <w:i w:val="0"/>
          <w:color w:val="2D2D2D"/>
          <w:sz w:val="22"/>
        </w:rPr>
        <w:t>Ensure that every PPA in your register carries a code before the document is submitted for budget review.</w:t>
      </w:r>
    </w:p>
    <w:p>
      <w:pPr>
        <w:spacing w:after="120" w:line="276" w:lineRule="auto"/>
      </w:pPr>
      <w:r>
        <w:rPr>
          <w:rFonts w:ascii="Inter" w:hAnsi="Inter" w:cs="Inter"/>
          <w:b w:val="0"/>
          <w:i w:val="0"/>
          <w:color w:val="2D2D2D"/>
          <w:sz w:val="22"/>
        </w:rPr>
        <w:t>Do not leave UACS code fields blank with the intention of filling them in later. Blank UACS codes delay budget preparation and create tracking problems that persist throughout the fiscal year.</w:t>
      </w:r>
    </w:p>
    <w:p>
      <w:pPr>
        <w:pStyle w:val="Heading3"/>
      </w:pPr>
      <w:r>
        <w:rPr>
          <w:rFonts w:ascii="Inter" w:hAnsi="Inter" w:cs="Inter"/>
          <w:b/>
          <w:i w:val="0"/>
          <w:color w:val="2C5F7C"/>
          <w:sz w:val="26"/>
        </w:rPr>
        <w:t>Output-to-PPA Linkage</w:t>
      </w:r>
    </w:p>
    <w:p>
      <w:pPr>
        <w:spacing w:after="120" w:line="276" w:lineRule="auto"/>
      </w:pPr>
      <w:r>
        <w:rPr>
          <w:rFonts w:ascii="Inter" w:hAnsi="Inter" w:cs="Inter"/>
          <w:b w:val="0"/>
          <w:i w:val="0"/>
          <w:color w:val="2D2D2D"/>
          <w:sz w:val="22"/>
        </w:rPr>
        <w:t>The ToC-to-PPA linkage is the most important discipline in this chapter. Every PPA must produce at least one output from your Theory of Change. And every ToC output must have at least one PPA delivering it.</w:t>
      </w:r>
    </w:p>
    <w:p>
      <w:pPr>
        <w:spacing w:after="120" w:line="276" w:lineRule="auto"/>
      </w:pPr>
      <w:r>
        <w:rPr>
          <w:rFonts w:ascii="Inter" w:hAnsi="Inter" w:cs="Inter"/>
          <w:b w:val="0"/>
          <w:i w:val="0"/>
          <w:color w:val="2D2D2D"/>
          <w:sz w:val="22"/>
        </w:rPr>
        <w:t>The linkage has two directions:</w:t>
      </w:r>
    </w:p>
    <w:p>
      <w:pPr>
        <w:pStyle w:val="ListBullet"/>
      </w:pPr>
      <w:r>
        <w:rPr>
          <w:rFonts w:ascii="Inter" w:hAnsi="Inter" w:cs="Inter"/>
          <w:b w:val="0"/>
          <w:i w:val="0"/>
          <w:color w:val="2D2D2D"/>
          <w:sz w:val="22"/>
        </w:rPr>
      </w:r>
      <w:r>
        <w:rPr>
          <w:rFonts w:ascii="Inter" w:hAnsi="Inter" w:cs="Inter"/>
          <w:b/>
          <w:i w:val="0"/>
          <w:color w:val="2D2D2D"/>
          <w:sz w:val="22"/>
        </w:rPr>
        <w:t>Forward linkage:</w:t>
      </w:r>
      <w:r>
        <w:rPr>
          <w:rFonts w:ascii="Inter" w:hAnsi="Inter" w:cs="Inter"/>
          <w:b w:val="0"/>
          <w:i w:val="0"/>
          <w:color w:val="2D2D2D"/>
          <w:sz w:val="22"/>
        </w:rPr>
        <w:t xml:space="preserve"> When you design a PPA, you state which ToC output(s) it is designed to deliver. This justifies the PPA's existence in the strategic plan.</w:t>
      </w:r>
    </w:p>
    <w:p>
      <w:pPr>
        <w:pStyle w:val="ListBullet"/>
      </w:pPr>
      <w:r>
        <w:rPr>
          <w:rFonts w:ascii="Inter" w:hAnsi="Inter" w:cs="Inter"/>
          <w:b w:val="0"/>
          <w:i w:val="0"/>
          <w:color w:val="2D2D2D"/>
          <w:sz w:val="22"/>
        </w:rPr>
      </w:r>
      <w:r>
        <w:rPr>
          <w:rFonts w:ascii="Inter" w:hAnsi="Inter" w:cs="Inter"/>
          <w:b/>
          <w:i w:val="0"/>
          <w:color w:val="2D2D2D"/>
          <w:sz w:val="22"/>
        </w:rPr>
        <w:t>Backward coverage check:</w:t>
      </w:r>
      <w:r>
        <w:rPr>
          <w:rFonts w:ascii="Inter" w:hAnsi="Inter" w:cs="Inter"/>
          <w:b w:val="0"/>
          <w:i w:val="0"/>
          <w:color w:val="2D2D2D"/>
          <w:sz w:val="22"/>
        </w:rPr>
        <w:t xml:space="preserve"> After you have designed all your PPAs, you scan your ToC outputs and verify that each one is covered by at least one PPA. If a ToC output has no PPA, it will not be delivered --- meaning that a link in your causal chain is broken and your strategic objectives cannot be achieved.</w:t>
      </w:r>
    </w:p>
    <w:p>
      <w:pPr>
        <w:spacing w:after="120" w:line="276" w:lineRule="auto"/>
      </w:pPr>
      <w:r>
        <w:rPr>
          <w:rFonts w:ascii="Inter" w:hAnsi="Inter" w:cs="Inter"/>
          <w:b w:val="0"/>
          <w:i w:val="0"/>
          <w:color w:val="2D2D2D"/>
          <w:sz w:val="22"/>
        </w:rPr>
        <w:t>A PPA with no ToC linkage is an orphan activity. Orphan activities are a warning sign: either the activity does not belong in a results-based strategic plan, or the ToC is incomplete and the output the activity produces has not been mapped.</w:t>
      </w:r>
    </w:p>
    <w:p>
      <w:pPr>
        <w:pStyle w:val="Heading3"/>
      </w:pPr>
      <w:r>
        <w:rPr>
          <w:rFonts w:ascii="Inter" w:hAnsi="Inter" w:cs="Inter"/>
          <w:b/>
          <w:i w:val="0"/>
          <w:color w:val="2C5F7C"/>
          <w:sz w:val="26"/>
        </w:rPr>
        <w:t>The PPA Register vs. the Work Plan</w:t>
      </w:r>
    </w:p>
    <w:p>
      <w:pPr>
        <w:spacing w:after="120" w:line="276" w:lineRule="auto"/>
      </w:pPr>
      <w:r>
        <w:rPr>
          <w:rFonts w:ascii="Inter" w:hAnsi="Inter" w:cs="Inter"/>
          <w:b w:val="0"/>
          <w:i w:val="0"/>
          <w:color w:val="2D2D2D"/>
          <w:sz w:val="22"/>
        </w:rPr>
        <w:t>The PPA Register (produced in this chapter) and the Annual Work Plan (produced in Chapter 10) are related but distinct documents.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PPA Register</w:t>
      </w:r>
      <w:r>
        <w:rPr>
          <w:rFonts w:ascii="Inter" w:hAnsi="Inter" w:cs="Inter"/>
          <w:b w:val="0"/>
          <w:i w:val="0"/>
          <w:color w:val="2D2D2D"/>
          <w:sz w:val="22"/>
        </w:rPr>
        <w:t xml:space="preserve"> is a multi-year inventory. It lists all PPAs over the entire strategic planning period (typically five years), identifies their type, links them to ToC outputs, assigns responsible units and UACS codes, and provides preliminary cost estimates. It answers: *What does our MOA plan to do over the next five years?*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Annual Work Plan</w:t>
      </w:r>
      <w:r>
        <w:rPr>
          <w:rFonts w:ascii="Inter" w:hAnsi="Inter" w:cs="Inter"/>
          <w:b w:val="0"/>
          <w:i w:val="0"/>
          <w:color w:val="2D2D2D"/>
          <w:sz w:val="22"/>
        </w:rPr>
        <w:t xml:space="preserve"> translates the multi-year PPA Register into a year-by-year operational schedule. It breaks each PPA into quarterly milestones, assigns personnel, specifies annual targets, and connects to the annual budget appropriation. It answers: *What will our MOA do this year, in what sequence, and by whom?*</w:t>
      </w:r>
    </w:p>
    <w:p>
      <w:pPr>
        <w:spacing w:after="120" w:line="276" w:lineRule="auto"/>
      </w:pPr>
      <w:r>
        <w:rPr>
          <w:rFonts w:ascii="Inter" w:hAnsi="Inter" w:cs="Inter"/>
          <w:b w:val="0"/>
          <w:i w:val="0"/>
          <w:color w:val="2D2D2D"/>
          <w:sz w:val="22"/>
        </w:rPr>
        <w:t>Design the PPA Register first. The Work Plan depends on it.</w:t>
      </w:r>
    </w:p>
    <w:p>
      <w:pPr>
        <w:pStyle w:val="Heading2"/>
      </w:pPr>
      <w:r>
        <w:rPr>
          <w:rFonts w:ascii="Inter" w:hAnsi="Inter" w:cs="Inter"/>
          <w:b/>
          <w:i w:val="0"/>
          <w:color w:val="1B365D"/>
          <w:sz w:val="32"/>
        </w:rPr>
        <w:t>8.3 Step-by-Step Instructions</w:t>
      </w:r>
    </w:p>
    <w:p>
      <w:pPr>
        <w:pStyle w:val="Heading3"/>
      </w:pPr>
      <w:r>
        <w:rPr>
          <w:rFonts w:ascii="Inter" w:hAnsi="Inter" w:cs="Inter"/>
          <w:b/>
          <w:i w:val="0"/>
          <w:color w:val="2C5F7C"/>
          <w:sz w:val="26"/>
        </w:rPr>
        <w:t>Step 1: Review Your Theory of Change Outputs</w:t>
      </w:r>
    </w:p>
    <w:p>
      <w:pPr>
        <w:spacing w:after="120" w:line="276" w:lineRule="auto"/>
      </w:pPr>
      <w:r>
        <w:rPr>
          <w:rFonts w:ascii="Inter" w:hAnsi="Inter" w:cs="Inter"/>
          <w:b w:val="0"/>
          <w:i w:val="0"/>
          <w:color w:val="2D2D2D"/>
          <w:sz w:val="22"/>
        </w:rPr>
        <w:t>Before you design any PPAs, open your Theory of Change document and list all the outputs in your results chain. These are the outputs your MOA has committed to producing in order to advance its strategic objectives.</w:t>
      </w:r>
    </w:p>
    <w:p>
      <w:pPr>
        <w:spacing w:after="120" w:line="276" w:lineRule="auto"/>
      </w:pPr>
      <w:r>
        <w:rPr>
          <w:rFonts w:ascii="Inter" w:hAnsi="Inter" w:cs="Inter"/>
          <w:b w:val="0"/>
          <w:i w:val="0"/>
          <w:color w:val="2D2D2D"/>
          <w:sz w:val="22"/>
        </w:rPr>
        <w:t>Group your outputs by the strategic objective they serve. This grouping will inform how you organize your programs in Steps 2 and 3.</w:t>
      </w:r>
    </w:p>
    <w:p>
      <w:pPr>
        <w:spacing w:after="120" w:line="276" w:lineRule="auto"/>
      </w:pPr>
      <w:r>
        <w:rPr>
          <w:rFonts w:ascii="Inter" w:hAnsi="Inter" w:cs="Inter"/>
          <w:b w:val="0"/>
          <w:i w:val="0"/>
          <w:color w:val="2D2D2D"/>
          <w:sz w:val="22"/>
        </w:rPr>
        <w:t>For each output, ask: *What kind of intervention is needed to produce this output?* The answer will point you toward the appropriate PPA type:</w:t>
      </w:r>
    </w:p>
    <w:p>
      <w:pPr>
        <w:pStyle w:val="ListBullet"/>
      </w:pPr>
      <w:r>
        <w:rPr>
          <w:rFonts w:ascii="Inter" w:hAnsi="Inter" w:cs="Inter"/>
          <w:b w:val="0"/>
          <w:i w:val="0"/>
          <w:color w:val="2D2D2D"/>
          <w:sz w:val="22"/>
        </w:rPr>
        <w:t xml:space="preserve">If the output is produced through recurring, ongoing work (annual training, routine inspections, regular monitoring) --- it likely belongs in a </w:t>
      </w:r>
      <w:r>
        <w:rPr>
          <w:rFonts w:ascii="Inter" w:hAnsi="Inter" w:cs="Inter"/>
          <w:b/>
          <w:i w:val="0"/>
          <w:color w:val="2D2D2D"/>
          <w:sz w:val="22"/>
        </w:rPr>
        <w:t>program activity</w:t>
      </w:r>
      <w:r>
        <w:rPr>
          <w:rFonts w:ascii="Inter" w:hAnsi="Inter" w:cs="Inter"/>
          <w:b w:val="0"/>
          <w:i w:val="0"/>
          <w:color w:val="2D2D2D"/>
          <w:sz w:val="22"/>
        </w:rPr>
        <w:t>.</w:t>
      </w:r>
    </w:p>
    <w:p>
      <w:pPr>
        <w:pStyle w:val="ListBullet"/>
      </w:pPr>
      <w:r>
        <w:rPr>
          <w:rFonts w:ascii="Inter" w:hAnsi="Inter" w:cs="Inter"/>
          <w:b w:val="0"/>
          <w:i w:val="0"/>
          <w:color w:val="2D2D2D"/>
          <w:sz w:val="22"/>
        </w:rPr>
        <w:t xml:space="preserve">If the output is a one-time, specific deliverable (a management plan, a constructed facility, a deployed system) --- it likely belongs in a </w:t>
      </w:r>
      <w:r>
        <w:rPr>
          <w:rFonts w:ascii="Inter" w:hAnsi="Inter" w:cs="Inter"/>
          <w:b/>
          <w:i w:val="0"/>
          <w:color w:val="2D2D2D"/>
          <w:sz w:val="22"/>
        </w:rPr>
        <w:t>project</w:t>
      </w:r>
      <w:r>
        <w:rPr>
          <w:rFonts w:ascii="Inter" w:hAnsi="Inter" w:cs="Inter"/>
          <w:b w:val="0"/>
          <w:i w:val="0"/>
          <w:color w:val="2D2D2D"/>
          <w:sz w:val="22"/>
        </w:rPr>
        <w:t>.</w:t>
      </w:r>
    </w:p>
    <w:p>
      <w:pPr>
        <w:pStyle w:val="ListBullet"/>
      </w:pPr>
      <w:r>
        <w:rPr>
          <w:rFonts w:ascii="Inter" w:hAnsi="Inter" w:cs="Inter"/>
          <w:b w:val="0"/>
          <w:i w:val="0"/>
          <w:color w:val="2D2D2D"/>
          <w:sz w:val="22"/>
        </w:rPr>
        <w:t xml:space="preserve">If the output is purely administrative or organizational support --- it belongs in a </w:t>
      </w:r>
      <w:r>
        <w:rPr>
          <w:rFonts w:ascii="Inter" w:hAnsi="Inter" w:cs="Inter"/>
          <w:b/>
          <w:i w:val="0"/>
          <w:color w:val="2D2D2D"/>
          <w:sz w:val="22"/>
        </w:rPr>
        <w:t>GAS or STO program activity</w:t>
      </w:r>
      <w:r>
        <w:rPr>
          <w:rFonts w:ascii="Inter" w:hAnsi="Inter" w:cs="Inter"/>
          <w:b w:val="0"/>
          <w:i w:val="0"/>
          <w:color w:val="2D2D2D"/>
          <w:sz w:val="22"/>
        </w:rPr>
        <w:t>.</w:t>
      </w:r>
    </w:p>
    <w:p>
      <w:pPr>
        <w:pStyle w:val="Heading3"/>
      </w:pPr>
      <w:r>
        <w:rPr>
          <w:rFonts w:ascii="Inter" w:hAnsi="Inter" w:cs="Inter"/>
          <w:b/>
          <w:i w:val="0"/>
          <w:color w:val="2C5F7C"/>
          <w:sz w:val="26"/>
        </w:rPr>
        <w:t>Step 2: Group Related Activities into Logical Programs or Projects</w:t>
      </w:r>
    </w:p>
    <w:p>
      <w:pPr>
        <w:spacing w:after="120" w:line="276" w:lineRule="auto"/>
      </w:pPr>
      <w:r>
        <w:rPr>
          <w:rFonts w:ascii="Inter" w:hAnsi="Inter" w:cs="Inter"/>
          <w:b w:val="0"/>
          <w:i w:val="0"/>
          <w:color w:val="2D2D2D"/>
          <w:sz w:val="22"/>
        </w:rPr>
        <w:t>Look at the outputs you have listed and ask: which of these are thematically and operationally related? Outputs that share a sector focus, target the same beneficiary group, or require the same team of staff are candidates for grouping into a single program.</w:t>
      </w:r>
    </w:p>
    <w:p>
      <w:pPr>
        <w:spacing w:after="120" w:line="276" w:lineRule="auto"/>
      </w:pPr>
      <w:r>
        <w:rPr>
          <w:rFonts w:ascii="Inter" w:hAnsi="Inter" w:cs="Inter"/>
          <w:b w:val="0"/>
          <w:i w:val="0"/>
          <w:color w:val="2D2D2D"/>
          <w:sz w:val="22"/>
        </w:rPr>
        <w:t>Avoid creating too many programs. A strategic plan with fifteen programs and thirty projects will be impossible to manage effectively. Aim for three to six programs that reflect your MOA's major functional areas, with projects nested inside or standing alongside them.</w:t>
      </w:r>
    </w:p>
    <w:p>
      <w:pPr>
        <w:spacing w:after="120" w:line="276" w:lineRule="auto"/>
      </w:pPr>
      <w:r>
        <w:rPr>
          <w:rFonts w:ascii="Inter" w:hAnsi="Inter" w:cs="Inter"/>
          <w:b w:val="0"/>
          <w:i w:val="0"/>
          <w:color w:val="2D2D2D"/>
          <w:sz w:val="22"/>
        </w:rPr>
        <w:t>The standard three-program structure (GAS, STO, Operations) works for most MOAs:</w:t>
      </w:r>
    </w:p>
    <w:p>
      <w:pPr>
        <w:pStyle w:val="ListBullet"/>
      </w:pPr>
      <w:r>
        <w:rPr>
          <w:rFonts w:ascii="Inter" w:hAnsi="Inter" w:cs="Inter"/>
          <w:b w:val="0"/>
          <w:i w:val="0"/>
          <w:color w:val="2D2D2D"/>
          <w:sz w:val="22"/>
        </w:rPr>
      </w:r>
      <w:r>
        <w:rPr>
          <w:rFonts w:ascii="Inter" w:hAnsi="Inter" w:cs="Inter"/>
          <w:b/>
          <w:i w:val="0"/>
          <w:color w:val="2D2D2D"/>
          <w:sz w:val="22"/>
        </w:rPr>
        <w:t>GAS Program:</w:t>
      </w:r>
      <w:r>
        <w:rPr>
          <w:rFonts w:ascii="Inter" w:hAnsi="Inter" w:cs="Inter"/>
          <w:b w:val="0"/>
          <w:i w:val="0"/>
          <w:color w:val="2D2D2D"/>
          <w:sz w:val="22"/>
        </w:rPr>
        <w:t xml:space="preserve"> All administrative support activities. One program, multiple activities.</w:t>
      </w:r>
    </w:p>
    <w:p>
      <w:pPr>
        <w:pStyle w:val="ListBullet"/>
      </w:pPr>
      <w:r>
        <w:rPr>
          <w:rFonts w:ascii="Inter" w:hAnsi="Inter" w:cs="Inter"/>
          <w:b w:val="0"/>
          <w:i w:val="0"/>
          <w:color w:val="2D2D2D"/>
          <w:sz w:val="22"/>
        </w:rPr>
      </w:r>
      <w:r>
        <w:rPr>
          <w:rFonts w:ascii="Inter" w:hAnsi="Inter" w:cs="Inter"/>
          <w:b/>
          <w:i w:val="0"/>
          <w:color w:val="2D2D2D"/>
          <w:sz w:val="22"/>
        </w:rPr>
        <w:t>STO Program:</w:t>
      </w:r>
      <w:r>
        <w:rPr>
          <w:rFonts w:ascii="Inter" w:hAnsi="Inter" w:cs="Inter"/>
          <w:b w:val="0"/>
          <w:i w:val="0"/>
          <w:color w:val="2D2D2D"/>
          <w:sz w:val="22"/>
        </w:rPr>
        <w:t xml:space="preserve"> Planning, monitoring, legal, information systems, public communications. One or two programs, primarily activities.</w:t>
      </w:r>
    </w:p>
    <w:p>
      <w:pPr>
        <w:pStyle w:val="ListBullet"/>
      </w:pPr>
      <w:r>
        <w:rPr>
          <w:rFonts w:ascii="Inter" w:hAnsi="Inter" w:cs="Inter"/>
          <w:b w:val="0"/>
          <w:i w:val="0"/>
          <w:color w:val="2D2D2D"/>
          <w:sz w:val="22"/>
        </w:rPr>
      </w:r>
      <w:r>
        <w:rPr>
          <w:rFonts w:ascii="Inter" w:hAnsi="Inter" w:cs="Inter"/>
          <w:b/>
          <w:i w:val="0"/>
          <w:color w:val="2D2D2D"/>
          <w:sz w:val="22"/>
        </w:rPr>
        <w:t>Operations Program(s):</w:t>
      </w:r>
      <w:r>
        <w:rPr>
          <w:rFonts w:ascii="Inter" w:hAnsi="Inter" w:cs="Inter"/>
          <w:b w:val="0"/>
          <w:i w:val="0"/>
          <w:color w:val="2D2D2D"/>
          <w:sz w:val="22"/>
        </w:rPr>
        <w:t xml:space="preserve"> Core mandate functions. One or more programs depending on the scale and diversity of the MOA's mandate. This is where most strategic work lives.</w:t>
      </w:r>
    </w:p>
    <w:p>
      <w:pPr>
        <w:spacing w:after="120" w:line="276" w:lineRule="auto"/>
      </w:pPr>
      <w:r>
        <w:rPr>
          <w:rFonts w:ascii="Inter" w:hAnsi="Inter" w:cs="Inter"/>
          <w:b w:val="0"/>
          <w:i w:val="0"/>
          <w:color w:val="2D2D2D"/>
          <w:sz w:val="22"/>
        </w:rPr>
        <w:t>Some MOAs with diverse mandates may have two or three Operations programs aligned to distinct sectoral functions. This is acceptable, but each Operations program must link to at least one strategic objective.</w:t>
      </w:r>
    </w:p>
    <w:p>
      <w:pPr>
        <w:pStyle w:val="Heading3"/>
      </w:pPr>
      <w:r>
        <w:rPr>
          <w:rFonts w:ascii="Inter" w:hAnsi="Inter" w:cs="Inter"/>
          <w:b/>
          <w:i w:val="0"/>
          <w:color w:val="2C5F7C"/>
          <w:sz w:val="26"/>
        </w:rPr>
        <w:t>Step 3: Determine PPA Type for Each Grouping</w:t>
      </w:r>
    </w:p>
    <w:p>
      <w:pPr>
        <w:spacing w:after="120" w:line="276" w:lineRule="auto"/>
      </w:pPr>
      <w:r>
        <w:rPr>
          <w:rFonts w:ascii="Inter" w:hAnsi="Inter" w:cs="Inter"/>
          <w:b w:val="0"/>
          <w:i w:val="0"/>
          <w:color w:val="2D2D2D"/>
          <w:sz w:val="22"/>
        </w:rPr>
        <w:t>For each cluster of related work you identified in Step 2, determine the PPA type:</w:t>
      </w:r>
    </w:p>
    <w:p>
      <w:pPr>
        <w:pStyle w:val="ListBullet"/>
      </w:pPr>
      <w:r>
        <w:rPr>
          <w:rFonts w:ascii="Inter" w:hAnsi="Inter" w:cs="Inter"/>
          <w:b w:val="0"/>
          <w:i w:val="0"/>
          <w:color w:val="2D2D2D"/>
          <w:sz w:val="22"/>
        </w:rPr>
        <w:t xml:space="preserve">If it is ongoing, cross-cutting, and multi-year: </w:t>
      </w:r>
      <w:r>
        <w:rPr>
          <w:rFonts w:ascii="Inter" w:hAnsi="Inter" w:cs="Inter"/>
          <w:b/>
          <w:i w:val="0"/>
          <w:color w:val="2D2D2D"/>
          <w:sz w:val="22"/>
        </w:rPr>
        <w:t>Program</w:t>
      </w:r>
      <w:r>
        <w:rPr>
          <w:rFonts w:ascii="Inter" w:hAnsi="Inter" w:cs="Inter"/>
          <w:b w:val="0"/>
          <w:i w:val="0"/>
          <w:color w:val="2D2D2D"/>
          <w:sz w:val="22"/>
        </w:rPr>
      </w:r>
    </w:p>
    <w:p>
      <w:pPr>
        <w:pStyle w:val="ListBullet"/>
      </w:pPr>
      <w:r>
        <w:rPr>
          <w:rFonts w:ascii="Inter" w:hAnsi="Inter" w:cs="Inter"/>
          <w:b w:val="0"/>
          <w:i w:val="0"/>
          <w:color w:val="2D2D2D"/>
          <w:sz w:val="22"/>
        </w:rPr>
        <w:t xml:space="preserve">If it is time-bound with a specific deliverable: </w:t>
      </w:r>
      <w:r>
        <w:rPr>
          <w:rFonts w:ascii="Inter" w:hAnsi="Inter" w:cs="Inter"/>
          <w:b/>
          <w:i w:val="0"/>
          <w:color w:val="2D2D2D"/>
          <w:sz w:val="22"/>
        </w:rPr>
        <w:t>Project</w:t>
      </w:r>
      <w:r>
        <w:rPr>
          <w:rFonts w:ascii="Inter" w:hAnsi="Inter" w:cs="Inter"/>
          <w:b w:val="0"/>
          <w:i w:val="0"/>
          <w:color w:val="2D2D2D"/>
          <w:sz w:val="22"/>
        </w:rPr>
        <w:t xml:space="preserve"> (inside or outside a program)</w:t>
      </w:r>
    </w:p>
    <w:p>
      <w:pPr>
        <w:pStyle w:val="ListBullet"/>
      </w:pPr>
      <w:r>
        <w:rPr>
          <w:rFonts w:ascii="Inter" w:hAnsi="Inter" w:cs="Inter"/>
          <w:b w:val="0"/>
          <w:i w:val="0"/>
          <w:color w:val="2D2D2D"/>
          <w:sz w:val="22"/>
        </w:rPr>
        <w:t xml:space="preserve">If it is recurring operational work that does not warrant its own project structure: </w:t>
      </w:r>
      <w:r>
        <w:rPr>
          <w:rFonts w:ascii="Inter" w:hAnsi="Inter" w:cs="Inter"/>
          <w:b/>
          <w:i w:val="0"/>
          <w:color w:val="2D2D2D"/>
          <w:sz w:val="22"/>
        </w:rPr>
        <w:t>Activity</w:t>
      </w:r>
      <w:r>
        <w:rPr>
          <w:rFonts w:ascii="Inter" w:hAnsi="Inter" w:cs="Inter"/>
          <w:b w:val="0"/>
          <w:i w:val="0"/>
          <w:color w:val="2D2D2D"/>
          <w:sz w:val="22"/>
        </w:rPr>
        <w:t xml:space="preserve"> (under a program, under a project, or standalone)</w:t>
      </w:r>
    </w:p>
    <w:p>
      <w:pPr>
        <w:spacing w:after="120" w:line="276" w:lineRule="auto"/>
      </w:pPr>
      <w:r>
        <w:rPr>
          <w:rFonts w:ascii="Inter" w:hAnsi="Inter" w:cs="Inter"/>
          <w:b w:val="0"/>
          <w:i w:val="0"/>
          <w:color w:val="2D2D2D"/>
          <w:sz w:val="22"/>
        </w:rPr>
        <w:t>Document your determination and the reasoning. If you cannot articulate why a grouping is a program rather than a project (or vice versa), reconsider the categorization before proceeding.</w:t>
      </w:r>
    </w:p>
    <w:p>
      <w:pPr>
        <w:pStyle w:val="Heading3"/>
      </w:pPr>
      <w:r>
        <w:rPr>
          <w:rFonts w:ascii="Inter" w:hAnsi="Inter" w:cs="Inter"/>
          <w:b/>
          <w:i w:val="0"/>
          <w:color w:val="2C5F7C"/>
          <w:sz w:val="26"/>
        </w:rPr>
        <w:t>Step 4: Define PPA Attributes</w:t>
      </w:r>
    </w:p>
    <w:p>
      <w:pPr>
        <w:spacing w:after="120" w:line="276" w:lineRule="auto"/>
      </w:pPr>
      <w:r>
        <w:rPr>
          <w:rFonts w:ascii="Inter" w:hAnsi="Inter" w:cs="Inter"/>
          <w:b w:val="0"/>
          <w:i w:val="0"/>
          <w:color w:val="2D2D2D"/>
          <w:sz w:val="22"/>
        </w:rPr>
        <w:t>For each PPA, define the following:</w:t>
      </w:r>
    </w:p>
    <w:p>
      <w:pPr>
        <w:spacing w:after="120" w:line="276" w:lineRule="auto"/>
      </w:pPr>
      <w:r>
        <w:rPr>
          <w:rFonts w:ascii="Inter" w:hAnsi="Inter" w:cs="Inter"/>
          <w:b w:val="0"/>
          <w:i w:val="0"/>
          <w:color w:val="2D2D2D"/>
          <w:sz w:val="22"/>
        </w:rPr>
      </w:r>
      <w:r>
        <w:rPr>
          <w:rFonts w:ascii="Inter" w:hAnsi="Inter" w:cs="Inter"/>
          <w:b/>
          <w:i w:val="0"/>
          <w:color w:val="2D2D2D"/>
          <w:sz w:val="22"/>
        </w:rPr>
        <w:t>PPA Code.</w:t>
      </w:r>
      <w:r>
        <w:rPr>
          <w:rFonts w:ascii="Inter" w:hAnsi="Inter" w:cs="Inter"/>
          <w:b w:val="0"/>
          <w:i w:val="0"/>
          <w:color w:val="2D2D2D"/>
          <w:sz w:val="22"/>
        </w:rPr>
        <w:t xml:space="preserve"> A sequential identifier unique within your plan. Use a consistent format: for example, P-01 for the first program, PR-01 for the first project, A-01 for the first standalone activity. Activities nested under a program or project can use a hierarchical code (P-01-A-01 for the first activity under Program 1).</w:t>
      </w:r>
    </w:p>
    <w:p>
      <w:pPr>
        <w:spacing w:after="120" w:line="276" w:lineRule="auto"/>
      </w:pPr>
      <w:r>
        <w:rPr>
          <w:rFonts w:ascii="Inter" w:hAnsi="Inter" w:cs="Inter"/>
          <w:b w:val="0"/>
          <w:i w:val="0"/>
          <w:color w:val="2D2D2D"/>
          <w:sz w:val="22"/>
        </w:rPr>
      </w:r>
      <w:r>
        <w:rPr>
          <w:rFonts w:ascii="Inter" w:hAnsi="Inter" w:cs="Inter"/>
          <w:b/>
          <w:i w:val="0"/>
          <w:color w:val="2D2D2D"/>
          <w:sz w:val="22"/>
        </w:rPr>
        <w:t>PPA Name.</w:t>
      </w:r>
      <w:r>
        <w:rPr>
          <w:rFonts w:ascii="Inter" w:hAnsi="Inter" w:cs="Inter"/>
          <w:b w:val="0"/>
          <w:i w:val="0"/>
          <w:color w:val="2D2D2D"/>
          <w:sz w:val="22"/>
        </w:rPr>
        <w:t xml:space="preserve"> Clear, specific, and descriptive. A reader who knows nothing about your MOA should understand what the PPA does from the name alone. Avoid bureaucratic abbreviations. "Environmental Monitoring and Assessment Program" is better than "EnvMon Prog."</w:t>
      </w:r>
    </w:p>
    <w:p>
      <w:pPr>
        <w:spacing w:after="120" w:line="276" w:lineRule="auto"/>
      </w:pPr>
      <w:r>
        <w:rPr>
          <w:rFonts w:ascii="Inter" w:hAnsi="Inter" w:cs="Inter"/>
          <w:b w:val="0"/>
          <w:i w:val="0"/>
          <w:color w:val="2D2D2D"/>
          <w:sz w:val="22"/>
        </w:rPr>
      </w:r>
      <w:r>
        <w:rPr>
          <w:rFonts w:ascii="Inter" w:hAnsi="Inter" w:cs="Inter"/>
          <w:b/>
          <w:i w:val="0"/>
          <w:color w:val="2D2D2D"/>
          <w:sz w:val="22"/>
        </w:rPr>
        <w:t>PPA Type.</w:t>
      </w:r>
      <w:r>
        <w:rPr>
          <w:rFonts w:ascii="Inter" w:hAnsi="Inter" w:cs="Inter"/>
          <w:b w:val="0"/>
          <w:i w:val="0"/>
          <w:color w:val="2D2D2D"/>
          <w:sz w:val="22"/>
        </w:rPr>
        <w:t xml:space="preserve"> Program (P), Project (Pr), or Activity (A).</w:t>
      </w:r>
    </w:p>
    <w:p>
      <w:pPr>
        <w:spacing w:after="120" w:line="276" w:lineRule="auto"/>
      </w:pPr>
      <w:r>
        <w:rPr>
          <w:rFonts w:ascii="Inter" w:hAnsi="Inter" w:cs="Inter"/>
          <w:b w:val="0"/>
          <w:i w:val="0"/>
          <w:color w:val="2D2D2D"/>
          <w:sz w:val="22"/>
        </w:rPr>
      </w:r>
      <w:r>
        <w:rPr>
          <w:rFonts w:ascii="Inter" w:hAnsi="Inter" w:cs="Inter"/>
          <w:b/>
          <w:i w:val="0"/>
          <w:color w:val="2D2D2D"/>
          <w:sz w:val="22"/>
        </w:rPr>
        <w:t>Description.</w:t>
      </w:r>
      <w:r>
        <w:rPr>
          <w:rFonts w:ascii="Inter" w:hAnsi="Inter" w:cs="Inter"/>
          <w:b w:val="0"/>
          <w:i w:val="0"/>
          <w:color w:val="2D2D2D"/>
          <w:sz w:val="22"/>
        </w:rPr>
        <w:t xml:space="preserve"> A two-to-four sentence explanation of what the PPA does, why it exists, and who it serves. This is not a budget justification --- it is a plain-language explanation for a non-specialist reader.</w:t>
      </w:r>
    </w:p>
    <w:p>
      <w:pPr>
        <w:spacing w:after="120" w:line="276" w:lineRule="auto"/>
      </w:pPr>
      <w:r>
        <w:rPr>
          <w:rFonts w:ascii="Inter" w:hAnsi="Inter" w:cs="Inter"/>
          <w:b w:val="0"/>
          <w:i w:val="0"/>
          <w:color w:val="2D2D2D"/>
          <w:sz w:val="22"/>
        </w:rPr>
      </w:r>
      <w:r>
        <w:rPr>
          <w:rFonts w:ascii="Inter" w:hAnsi="Inter" w:cs="Inter"/>
          <w:b/>
          <w:i w:val="0"/>
          <w:color w:val="2D2D2D"/>
          <w:sz w:val="22"/>
        </w:rPr>
        <w:t>Objective.</w:t>
      </w:r>
      <w:r>
        <w:rPr>
          <w:rFonts w:ascii="Inter" w:hAnsi="Inter" w:cs="Inter"/>
          <w:b w:val="0"/>
          <w:i w:val="0"/>
          <w:color w:val="2D2D2D"/>
          <w:sz w:val="22"/>
        </w:rPr>
        <w:t xml:space="preserve"> The strategic objective this PPA directly supports. Reference the strategic objective code from Chapter 6 (for example, SO-2: "Protect and rehabilitate critical watersheds and forest ecosystems").</w:t>
      </w:r>
    </w:p>
    <w:p>
      <w:pPr>
        <w:spacing w:after="120" w:line="276" w:lineRule="auto"/>
      </w:pPr>
      <w:r>
        <w:rPr>
          <w:rFonts w:ascii="Inter" w:hAnsi="Inter" w:cs="Inter"/>
          <w:b w:val="0"/>
          <w:i w:val="0"/>
          <w:color w:val="2D2D2D"/>
          <w:sz w:val="22"/>
        </w:rPr>
      </w:r>
      <w:r>
        <w:rPr>
          <w:rFonts w:ascii="Inter" w:hAnsi="Inter" w:cs="Inter"/>
          <w:b/>
          <w:i w:val="0"/>
          <w:color w:val="2D2D2D"/>
          <w:sz w:val="22"/>
        </w:rPr>
        <w:t>Expected Output(s).</w:t>
      </w:r>
      <w:r>
        <w:rPr>
          <w:rFonts w:ascii="Inter" w:hAnsi="Inter" w:cs="Inter"/>
          <w:b w:val="0"/>
          <w:i w:val="0"/>
          <w:color w:val="2D2D2D"/>
          <w:sz w:val="22"/>
        </w:rPr>
        <w:t xml:space="preserve"> The specific outputs from your ToC that this PPA is designed to deliver. Reference the output codes from your ToC worksheet.</w:t>
      </w:r>
    </w:p>
    <w:p>
      <w:pPr>
        <w:spacing w:after="120" w:line="276" w:lineRule="auto"/>
      </w:pPr>
      <w:r>
        <w:rPr>
          <w:rFonts w:ascii="Inter" w:hAnsi="Inter" w:cs="Inter"/>
          <w:b w:val="0"/>
          <w:i w:val="0"/>
          <w:color w:val="2D2D2D"/>
          <w:sz w:val="22"/>
        </w:rPr>
      </w:r>
      <w:r>
        <w:rPr>
          <w:rFonts w:ascii="Inter" w:hAnsi="Inter" w:cs="Inter"/>
          <w:b/>
          <w:i w:val="0"/>
          <w:color w:val="2D2D2D"/>
          <w:sz w:val="22"/>
        </w:rPr>
        <w:t>Responsible Unit.</w:t>
      </w:r>
      <w:r>
        <w:rPr>
          <w:rFonts w:ascii="Inter" w:hAnsi="Inter" w:cs="Inter"/>
          <w:b w:val="0"/>
          <w:i w:val="0"/>
          <w:color w:val="2D2D2D"/>
          <w:sz w:val="22"/>
        </w:rPr>
        <w:t xml:space="preserve"> The specific division, bureau, or office within your MOA that owns implementation. Avoid writing "Ministry of [Name]" --- specify the unit that actually does the work. If multiple units share responsibility, identify the lead unit.</w:t>
      </w:r>
    </w:p>
    <w:p>
      <w:pPr>
        <w:spacing w:after="120" w:line="276" w:lineRule="auto"/>
      </w:pPr>
      <w:r>
        <w:rPr>
          <w:rFonts w:ascii="Inter" w:hAnsi="Inter" w:cs="Inter"/>
          <w:b w:val="0"/>
          <w:i w:val="0"/>
          <w:color w:val="2D2D2D"/>
          <w:sz w:val="22"/>
        </w:rPr>
      </w:r>
      <w:r>
        <w:rPr>
          <w:rFonts w:ascii="Inter" w:hAnsi="Inter" w:cs="Inter"/>
          <w:b/>
          <w:i w:val="0"/>
          <w:color w:val="2D2D2D"/>
          <w:sz w:val="22"/>
        </w:rPr>
        <w:t>Timeline.</w:t>
      </w:r>
      <w:r>
        <w:rPr>
          <w:rFonts w:ascii="Inter" w:hAnsi="Inter" w:cs="Inter"/>
          <w:b w:val="0"/>
          <w:i w:val="0"/>
          <w:color w:val="2D2D2D"/>
          <w:sz w:val="22"/>
        </w:rPr>
        <w:t xml:space="preserve"> Start month/year and end month/year. For ongoing programs with no defined end, write the start date and "Continuing." For activities, specify the implementation quarter within each fiscal year.</w:t>
      </w:r>
    </w:p>
    <w:p>
      <w:pPr>
        <w:spacing w:after="120" w:line="276" w:lineRule="auto"/>
      </w:pPr>
      <w:r>
        <w:rPr>
          <w:rFonts w:ascii="Inter" w:hAnsi="Inter" w:cs="Inter"/>
          <w:b w:val="0"/>
          <w:i w:val="0"/>
          <w:color w:val="2D2D2D"/>
          <w:sz w:val="22"/>
        </w:rPr>
      </w:r>
      <w:r>
        <w:rPr>
          <w:rFonts w:ascii="Inter" w:hAnsi="Inter" w:cs="Inter"/>
          <w:b/>
          <w:i w:val="0"/>
          <w:color w:val="2D2D2D"/>
          <w:sz w:val="22"/>
        </w:rPr>
        <w:t>UACS Code.</w:t>
      </w:r>
      <w:r>
        <w:rPr>
          <w:rFonts w:ascii="Inter" w:hAnsi="Inter" w:cs="Inter"/>
          <w:b w:val="0"/>
          <w:i w:val="0"/>
          <w:color w:val="2D2D2D"/>
          <w:sz w:val="22"/>
        </w:rPr>
        <w:t xml:space="preserve"> The national budget classification code. Enter "To be assigned by Budget Officer" if not yet determined, but flag it for resolution before budget submission.</w:t>
      </w:r>
    </w:p>
    <w:p>
      <w:pPr>
        <w:spacing w:after="120" w:line="276" w:lineRule="auto"/>
      </w:pPr>
      <w:r>
        <w:rPr>
          <w:rFonts w:ascii="Inter" w:hAnsi="Inter" w:cs="Inter"/>
          <w:b w:val="0"/>
          <w:i w:val="0"/>
          <w:color w:val="2D2D2D"/>
          <w:sz w:val="22"/>
        </w:rPr>
      </w:r>
      <w:r>
        <w:rPr>
          <w:rFonts w:ascii="Inter" w:hAnsi="Inter" w:cs="Inter"/>
          <w:b/>
          <w:i w:val="0"/>
          <w:color w:val="2D2D2D"/>
          <w:sz w:val="22"/>
        </w:rPr>
        <w:t>Estimated Cost (PhP).</w:t>
      </w:r>
      <w:r>
        <w:rPr>
          <w:rFonts w:ascii="Inter" w:hAnsi="Inter" w:cs="Inter"/>
          <w:b w:val="0"/>
          <w:i w:val="0"/>
          <w:color w:val="2D2D2D"/>
          <w:sz w:val="22"/>
        </w:rPr>
        <w:t xml:space="preserve"> A preliminary total cost for the PPA over the planning period, broken down by fiscal year if possible. Detailed costing is done in Chapter 9 --- this is an order-of-magnitude estimate for planning purposes.</w:t>
      </w:r>
    </w:p>
    <w:p>
      <w:pPr>
        <w:spacing w:after="120" w:line="276" w:lineRule="auto"/>
      </w:pPr>
      <w:r>
        <w:rPr>
          <w:rFonts w:ascii="Inter" w:hAnsi="Inter" w:cs="Inter"/>
          <w:b w:val="0"/>
          <w:i w:val="0"/>
          <w:color w:val="2D2D2D"/>
          <w:sz w:val="22"/>
        </w:rPr>
      </w:r>
      <w:r>
        <w:rPr>
          <w:rFonts w:ascii="Inter" w:hAnsi="Inter" w:cs="Inter"/>
          <w:b/>
          <w:i w:val="0"/>
          <w:color w:val="2D2D2D"/>
          <w:sz w:val="22"/>
        </w:rPr>
        <w:t>Annual Target.</w:t>
      </w:r>
      <w:r>
        <w:rPr>
          <w:rFonts w:ascii="Inter" w:hAnsi="Inter" w:cs="Inter"/>
          <w:b w:val="0"/>
          <w:i w:val="0"/>
          <w:color w:val="2D2D2D"/>
          <w:sz w:val="22"/>
        </w:rPr>
        <w:t xml:space="preserve"> The measurable output quantity your MOA commits to delivering each year. For a training activity: "9 officers trained per province per year." For a project: "Management plan drafted (Year 1), approved (Year 2), disseminated (Year 3)."</w:t>
      </w:r>
    </w:p>
    <w:p>
      <w:pPr>
        <w:pStyle w:val="Heading3"/>
      </w:pPr>
      <w:r>
        <w:rPr>
          <w:rFonts w:ascii="Inter" w:hAnsi="Inter" w:cs="Inter"/>
          <w:b/>
          <w:i w:val="0"/>
          <w:color w:val="2C5F7C"/>
          <w:sz w:val="26"/>
        </w:rPr>
        <w:t>Step 5: Link Each PPA to Its Theory of Change Output(s)</w:t>
      </w:r>
    </w:p>
    <w:p>
      <w:pPr>
        <w:spacing w:after="120" w:line="276" w:lineRule="auto"/>
      </w:pPr>
      <w:r>
        <w:rPr>
          <w:rFonts w:ascii="Inter" w:hAnsi="Inter" w:cs="Inter"/>
          <w:b w:val="0"/>
          <w:i w:val="0"/>
          <w:color w:val="2D2D2D"/>
          <w:sz w:val="22"/>
        </w:rPr>
        <w:t>For each PPA, enter the ToC output code(s) it is designed to deliver. More than one PPA can deliver the same output (if multiple teams contribute to it). One PPA can deliver multiple outputs (if it is a broad program with diverse activities).</w:t>
      </w:r>
    </w:p>
    <w:p>
      <w:pPr>
        <w:spacing w:after="120" w:line="276" w:lineRule="auto"/>
      </w:pPr>
      <w:r>
        <w:rPr>
          <w:rFonts w:ascii="Inter" w:hAnsi="Inter" w:cs="Inter"/>
          <w:b w:val="0"/>
          <w:i w:val="0"/>
          <w:color w:val="2D2D2D"/>
          <w:sz w:val="22"/>
        </w:rPr>
        <w:t>Record these linkages in the ToC-to-PPA Linkage Table (Section 8.4 shows an example). The linkage table is a quick verification tool: if every row has at least one PPA in the "Delivering PPA" column, your coverage is complete.</w:t>
      </w:r>
    </w:p>
    <w:p>
      <w:pPr>
        <w:pStyle w:val="Heading3"/>
      </w:pPr>
      <w:r>
        <w:rPr>
          <w:rFonts w:ascii="Inter" w:hAnsi="Inter" w:cs="Inter"/>
          <w:b/>
          <w:i w:val="0"/>
          <w:color w:val="2C5F7C"/>
          <w:sz w:val="26"/>
        </w:rPr>
        <w:t>Step 6: Verify Coverage --- No Orphan Outputs</w:t>
      </w:r>
    </w:p>
    <w:p>
      <w:pPr>
        <w:spacing w:after="120" w:line="276" w:lineRule="auto"/>
      </w:pPr>
      <w:r>
        <w:rPr>
          <w:rFonts w:ascii="Inter" w:hAnsi="Inter" w:cs="Inter"/>
          <w:b w:val="0"/>
          <w:i w:val="0"/>
          <w:color w:val="2D2D2D"/>
          <w:sz w:val="22"/>
        </w:rPr>
        <w:t>Scan your ToC outputs. For each output, confirm that at least one PPA is linked to it. An output with no linked PPA means that result will not be produced --- and your causal chain is broken at that link.</w:t>
      </w:r>
    </w:p>
    <w:p>
      <w:pPr>
        <w:spacing w:after="120" w:line="276" w:lineRule="auto"/>
      </w:pPr>
      <w:r>
        <w:rPr>
          <w:rFonts w:ascii="Inter" w:hAnsi="Inter" w:cs="Inter"/>
          <w:b w:val="0"/>
          <w:i w:val="0"/>
          <w:color w:val="2D2D2D"/>
          <w:sz w:val="22"/>
        </w:rPr>
        <w:t>If you find uncovered outputs:</w:t>
      </w:r>
    </w:p>
    <w:p>
      <w:pPr>
        <w:pStyle w:val="ListBullet"/>
      </w:pPr>
      <w:r>
        <w:rPr>
          <w:rFonts w:ascii="Inter" w:hAnsi="Inter" w:cs="Inter"/>
          <w:b w:val="0"/>
          <w:i w:val="0"/>
          <w:color w:val="2D2D2D"/>
          <w:sz w:val="22"/>
        </w:rPr>
        <w:t>Either design a new PPA to deliver the output, or</w:t>
      </w:r>
    </w:p>
    <w:p>
      <w:pPr>
        <w:pStyle w:val="ListBullet"/>
      </w:pPr>
      <w:r>
        <w:rPr>
          <w:rFonts w:ascii="Inter" w:hAnsi="Inter" w:cs="Inter"/>
          <w:b w:val="0"/>
          <w:i w:val="0"/>
          <w:color w:val="2D2D2D"/>
          <w:sz w:val="22"/>
        </w:rPr>
        <w:t>Revise your ToC to remove the output (if you have determined that your MOA will not actually deliver it in this planning cycle --- and update your causal logic accordingly).</w:t>
      </w:r>
    </w:p>
    <w:p>
      <w:pPr>
        <w:spacing w:after="120" w:line="276" w:lineRule="auto"/>
      </w:pPr>
      <w:r>
        <w:rPr>
          <w:rFonts w:ascii="Inter" w:hAnsi="Inter" w:cs="Inter"/>
          <w:b w:val="0"/>
          <w:i w:val="0"/>
          <w:color w:val="2D2D2D"/>
          <w:sz w:val="22"/>
        </w:rPr>
        <w:t>Do not carry uncovered outputs in your ToC. They are false promises: you have told your stakeholders that you will produce a result, but you have designed no intervention to produce it.</w:t>
      </w:r>
    </w:p>
    <w:p>
      <w:pPr>
        <w:pStyle w:val="Heading3"/>
      </w:pPr>
      <w:r>
        <w:rPr>
          <w:rFonts w:ascii="Inter" w:hAnsi="Inter" w:cs="Inter"/>
          <w:b/>
          <w:i w:val="0"/>
          <w:color w:val="2C5F7C"/>
          <w:sz w:val="26"/>
        </w:rPr>
        <w:t>Step 7: Verify Coverage --- No Orphan PPAs</w:t>
      </w:r>
    </w:p>
    <w:p>
      <w:pPr>
        <w:spacing w:after="120" w:line="276" w:lineRule="auto"/>
      </w:pPr>
      <w:r>
        <w:rPr>
          <w:rFonts w:ascii="Inter" w:hAnsi="Inter" w:cs="Inter"/>
          <w:b w:val="0"/>
          <w:i w:val="0"/>
          <w:color w:val="2D2D2D"/>
          <w:sz w:val="22"/>
        </w:rPr>
        <w:t>Scan your PPA Register. For each PPA, confirm that it links to at least one ToC output.</w:t>
      </w:r>
    </w:p>
    <w:p>
      <w:pPr>
        <w:spacing w:after="120" w:line="276" w:lineRule="auto"/>
      </w:pPr>
      <w:r>
        <w:rPr>
          <w:rFonts w:ascii="Inter" w:hAnsi="Inter" w:cs="Inter"/>
          <w:b w:val="0"/>
          <w:i w:val="0"/>
          <w:color w:val="2D2D2D"/>
          <w:sz w:val="22"/>
        </w:rPr>
        <w:t>A PPA with no ToC linkage is an orphan activity. Ask:</w:t>
      </w:r>
    </w:p>
    <w:p>
      <w:pPr>
        <w:pStyle w:val="ListBullet"/>
      </w:pPr>
      <w:r>
        <w:rPr>
          <w:rFonts w:ascii="Inter" w:hAnsi="Inter" w:cs="Inter"/>
          <w:b w:val="0"/>
          <w:i w:val="0"/>
          <w:color w:val="2D2D2D"/>
          <w:sz w:val="22"/>
        </w:rPr>
        <w:t>If this PPA produces a real output, is that output missing from your ToC? (Add it to the ToC.)</w:t>
      </w:r>
    </w:p>
    <w:p>
      <w:pPr>
        <w:pStyle w:val="ListBullet"/>
      </w:pPr>
      <w:r>
        <w:rPr>
          <w:rFonts w:ascii="Inter" w:hAnsi="Inter" w:cs="Inter"/>
          <w:b w:val="0"/>
          <w:i w:val="0"/>
          <w:color w:val="2D2D2D"/>
          <w:sz w:val="22"/>
        </w:rPr>
        <w:t>If this PPA does not produce any output from the ToC, does it belong in the strategic plan? (Consider removing it or deferring to a future planning cycle.)</w:t>
      </w:r>
    </w:p>
    <w:p>
      <w:pPr>
        <w:spacing w:after="120" w:line="276" w:lineRule="auto"/>
      </w:pPr>
      <w:r>
        <w:rPr>
          <w:rFonts w:ascii="Inter" w:hAnsi="Inter" w:cs="Inter"/>
          <w:b w:val="0"/>
          <w:i w:val="0"/>
          <w:color w:val="2D2D2D"/>
          <w:sz w:val="22"/>
        </w:rPr>
        <w:t>General Administration and Support activities are an exception: not all GAS activities produce externally-visible outputs in the ToC. However, they support the organizational capacity that enables all other PPAs. Record them in the PPA Register with a note indicating they are organizational support activities that enable the achievement of ToC outputs rather than producing specific ToC outputs directly.</w:t>
      </w:r>
    </w:p>
    <w:p>
      <w:pPr>
        <w:pStyle w:val="Heading3"/>
      </w:pPr>
      <w:r>
        <w:rPr>
          <w:rFonts w:ascii="Inter" w:hAnsi="Inter" w:cs="Inter"/>
          <w:b/>
          <w:i w:val="0"/>
          <w:color w:val="2C5F7C"/>
          <w:sz w:val="26"/>
        </w:rPr>
        <w:t>Step 8: Estimate Preliminary Costs</w:t>
      </w:r>
    </w:p>
    <w:p>
      <w:pPr>
        <w:spacing w:after="120" w:line="276" w:lineRule="auto"/>
      </w:pPr>
      <w:r>
        <w:rPr>
          <w:rFonts w:ascii="Inter" w:hAnsi="Inter" w:cs="Inter"/>
          <w:b w:val="0"/>
          <w:i w:val="0"/>
          <w:color w:val="2D2D2D"/>
          <w:sz w:val="22"/>
        </w:rPr>
        <w:t>For each PPA, enter a preliminary cost estimate. At this stage, you do not need line-item precision --- that is Chapter 9's work. You need an order-of-magnitude figure that allows planners and decision-makers to assess whether the PPA portfolio is realistic given your MOA's expected budget envelope.</w:t>
      </w:r>
    </w:p>
    <w:p>
      <w:pPr>
        <w:spacing w:after="120" w:line="276" w:lineRule="auto"/>
      </w:pPr>
      <w:r>
        <w:rPr>
          <w:rFonts w:ascii="Inter" w:hAnsi="Inter" w:cs="Inter"/>
          <w:b w:val="0"/>
          <w:i w:val="0"/>
          <w:color w:val="2D2D2D"/>
          <w:sz w:val="22"/>
        </w:rPr>
        <w:t>Use three categories:</w:t>
      </w:r>
    </w:p>
    <w:p>
      <w:pPr>
        <w:pStyle w:val="ListBullet"/>
      </w:pPr>
      <w:r>
        <w:rPr>
          <w:rFonts w:ascii="Inter" w:hAnsi="Inter" w:cs="Inter"/>
          <w:b w:val="0"/>
          <w:i w:val="0"/>
          <w:color w:val="2D2D2D"/>
          <w:sz w:val="22"/>
        </w:rPr>
      </w:r>
      <w:r>
        <w:rPr>
          <w:rFonts w:ascii="Inter" w:hAnsi="Inter" w:cs="Inter"/>
          <w:b/>
          <w:i w:val="0"/>
          <w:color w:val="2D2D2D"/>
          <w:sz w:val="22"/>
        </w:rPr>
        <w:t>Personnel Services (PS):</w:t>
      </w:r>
      <w:r>
        <w:rPr>
          <w:rFonts w:ascii="Inter" w:hAnsi="Inter" w:cs="Inter"/>
          <w:b w:val="0"/>
          <w:i w:val="0"/>
          <w:color w:val="2D2D2D"/>
          <w:sz w:val="22"/>
        </w:rPr>
        <w:t xml:space="preserve"> Salaries and benefits of staff assigned to this PPA.</w:t>
      </w:r>
    </w:p>
    <w:p>
      <w:pPr>
        <w:pStyle w:val="ListBullet"/>
      </w:pPr>
      <w:r>
        <w:rPr>
          <w:rFonts w:ascii="Inter" w:hAnsi="Inter" w:cs="Inter"/>
          <w:b w:val="0"/>
          <w:i w:val="0"/>
          <w:color w:val="2D2D2D"/>
          <w:sz w:val="22"/>
        </w:rPr>
      </w:r>
      <w:r>
        <w:rPr>
          <w:rFonts w:ascii="Inter" w:hAnsi="Inter" w:cs="Inter"/>
          <w:b/>
          <w:i w:val="0"/>
          <w:color w:val="2D2D2D"/>
          <w:sz w:val="22"/>
        </w:rPr>
        <w:t>Maintenance and Other Operating Expenses (MOOE):</w:t>
      </w:r>
      <w:r>
        <w:rPr>
          <w:rFonts w:ascii="Inter" w:hAnsi="Inter" w:cs="Inter"/>
          <w:b w:val="0"/>
          <w:i w:val="0"/>
          <w:color w:val="2D2D2D"/>
          <w:sz w:val="22"/>
        </w:rPr>
        <w:t xml:space="preserve"> Travel, training costs, supplies, contracted services, utilities, communications.</w:t>
      </w:r>
    </w:p>
    <w:p>
      <w:pPr>
        <w:pStyle w:val="ListBullet"/>
      </w:pPr>
      <w:r>
        <w:rPr>
          <w:rFonts w:ascii="Inter" w:hAnsi="Inter" w:cs="Inter"/>
          <w:b w:val="0"/>
          <w:i w:val="0"/>
          <w:color w:val="2D2D2D"/>
          <w:sz w:val="22"/>
        </w:rPr>
      </w:r>
      <w:r>
        <w:rPr>
          <w:rFonts w:ascii="Inter" w:hAnsi="Inter" w:cs="Inter"/>
          <w:b/>
          <w:i w:val="0"/>
          <w:color w:val="2D2D2D"/>
          <w:sz w:val="22"/>
        </w:rPr>
        <w:t>Capital Outlay (CO):</w:t>
      </w:r>
      <w:r>
        <w:rPr>
          <w:rFonts w:ascii="Inter" w:hAnsi="Inter" w:cs="Inter"/>
          <w:b w:val="0"/>
          <w:i w:val="0"/>
          <w:color w:val="2D2D2D"/>
          <w:sz w:val="22"/>
        </w:rPr>
        <w:t xml:space="preserve"> Infrastructure, equipment, vehicles, technology systems with useful life exceeding one year.</w:t>
      </w:r>
    </w:p>
    <w:p>
      <w:pPr>
        <w:spacing w:after="120" w:line="276" w:lineRule="auto"/>
      </w:pPr>
      <w:r>
        <w:rPr>
          <w:rFonts w:ascii="Inter" w:hAnsi="Inter" w:cs="Inter"/>
          <w:b w:val="0"/>
          <w:i w:val="0"/>
          <w:color w:val="2D2D2D"/>
          <w:sz w:val="22"/>
        </w:rPr>
        <w:t>The total of PS + MOOE + CO is your preliminary estimated cost. The proportion will vary by PPA type: programs are PS-heavy, projects often have significant CO components, activities are primarily MOOE.</w:t>
      </w:r>
    </w:p>
    <w:p>
      <w:pPr>
        <w:pStyle w:val="Heading3"/>
      </w:pPr>
      <w:r>
        <w:rPr>
          <w:rFonts w:ascii="Inter" w:hAnsi="Inter" w:cs="Inter"/>
          <w:b/>
          <w:i w:val="0"/>
          <w:color w:val="2C5F7C"/>
          <w:sz w:val="26"/>
        </w:rPr>
        <w:t>Step 9: Complete the PPA Register</w:t>
      </w:r>
    </w:p>
    <w:p>
      <w:pPr>
        <w:spacing w:after="120" w:line="276" w:lineRule="auto"/>
      </w:pPr>
      <w:r>
        <w:rPr>
          <w:rFonts w:ascii="Inter" w:hAnsi="Inter" w:cs="Inter"/>
          <w:b w:val="0"/>
          <w:i w:val="0"/>
          <w:color w:val="2D2D2D"/>
          <w:sz w:val="22"/>
        </w:rPr>
        <w:t>Enter all PPAs into the PPA Register template in Section 8.7. Review the completed register for:</w:t>
      </w:r>
    </w:p>
    <w:p>
      <w:pPr>
        <w:pStyle w:val="ListBullet"/>
      </w:pPr>
      <w:r>
        <w:rPr>
          <w:rFonts w:ascii="Inter" w:hAnsi="Inter" w:cs="Inter"/>
          <w:b w:val="0"/>
          <w:i w:val="0"/>
          <w:color w:val="2D2D2D"/>
          <w:sz w:val="22"/>
        </w:rPr>
        <w:t>Every row has a PPA Code, Name, Type, Responsible Unit, Timeline, and UACS code (or flag for assignment).</w:t>
      </w:r>
    </w:p>
    <w:p>
      <w:pPr>
        <w:pStyle w:val="ListBullet"/>
      </w:pPr>
      <w:r>
        <w:rPr>
          <w:rFonts w:ascii="Inter" w:hAnsi="Inter" w:cs="Inter"/>
          <w:b w:val="0"/>
          <w:i w:val="0"/>
          <w:color w:val="2D2D2D"/>
          <w:sz w:val="22"/>
        </w:rPr>
        <w:t>Every row has at least one ToC Output Link.</w:t>
      </w:r>
    </w:p>
    <w:p>
      <w:pPr>
        <w:pStyle w:val="ListBullet"/>
      </w:pPr>
      <w:r>
        <w:rPr>
          <w:rFonts w:ascii="Inter" w:hAnsi="Inter" w:cs="Inter"/>
          <w:b w:val="0"/>
          <w:i w:val="0"/>
          <w:color w:val="2D2D2D"/>
          <w:sz w:val="22"/>
        </w:rPr>
        <w:t>Every ToC output is covered by at least one row.</w:t>
      </w:r>
    </w:p>
    <w:p>
      <w:pPr>
        <w:pStyle w:val="ListBullet"/>
      </w:pPr>
      <w:r>
        <w:rPr>
          <w:rFonts w:ascii="Inter" w:hAnsi="Inter" w:cs="Inter"/>
          <w:b w:val="0"/>
          <w:i w:val="0"/>
          <w:color w:val="2D2D2D"/>
          <w:sz w:val="22"/>
        </w:rPr>
        <w:t>Estimated costs are entered, even if approximate.</w:t>
      </w:r>
    </w:p>
    <w:p>
      <w:pPr>
        <w:pStyle w:val="ListBullet"/>
      </w:pPr>
      <w:r>
        <w:rPr>
          <w:rFonts w:ascii="Inter" w:hAnsi="Inter" w:cs="Inter"/>
          <w:b w:val="0"/>
          <w:i w:val="0"/>
          <w:color w:val="2D2D2D"/>
          <w:sz w:val="22"/>
        </w:rPr>
        <w:t>Annual targets are specific and measurable.</w:t>
      </w:r>
    </w:p>
    <w:p>
      <w:pPr>
        <w:spacing w:after="120" w:line="276" w:lineRule="auto"/>
      </w:pPr>
      <w:r>
        <w:rPr>
          <w:rFonts w:ascii="Inter" w:hAnsi="Inter" w:cs="Inter"/>
          <w:b w:val="0"/>
          <w:i w:val="0"/>
          <w:color w:val="2D2D2D"/>
          <w:sz w:val="22"/>
        </w:rPr>
        <w:t>The completed register is a submission-ready planning document. It is also the foundation document for Chapters 9 and 10.</w:t>
      </w:r>
    </w:p>
    <w:p>
      <w:pPr>
        <w:pStyle w:val="Heading2"/>
      </w:pPr>
      <w:r>
        <w:rPr>
          <w:rFonts w:ascii="Inter" w:hAnsi="Inter" w:cs="Inter"/>
          <w:b/>
          <w:i w:val="0"/>
          <w:color w:val="1B365D"/>
          <w:sz w:val="32"/>
        </w:rPr>
        <w:t>8.4 Worked Example: Office for Other Bangsamoro Communities (OOBC)</w:t>
      </w:r>
    </w:p>
    <w:p>
      <w:pPr>
        <w:spacing w:after="120" w:line="276" w:lineRule="auto"/>
      </w:pPr>
      <w:r>
        <w:rPr>
          <w:rFonts w:ascii="Inter" w:hAnsi="Inter" w:cs="Inter"/>
          <w:b w:val="0"/>
          <w:i w:val="0"/>
          <w:color w:val="2D2D2D"/>
          <w:sz w:val="22"/>
        </w:rPr>
        <w:t>Continuing the OOBC example from previous chapters, this section demonstrates how ToC outputs translate into PPAs.</w:t>
      </w:r>
    </w:p>
    <w:p>
      <w:pPr>
        <w:spacing w:after="120" w:line="276" w:lineRule="auto"/>
      </w:pPr>
      <w:r>
        <w:rPr>
          <w:rFonts w:ascii="Inter" w:hAnsi="Inter" w:cs="Inter"/>
          <w:b w:val="0"/>
          <w:i w:val="0"/>
          <w:color w:val="2D2D2D"/>
          <w:sz w:val="22"/>
        </w:rPr>
        <w:t>Recall from Chapter 7 that OOBC's Theory of Change identified the following outputs for its three strategic objectives (SO-1: comprehensive OBC community database; SO-2: formalized coordination agreements; SO-3: increased OBC access to BARMM services):</w:t>
      </w:r>
    </w:p>
    <w:p>
      <w:pPr>
        <w:pStyle w:val="ListBullet"/>
      </w:pPr>
      <w:r>
        <w:rPr>
          <w:rFonts w:ascii="Inter" w:hAnsi="Inter" w:cs="Inter"/>
          <w:b w:val="0"/>
          <w:i w:val="0"/>
          <w:color w:val="2D2D2D"/>
          <w:sz w:val="22"/>
        </w:rPr>
        <w:t>Output 1.1: Community profiling database / PSRRS (People and Stakeholder Registry and Referral System) operational</w:t>
      </w:r>
    </w:p>
    <w:p>
      <w:pPr>
        <w:pStyle w:val="ListBullet"/>
      </w:pPr>
      <w:r>
        <w:rPr>
          <w:rFonts w:ascii="Inter" w:hAnsi="Inter" w:cs="Inter"/>
          <w:b w:val="0"/>
          <w:i w:val="0"/>
          <w:color w:val="2D2D2D"/>
          <w:sz w:val="22"/>
        </w:rPr>
        <w:t>Output 1.2: Community profiling instruments developed and deployed</w:t>
      </w:r>
    </w:p>
    <w:p>
      <w:pPr>
        <w:pStyle w:val="ListBullet"/>
      </w:pPr>
      <w:r>
        <w:rPr>
          <w:rFonts w:ascii="Inter" w:hAnsi="Inter" w:cs="Inter"/>
          <w:b w:val="0"/>
          <w:i w:val="0"/>
          <w:color w:val="2D2D2D"/>
          <w:sz w:val="22"/>
        </w:rPr>
        <w:t>Output 1.3: Staff trained in key competencies (data management, coordination, advocacy)</w:t>
      </w:r>
    </w:p>
    <w:p>
      <w:pPr>
        <w:pStyle w:val="ListBullet"/>
      </w:pPr>
      <w:r>
        <w:rPr>
          <w:rFonts w:ascii="Inter" w:hAnsi="Inter" w:cs="Inter"/>
          <w:b w:val="0"/>
          <w:i w:val="0"/>
          <w:color w:val="2D2D2D"/>
          <w:sz w:val="22"/>
        </w:rPr>
        <w:t>Output 2.1: MOUs/MOAs formalized with target LGUs in covered provinces</w:t>
      </w:r>
    </w:p>
    <w:p>
      <w:pPr>
        <w:pStyle w:val="ListBullet"/>
      </w:pPr>
      <w:r>
        <w:rPr>
          <w:rFonts w:ascii="Inter" w:hAnsi="Inter" w:cs="Inter"/>
          <w:b w:val="0"/>
          <w:i w:val="0"/>
          <w:color w:val="2D2D2D"/>
          <w:sz w:val="22"/>
        </w:rPr>
        <w:t>Output 2.2: Coordination protocols established with partner NGAs and BARMM ministries</w:t>
      </w:r>
    </w:p>
    <w:p>
      <w:pPr>
        <w:pStyle w:val="ListBullet"/>
      </w:pPr>
      <w:r>
        <w:rPr>
          <w:rFonts w:ascii="Inter" w:hAnsi="Inter" w:cs="Inter"/>
          <w:b w:val="0"/>
          <w:i w:val="0"/>
          <w:color w:val="2D2D2D"/>
          <w:sz w:val="22"/>
        </w:rPr>
        <w:t>Output 3.1: Advocacy materials produced and disseminated</w:t>
      </w:r>
    </w:p>
    <w:p>
      <w:pPr>
        <w:pStyle w:val="ListBullet"/>
      </w:pPr>
      <w:r>
        <w:rPr>
          <w:rFonts w:ascii="Inter" w:hAnsi="Inter" w:cs="Inter"/>
          <w:b w:val="0"/>
          <w:i w:val="0"/>
          <w:color w:val="2D2D2D"/>
          <w:sz w:val="22"/>
        </w:rPr>
        <w:t>Output 3.2: FGDs and community consultations conducted (legal framework, OBC requests, support for vulnerable sectors)</w:t>
      </w:r>
    </w:p>
    <w:p>
      <w:pPr>
        <w:spacing w:after="120" w:line="276" w:lineRule="auto"/>
      </w:pPr>
      <w:r>
        <w:rPr>
          <w:rFonts w:ascii="Inter" w:hAnsi="Inter" w:cs="Inter"/>
          <w:b w:val="0"/>
          <w:i w:val="0"/>
          <w:color w:val="2D2D2D"/>
          <w:sz w:val="22"/>
        </w:rPr>
        <w:t>OOBC also has standard GAS outputs (organizational management functions) and STO outputs (planning, monitoring, and communications).</w:t>
      </w:r>
    </w:p>
    <w:p>
      <w:pPr>
        <w:pStyle w:val="Heading3"/>
      </w:pPr>
      <w:r>
        <w:rPr>
          <w:rFonts w:ascii="Inter" w:hAnsi="Inter" w:cs="Inter"/>
          <w:b/>
          <w:i w:val="0"/>
          <w:color w:val="2C5F7C"/>
          <w:sz w:val="26"/>
        </w:rPr>
        <w:t>Grouping ToC Outputs into PPAs</w:t>
      </w:r>
    </w:p>
    <w:p>
      <w:pPr>
        <w:spacing w:after="120" w:line="276" w:lineRule="auto"/>
      </w:pPr>
      <w:r>
        <w:rPr>
          <w:rFonts w:ascii="Inter" w:hAnsi="Inter" w:cs="Inter"/>
          <w:b w:val="0"/>
          <w:i w:val="0"/>
          <w:color w:val="2D2D2D"/>
          <w:sz w:val="22"/>
        </w:rPr>
        <w:t>OOBC's planning team reviews the outputs and identifies three natural groupings for the Operations program:</w:t>
      </w:r>
    </w:p>
    <w:p>
      <w:pPr>
        <w:pStyle w:val="ListNumber"/>
      </w:pPr>
      <w:r>
        <w:rPr>
          <w:rFonts w:ascii="Inter" w:hAnsi="Inter" w:cs="Inter"/>
          <w:b w:val="0"/>
          <w:i w:val="0"/>
          <w:color w:val="2D2D2D"/>
          <w:sz w:val="22"/>
        </w:rPr>
      </w:r>
      <w:r>
        <w:rPr>
          <w:rFonts w:ascii="Inter" w:hAnsi="Inter" w:cs="Inter"/>
          <w:b/>
          <w:i w:val="0"/>
          <w:color w:val="2D2D2D"/>
          <w:sz w:val="22"/>
        </w:rPr>
        <w:t>OBC Community Profiling and Data Management Program</w:t>
      </w:r>
      <w:r>
        <w:rPr>
          <w:rFonts w:ascii="Inter" w:hAnsi="Inter" w:cs="Inter"/>
          <w:b w:val="0"/>
          <w:i w:val="0"/>
          <w:color w:val="2D2D2D"/>
          <w:sz w:val="22"/>
        </w:rPr>
        <w:t xml:space="preserve"> --- community profiling, database management, instrument development, and data-gathering activities. These are recurring functions that will run throughout the planning period as the office expands coverage to additional provinces and updates existing profiles.</w:t>
      </w:r>
    </w:p>
    <w:p>
      <w:pPr>
        <w:pStyle w:val="ListNumber"/>
      </w:pPr>
      <w:r>
        <w:rPr>
          <w:rFonts w:ascii="Inter" w:hAnsi="Inter" w:cs="Inter"/>
          <w:b w:val="0"/>
          <w:i w:val="0"/>
          <w:color w:val="2D2D2D"/>
          <w:sz w:val="22"/>
        </w:rPr>
      </w:r>
      <w:r>
        <w:rPr>
          <w:rFonts w:ascii="Inter" w:hAnsi="Inter" w:cs="Inter"/>
          <w:b/>
          <w:i w:val="0"/>
          <w:color w:val="2D2D2D"/>
          <w:sz w:val="22"/>
        </w:rPr>
        <w:t>PSRRS Development Project</w:t>
      </w:r>
      <w:r>
        <w:rPr>
          <w:rFonts w:ascii="Inter" w:hAnsi="Inter" w:cs="Inter"/>
          <w:b w:val="0"/>
          <w:i w:val="0"/>
          <w:color w:val="2D2D2D"/>
          <w:sz w:val="22"/>
        </w:rPr>
        <w:t xml:space="preserve"> --- designing, building, and deploying the People and Stakeholder Registry and Referral System. This is a time-bound capital and technical investment with a specific deliverable (an operational database system) and a fixed timeline.</w:t>
      </w:r>
    </w:p>
    <w:p>
      <w:pPr>
        <w:pStyle w:val="ListNumber"/>
      </w:pPr>
      <w:r>
        <w:rPr>
          <w:rFonts w:ascii="Inter" w:hAnsi="Inter" w:cs="Inter"/>
          <w:b w:val="0"/>
          <w:i w:val="0"/>
          <w:color w:val="2D2D2D"/>
          <w:sz w:val="22"/>
        </w:rPr>
      </w:r>
      <w:r>
        <w:rPr>
          <w:rFonts w:ascii="Inter" w:hAnsi="Inter" w:cs="Inter"/>
          <w:b/>
          <w:i w:val="0"/>
          <w:color w:val="2D2D2D"/>
          <w:sz w:val="22"/>
        </w:rPr>
        <w:t>Coordination and Advocacy Activities</w:t>
      </w:r>
      <w:r>
        <w:rPr>
          <w:rFonts w:ascii="Inter" w:hAnsi="Inter" w:cs="Inter"/>
          <w:b w:val="0"/>
          <w:i w:val="0"/>
          <w:color w:val="2D2D2D"/>
          <w:sz w:val="22"/>
        </w:rPr>
        <w:t xml:space="preserve"> --- recurring coordination meetings with LGUs, NGAs, and BARMM ministries; advocacy campaigns; FGDs and consultations with OBC communities. These are ongoing activities nested under the Operations program.</w:t>
      </w:r>
    </w:p>
    <w:p>
      <w:pPr>
        <w:spacing w:after="120" w:line="276" w:lineRule="auto"/>
      </w:pPr>
      <w:r>
        <w:rPr>
          <w:rFonts w:ascii="Inter" w:hAnsi="Inter" w:cs="Inter"/>
          <w:b w:val="0"/>
          <w:i w:val="0"/>
          <w:color w:val="2D2D2D"/>
          <w:sz w:val="22"/>
        </w:rPr>
        <w:t>This grouping suggests the following PPA structure:</w:t>
      </w:r>
    </w:p>
    <w:p>
      <w:pPr>
        <w:spacing w:after="120" w:line="276" w:lineRule="auto"/>
      </w:pPr>
      <w:r>
        <w:rPr>
          <w:rFonts w:ascii="Inter" w:hAnsi="Inter" w:cs="Inter"/>
          <w:b w:val="0"/>
          <w:i w:val="0"/>
          <w:color w:val="2D2D2D"/>
          <w:sz w:val="22"/>
        </w:rPr>
        <w:t>```</w:t>
      </w:r>
    </w:p>
    <w:p>
      <w:pPr>
        <w:spacing w:after="120" w:line="276" w:lineRule="auto"/>
      </w:pPr>
      <w:r>
        <w:rPr>
          <w:rFonts w:ascii="Inter" w:hAnsi="Inter" w:cs="Inter"/>
          <w:b w:val="0"/>
          <w:i w:val="0"/>
          <w:color w:val="2D2D2D"/>
          <w:sz w:val="22"/>
        </w:rPr>
        <w:t>PROGRAM: General Administration and Support (GAS)</w:t>
      </w:r>
    </w:p>
    <w:p>
      <w:pPr>
        <w:spacing w:after="120" w:line="276" w:lineRule="auto"/>
      </w:pPr>
      <w:r>
        <w:rPr>
          <w:rFonts w:ascii="Inter" w:hAnsi="Inter" w:cs="Inter"/>
          <w:b w:val="0"/>
          <w:i w:val="0"/>
          <w:color w:val="2D2D2D"/>
          <w:sz w:val="22"/>
        </w:rPr>
        <w:t>Activity: Administrative and Financial Management</w:t>
      </w:r>
    </w:p>
    <w:p>
      <w:pPr>
        <w:spacing w:after="120" w:line="276" w:lineRule="auto"/>
      </w:pPr>
      <w:r>
        <w:rPr>
          <w:rFonts w:ascii="Inter" w:hAnsi="Inter" w:cs="Inter"/>
          <w:b w:val="0"/>
          <w:i w:val="0"/>
          <w:color w:val="2D2D2D"/>
          <w:sz w:val="22"/>
        </w:rPr>
        <w:t>Activity: Human Resource Management and Development</w:t>
      </w:r>
    </w:p>
    <w:p>
      <w:pPr>
        <w:spacing w:after="120" w:line="276" w:lineRule="auto"/>
      </w:pPr>
      <w:r>
        <w:rPr>
          <w:rFonts w:ascii="Inter" w:hAnsi="Inter" w:cs="Inter"/>
          <w:b w:val="0"/>
          <w:i w:val="0"/>
          <w:color w:val="2D2D2D"/>
          <w:sz w:val="22"/>
        </w:rPr>
        <w:t>Activity: Records, Procurement, and Property Management</w:t>
      </w:r>
    </w:p>
    <w:p>
      <w:pPr>
        <w:spacing w:after="120" w:line="276" w:lineRule="auto"/>
      </w:pPr>
      <w:r>
        <w:rPr>
          <w:rFonts w:ascii="Inter" w:hAnsi="Inter" w:cs="Inter"/>
          <w:b w:val="0"/>
          <w:i w:val="0"/>
          <w:color w:val="2D2D2D"/>
          <w:sz w:val="22"/>
        </w:rPr>
        <w:t>PROGRAM: Support to Operations (STO)</w:t>
      </w:r>
    </w:p>
    <w:p>
      <w:pPr>
        <w:spacing w:after="120" w:line="276" w:lineRule="auto"/>
      </w:pPr>
      <w:r>
        <w:rPr>
          <w:rFonts w:ascii="Inter" w:hAnsi="Inter" w:cs="Inter"/>
          <w:b w:val="0"/>
          <w:i w:val="0"/>
          <w:color w:val="2D2D2D"/>
          <w:sz w:val="22"/>
        </w:rPr>
        <w:t>Activity: Strategic Planning and Performance Monitoring</w:t>
      </w:r>
    </w:p>
    <w:p>
      <w:pPr>
        <w:spacing w:after="120" w:line="276" w:lineRule="auto"/>
      </w:pPr>
      <w:r>
        <w:rPr>
          <w:rFonts w:ascii="Inter" w:hAnsi="Inter" w:cs="Inter"/>
          <w:b w:val="0"/>
          <w:i w:val="0"/>
          <w:color w:val="2D2D2D"/>
          <w:sz w:val="22"/>
        </w:rPr>
        <w:t>Activity: Legal and Regulatory Affairs</w:t>
      </w:r>
    </w:p>
    <w:p>
      <w:pPr>
        <w:spacing w:after="120" w:line="276" w:lineRule="auto"/>
      </w:pPr>
      <w:r>
        <w:rPr>
          <w:rFonts w:ascii="Inter" w:hAnsi="Inter" w:cs="Inter"/>
          <w:b w:val="0"/>
          <w:i w:val="0"/>
          <w:color w:val="2D2D2D"/>
          <w:sz w:val="22"/>
        </w:rPr>
        <w:t>Activity: Communications and Public Affairs</w:t>
      </w:r>
    </w:p>
    <w:p>
      <w:pPr>
        <w:spacing w:after="120" w:line="276" w:lineRule="auto"/>
      </w:pPr>
      <w:r>
        <w:rPr>
          <w:rFonts w:ascii="Inter" w:hAnsi="Inter" w:cs="Inter"/>
          <w:b w:val="0"/>
          <w:i w:val="0"/>
          <w:color w:val="2D2D2D"/>
          <w:sz w:val="22"/>
        </w:rPr>
        <w:t>PROGRAM: OBC Community Profiling and Data Management (Operations)</w:t>
      </w:r>
    </w:p>
    <w:p>
      <w:pPr>
        <w:spacing w:after="120" w:line="276" w:lineRule="auto"/>
      </w:pPr>
      <w:r>
        <w:rPr>
          <w:rFonts w:ascii="Inter" w:hAnsi="Inter" w:cs="Inter"/>
          <w:b w:val="0"/>
          <w:i w:val="0"/>
          <w:color w:val="2D2D2D"/>
          <w:sz w:val="22"/>
        </w:rPr>
        <w:t>Project: PSRRS Development Project</w:t>
      </w:r>
    </w:p>
    <w:p>
      <w:pPr>
        <w:spacing w:after="120" w:line="276" w:lineRule="auto"/>
      </w:pPr>
      <w:r>
        <w:rPr>
          <w:rFonts w:ascii="Inter" w:hAnsi="Inter" w:cs="Inter"/>
          <w:b w:val="0"/>
          <w:i w:val="0"/>
          <w:color w:val="2D2D2D"/>
          <w:sz w:val="22"/>
        </w:rPr>
        <w:t>Activity: System Requirements Analysis and Design</w:t>
      </w:r>
    </w:p>
    <w:p>
      <w:pPr>
        <w:spacing w:after="120" w:line="276" w:lineRule="auto"/>
      </w:pPr>
      <w:r>
        <w:rPr>
          <w:rFonts w:ascii="Inter" w:hAnsi="Inter" w:cs="Inter"/>
          <w:b w:val="0"/>
          <w:i w:val="0"/>
          <w:color w:val="2D2D2D"/>
          <w:sz w:val="22"/>
        </w:rPr>
        <w:t>Activity: System Development, Testing, and Deployment</w:t>
      </w:r>
    </w:p>
    <w:p>
      <w:pPr>
        <w:spacing w:after="120" w:line="276" w:lineRule="auto"/>
      </w:pPr>
      <w:r>
        <w:rPr>
          <w:rFonts w:ascii="Inter" w:hAnsi="Inter" w:cs="Inter"/>
          <w:b w:val="0"/>
          <w:i w:val="0"/>
          <w:color w:val="2D2D2D"/>
          <w:sz w:val="22"/>
        </w:rPr>
        <w:t>Activity: Community Profiling and Assessment</w:t>
      </w:r>
    </w:p>
    <w:p>
      <w:pPr>
        <w:spacing w:after="120" w:line="276" w:lineRule="auto"/>
      </w:pPr>
      <w:r>
        <w:rPr>
          <w:rFonts w:ascii="Inter" w:hAnsi="Inter" w:cs="Inter"/>
          <w:b w:val="0"/>
          <w:i w:val="0"/>
          <w:color w:val="2D2D2D"/>
          <w:sz w:val="22"/>
        </w:rPr>
        <w:t>Activity: Quarterly Coordination Meetings with LGUs</w:t>
      </w:r>
    </w:p>
    <w:p>
      <w:pPr>
        <w:spacing w:after="120" w:line="276" w:lineRule="auto"/>
      </w:pPr>
      <w:r>
        <w:rPr>
          <w:rFonts w:ascii="Inter" w:hAnsi="Inter" w:cs="Inter"/>
          <w:b w:val="0"/>
          <w:i w:val="0"/>
          <w:color w:val="2D2D2D"/>
          <w:sz w:val="22"/>
        </w:rPr>
        <w:t>Activity: Advocacy and Information Campaigns</w:t>
      </w:r>
    </w:p>
    <w:p>
      <w:pPr>
        <w:spacing w:after="120" w:line="276" w:lineRule="auto"/>
      </w:pPr>
      <w:r>
        <w:rPr>
          <w:rFonts w:ascii="Inter" w:hAnsi="Inter" w:cs="Inter"/>
          <w:b w:val="0"/>
          <w:i w:val="0"/>
          <w:color w:val="2D2D2D"/>
          <w:sz w:val="22"/>
        </w:rPr>
        <w:t>Activity: FGDs and Community Consultations</w:t>
      </w:r>
    </w:p>
    <w:p>
      <w:pPr>
        <w:spacing w:after="120" w:line="276" w:lineRule="auto"/>
      </w:pPr>
      <w:r>
        <w:rPr>
          <w:rFonts w:ascii="Inter" w:hAnsi="Inter" w:cs="Inter"/>
          <w:b w:val="0"/>
          <w:i w:val="0"/>
          <w:color w:val="2D2D2D"/>
          <w:sz w:val="22"/>
        </w:rPr>
        <w:t>```</w:t>
      </w:r>
    </w:p>
    <w:p>
      <w:pPr>
        <w:pStyle w:val="Heading3"/>
      </w:pPr>
      <w:r>
        <w:rPr>
          <w:rFonts w:ascii="Inter" w:hAnsi="Inter" w:cs="Inter"/>
          <w:b/>
          <w:i w:val="0"/>
          <w:color w:val="2C5F7C"/>
          <w:sz w:val="26"/>
        </w:rPr>
        <w:t>ToC-to-PPA Linkage Table (Selected Outputs)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ToC Output Code</w:t>
            </w:r>
          </w:p>
        </w:tc>
        <w:tc>
          <w:tcPr>
            <w:tcW w:type="dxa" w:w="2340"/>
            <w:shd w:fill="1B365D"/>
          </w:tcPr>
          <w:p>
            <w:r/>
            <w:r>
              <w:rPr>
                <w:rFonts w:ascii="Inter" w:hAnsi="Inter" w:cs="Inter"/>
                <w:b/>
                <w:i w:val="0"/>
                <w:color w:val="FFFFFF"/>
                <w:sz w:val="19"/>
              </w:rPr>
              <w:t>Output Description</w:t>
            </w:r>
          </w:p>
        </w:tc>
        <w:tc>
          <w:tcPr>
            <w:tcW w:type="dxa" w:w="2340"/>
            <w:shd w:fill="1B365D"/>
          </w:tcPr>
          <w:p>
            <w:r/>
            <w:r>
              <w:rPr>
                <w:rFonts w:ascii="Inter" w:hAnsi="Inter" w:cs="Inter"/>
                <w:b/>
                <w:i w:val="0"/>
                <w:color w:val="FFFFFF"/>
                <w:sz w:val="19"/>
              </w:rPr>
              <w:t>Delivering PPA(s)</w:t>
            </w:r>
          </w:p>
        </w:tc>
        <w:tc>
          <w:tcPr>
            <w:tcW w:type="dxa" w:w="2340"/>
            <w:shd w:fill="1B365D"/>
          </w:tcPr>
          <w:p>
            <w:r/>
            <w:r>
              <w:rPr>
                <w:rFonts w:ascii="Inter" w:hAnsi="Inter" w:cs="Inter"/>
                <w:b/>
                <w:i w:val="0"/>
                <w:color w:val="FFFFFF"/>
                <w:sz w:val="19"/>
              </w:rPr>
              <w:t>PPA Code</w:t>
            </w:r>
          </w:p>
        </w:tc>
      </w:tr>
      <w:tr>
        <w:tc>
          <w:tcPr>
            <w:tcW w:type="dxa" w:w="2340"/>
          </w:tcPr>
          <w:p>
            <w:r/>
            <w:r>
              <w:rPr>
                <w:rFonts w:ascii="Inter" w:hAnsi="Inter" w:cs="Inter"/>
                <w:b w:val="0"/>
                <w:i w:val="0"/>
                <w:color w:val="2D2D2D"/>
                <w:sz w:val="19"/>
              </w:rPr>
              <w:t>Output 1.1</w:t>
            </w:r>
          </w:p>
        </w:tc>
        <w:tc>
          <w:tcPr>
            <w:tcW w:type="dxa" w:w="2340"/>
          </w:tcPr>
          <w:p>
            <w:r/>
            <w:r>
              <w:rPr>
                <w:rFonts w:ascii="Inter" w:hAnsi="Inter" w:cs="Inter"/>
                <w:b w:val="0"/>
                <w:i w:val="0"/>
                <w:color w:val="2D2D2D"/>
                <w:sz w:val="19"/>
              </w:rPr>
              <w:t>PSRRS community database operational</w:t>
            </w:r>
          </w:p>
        </w:tc>
        <w:tc>
          <w:tcPr>
            <w:tcW w:type="dxa" w:w="2340"/>
          </w:tcPr>
          <w:p>
            <w:r/>
            <w:r>
              <w:rPr>
                <w:rFonts w:ascii="Inter" w:hAnsi="Inter" w:cs="Inter"/>
                <w:b w:val="0"/>
                <w:i w:val="0"/>
                <w:color w:val="2D2D2D"/>
                <w:sz w:val="19"/>
              </w:rPr>
              <w:t>PSRRS Development Project</w:t>
            </w:r>
          </w:p>
        </w:tc>
        <w:tc>
          <w:tcPr>
            <w:tcW w:type="dxa" w:w="2340"/>
          </w:tcPr>
          <w:p>
            <w:r/>
            <w:r>
              <w:rPr>
                <w:rFonts w:ascii="Inter" w:hAnsi="Inter" w:cs="Inter"/>
                <w:b w:val="0"/>
                <w:i w:val="0"/>
                <w:color w:val="2D2D2D"/>
                <w:sz w:val="19"/>
              </w:rPr>
              <w:t>P-03-PR-01</w:t>
            </w:r>
          </w:p>
        </w:tc>
      </w:tr>
      <w:tr>
        <w:tc>
          <w:tcPr>
            <w:tcW w:type="dxa" w:w="2340"/>
            <w:shd w:fill="F0F3F6"/>
          </w:tcPr>
          <w:p>
            <w:r/>
            <w:r>
              <w:rPr>
                <w:rFonts w:ascii="Inter" w:hAnsi="Inter" w:cs="Inter"/>
                <w:b w:val="0"/>
                <w:i w:val="0"/>
                <w:color w:val="2D2D2D"/>
                <w:sz w:val="19"/>
              </w:rPr>
              <w:t>Output 1.2</w:t>
            </w:r>
          </w:p>
        </w:tc>
        <w:tc>
          <w:tcPr>
            <w:tcW w:type="dxa" w:w="2340"/>
            <w:shd w:fill="F0F3F6"/>
          </w:tcPr>
          <w:p>
            <w:r/>
            <w:r>
              <w:rPr>
                <w:rFonts w:ascii="Inter" w:hAnsi="Inter" w:cs="Inter"/>
                <w:b w:val="0"/>
                <w:i w:val="0"/>
                <w:color w:val="2D2D2D"/>
                <w:sz w:val="19"/>
              </w:rPr>
              <w:t>Community profiling instruments developed and deployed</w:t>
            </w:r>
          </w:p>
        </w:tc>
        <w:tc>
          <w:tcPr>
            <w:tcW w:type="dxa" w:w="2340"/>
            <w:shd w:fill="F0F3F6"/>
          </w:tcPr>
          <w:p>
            <w:r/>
            <w:r>
              <w:rPr>
                <w:rFonts w:ascii="Inter" w:hAnsi="Inter" w:cs="Inter"/>
                <w:b w:val="0"/>
                <w:i w:val="0"/>
                <w:color w:val="2D2D2D"/>
                <w:sz w:val="19"/>
              </w:rPr>
              <w:t>Community Profiling and Assessment Activity</w:t>
            </w:r>
          </w:p>
        </w:tc>
        <w:tc>
          <w:tcPr>
            <w:tcW w:type="dxa" w:w="2340"/>
            <w:shd w:fill="F0F3F6"/>
          </w:tcPr>
          <w:p>
            <w:r/>
            <w:r>
              <w:rPr>
                <w:rFonts w:ascii="Inter" w:hAnsi="Inter" w:cs="Inter"/>
                <w:b w:val="0"/>
                <w:i w:val="0"/>
                <w:color w:val="2D2D2D"/>
                <w:sz w:val="19"/>
              </w:rPr>
              <w:t>P-03-A-01</w:t>
            </w:r>
          </w:p>
        </w:tc>
      </w:tr>
      <w:tr>
        <w:tc>
          <w:tcPr>
            <w:tcW w:type="dxa" w:w="2340"/>
          </w:tcPr>
          <w:p>
            <w:r/>
            <w:r>
              <w:rPr>
                <w:rFonts w:ascii="Inter" w:hAnsi="Inter" w:cs="Inter"/>
                <w:b w:val="0"/>
                <w:i w:val="0"/>
                <w:color w:val="2D2D2D"/>
                <w:sz w:val="19"/>
              </w:rPr>
              <w:t>Output 1.3</w:t>
            </w:r>
          </w:p>
        </w:tc>
        <w:tc>
          <w:tcPr>
            <w:tcW w:type="dxa" w:w="2340"/>
          </w:tcPr>
          <w:p>
            <w:r/>
            <w:r>
              <w:rPr>
                <w:rFonts w:ascii="Inter" w:hAnsi="Inter" w:cs="Inter"/>
                <w:b w:val="0"/>
                <w:i w:val="0"/>
                <w:color w:val="2D2D2D"/>
                <w:sz w:val="19"/>
              </w:rPr>
              <w:t>Staff trained in key competencies</w:t>
            </w:r>
          </w:p>
        </w:tc>
        <w:tc>
          <w:tcPr>
            <w:tcW w:type="dxa" w:w="2340"/>
          </w:tcPr>
          <w:p>
            <w:r/>
            <w:r>
              <w:rPr>
                <w:rFonts w:ascii="Inter" w:hAnsi="Inter" w:cs="Inter"/>
                <w:b w:val="0"/>
                <w:i w:val="0"/>
                <w:color w:val="2D2D2D"/>
                <w:sz w:val="19"/>
              </w:rPr>
              <w:t>Administrative and Financial Management (GAS); Community Profiling Activity</w:t>
            </w:r>
          </w:p>
        </w:tc>
        <w:tc>
          <w:tcPr>
            <w:tcW w:type="dxa" w:w="2340"/>
          </w:tcPr>
          <w:p>
            <w:r/>
            <w:r>
              <w:rPr>
                <w:rFonts w:ascii="Inter" w:hAnsi="Inter" w:cs="Inter"/>
                <w:b w:val="0"/>
                <w:i w:val="0"/>
                <w:color w:val="2D2D2D"/>
                <w:sz w:val="19"/>
              </w:rPr>
              <w:t>P-01-A-02; P-03-A-01</w:t>
            </w:r>
          </w:p>
        </w:tc>
      </w:tr>
      <w:tr>
        <w:tc>
          <w:tcPr>
            <w:tcW w:type="dxa" w:w="2340"/>
            <w:shd w:fill="F0F3F6"/>
          </w:tcPr>
          <w:p>
            <w:r/>
            <w:r>
              <w:rPr>
                <w:rFonts w:ascii="Inter" w:hAnsi="Inter" w:cs="Inter"/>
                <w:b w:val="0"/>
                <w:i w:val="0"/>
                <w:color w:val="2D2D2D"/>
                <w:sz w:val="19"/>
              </w:rPr>
              <w:t>Output 2.1</w:t>
            </w:r>
          </w:p>
        </w:tc>
        <w:tc>
          <w:tcPr>
            <w:tcW w:type="dxa" w:w="2340"/>
            <w:shd w:fill="F0F3F6"/>
          </w:tcPr>
          <w:p>
            <w:r/>
            <w:r>
              <w:rPr>
                <w:rFonts w:ascii="Inter" w:hAnsi="Inter" w:cs="Inter"/>
                <w:b w:val="0"/>
                <w:i w:val="0"/>
                <w:color w:val="2D2D2D"/>
                <w:sz w:val="19"/>
              </w:rPr>
              <w:t>MOUs/MOAs formalized with target LGUs</w:t>
            </w:r>
          </w:p>
        </w:tc>
        <w:tc>
          <w:tcPr>
            <w:tcW w:type="dxa" w:w="2340"/>
            <w:shd w:fill="F0F3F6"/>
          </w:tcPr>
          <w:p>
            <w:r/>
            <w:r>
              <w:rPr>
                <w:rFonts w:ascii="Inter" w:hAnsi="Inter" w:cs="Inter"/>
                <w:b w:val="0"/>
                <w:i w:val="0"/>
                <w:color w:val="2D2D2D"/>
                <w:sz w:val="19"/>
              </w:rPr>
              <w:t>Quarterly Coordination Meetings with LGUs Activity</w:t>
            </w:r>
          </w:p>
        </w:tc>
        <w:tc>
          <w:tcPr>
            <w:tcW w:type="dxa" w:w="2340"/>
            <w:shd w:fill="F0F3F6"/>
          </w:tcPr>
          <w:p>
            <w:r/>
            <w:r>
              <w:rPr>
                <w:rFonts w:ascii="Inter" w:hAnsi="Inter" w:cs="Inter"/>
                <w:b w:val="0"/>
                <w:i w:val="0"/>
                <w:color w:val="2D2D2D"/>
                <w:sz w:val="19"/>
              </w:rPr>
              <w:t>P-03-A-02</w:t>
            </w:r>
          </w:p>
        </w:tc>
      </w:tr>
      <w:tr>
        <w:tc>
          <w:tcPr>
            <w:tcW w:type="dxa" w:w="2340"/>
          </w:tcPr>
          <w:p>
            <w:r/>
            <w:r>
              <w:rPr>
                <w:rFonts w:ascii="Inter" w:hAnsi="Inter" w:cs="Inter"/>
                <w:b w:val="0"/>
                <w:i w:val="0"/>
                <w:color w:val="2D2D2D"/>
                <w:sz w:val="19"/>
              </w:rPr>
              <w:t>Output 2.2</w:t>
            </w:r>
          </w:p>
        </w:tc>
        <w:tc>
          <w:tcPr>
            <w:tcW w:type="dxa" w:w="2340"/>
          </w:tcPr>
          <w:p>
            <w:r/>
            <w:r>
              <w:rPr>
                <w:rFonts w:ascii="Inter" w:hAnsi="Inter" w:cs="Inter"/>
                <w:b w:val="0"/>
                <w:i w:val="0"/>
                <w:color w:val="2D2D2D"/>
                <w:sz w:val="19"/>
              </w:rPr>
              <w:t>Coordination protocols with NGAs and ministries established</w:t>
            </w:r>
          </w:p>
        </w:tc>
        <w:tc>
          <w:tcPr>
            <w:tcW w:type="dxa" w:w="2340"/>
          </w:tcPr>
          <w:p>
            <w:r/>
            <w:r>
              <w:rPr>
                <w:rFonts w:ascii="Inter" w:hAnsi="Inter" w:cs="Inter"/>
                <w:b w:val="0"/>
                <w:i w:val="0"/>
                <w:color w:val="2D2D2D"/>
                <w:sz w:val="19"/>
              </w:rPr>
              <w:t>Quarterly Coordination Meetings with LGUs Activity</w:t>
            </w:r>
          </w:p>
        </w:tc>
        <w:tc>
          <w:tcPr>
            <w:tcW w:type="dxa" w:w="2340"/>
          </w:tcPr>
          <w:p>
            <w:r/>
            <w:r>
              <w:rPr>
                <w:rFonts w:ascii="Inter" w:hAnsi="Inter" w:cs="Inter"/>
                <w:b w:val="0"/>
                <w:i w:val="0"/>
                <w:color w:val="2D2D2D"/>
                <w:sz w:val="19"/>
              </w:rPr>
              <w:t>P-03-A-02</w:t>
            </w:r>
          </w:p>
        </w:tc>
      </w:tr>
      <w:tr>
        <w:tc>
          <w:tcPr>
            <w:tcW w:type="dxa" w:w="2340"/>
            <w:shd w:fill="F0F3F6"/>
          </w:tcPr>
          <w:p>
            <w:r/>
            <w:r>
              <w:rPr>
                <w:rFonts w:ascii="Inter" w:hAnsi="Inter" w:cs="Inter"/>
                <w:b w:val="0"/>
                <w:i w:val="0"/>
                <w:color w:val="2D2D2D"/>
                <w:sz w:val="19"/>
              </w:rPr>
              <w:t>Output 3.1</w:t>
            </w:r>
          </w:p>
        </w:tc>
        <w:tc>
          <w:tcPr>
            <w:tcW w:type="dxa" w:w="2340"/>
            <w:shd w:fill="F0F3F6"/>
          </w:tcPr>
          <w:p>
            <w:r/>
            <w:r>
              <w:rPr>
                <w:rFonts w:ascii="Inter" w:hAnsi="Inter" w:cs="Inter"/>
                <w:b w:val="0"/>
                <w:i w:val="0"/>
                <w:color w:val="2D2D2D"/>
                <w:sz w:val="19"/>
              </w:rPr>
              <w:t>Advocacy materials produced and disseminated</w:t>
            </w:r>
          </w:p>
        </w:tc>
        <w:tc>
          <w:tcPr>
            <w:tcW w:type="dxa" w:w="2340"/>
            <w:shd w:fill="F0F3F6"/>
          </w:tcPr>
          <w:p>
            <w:r/>
            <w:r>
              <w:rPr>
                <w:rFonts w:ascii="Inter" w:hAnsi="Inter" w:cs="Inter"/>
                <w:b w:val="0"/>
                <w:i w:val="0"/>
                <w:color w:val="2D2D2D"/>
                <w:sz w:val="19"/>
              </w:rPr>
              <w:t>Advocacy and Information Campaigns Activity</w:t>
            </w:r>
          </w:p>
        </w:tc>
        <w:tc>
          <w:tcPr>
            <w:tcW w:type="dxa" w:w="2340"/>
            <w:shd w:fill="F0F3F6"/>
          </w:tcPr>
          <w:p>
            <w:r/>
            <w:r>
              <w:rPr>
                <w:rFonts w:ascii="Inter" w:hAnsi="Inter" w:cs="Inter"/>
                <w:b w:val="0"/>
                <w:i w:val="0"/>
                <w:color w:val="2D2D2D"/>
                <w:sz w:val="19"/>
              </w:rPr>
              <w:t>P-03-A-03</w:t>
            </w:r>
          </w:p>
        </w:tc>
      </w:tr>
      <w:tr>
        <w:tc>
          <w:tcPr>
            <w:tcW w:type="dxa" w:w="2340"/>
          </w:tcPr>
          <w:p>
            <w:r/>
            <w:r>
              <w:rPr>
                <w:rFonts w:ascii="Inter" w:hAnsi="Inter" w:cs="Inter"/>
                <w:b w:val="0"/>
                <w:i w:val="0"/>
                <w:color w:val="2D2D2D"/>
                <w:sz w:val="19"/>
              </w:rPr>
              <w:t>Output 3.2</w:t>
            </w:r>
          </w:p>
        </w:tc>
        <w:tc>
          <w:tcPr>
            <w:tcW w:type="dxa" w:w="2340"/>
          </w:tcPr>
          <w:p>
            <w:r/>
            <w:r>
              <w:rPr>
                <w:rFonts w:ascii="Inter" w:hAnsi="Inter" w:cs="Inter"/>
                <w:b w:val="0"/>
                <w:i w:val="0"/>
                <w:color w:val="2D2D2D"/>
                <w:sz w:val="19"/>
              </w:rPr>
              <w:t>FGDs and consultations conducted</w:t>
            </w:r>
          </w:p>
        </w:tc>
        <w:tc>
          <w:tcPr>
            <w:tcW w:type="dxa" w:w="2340"/>
          </w:tcPr>
          <w:p>
            <w:r/>
            <w:r>
              <w:rPr>
                <w:rFonts w:ascii="Inter" w:hAnsi="Inter" w:cs="Inter"/>
                <w:b w:val="0"/>
                <w:i w:val="0"/>
                <w:color w:val="2D2D2D"/>
                <w:sz w:val="19"/>
              </w:rPr>
              <w:t>FGDs and Community Consultations Activity</w:t>
            </w:r>
          </w:p>
        </w:tc>
        <w:tc>
          <w:tcPr>
            <w:tcW w:type="dxa" w:w="2340"/>
          </w:tcPr>
          <w:p>
            <w:r/>
            <w:r>
              <w:rPr>
                <w:rFonts w:ascii="Inter" w:hAnsi="Inter" w:cs="Inter"/>
                <w:b w:val="0"/>
                <w:i w:val="0"/>
                <w:color w:val="2D2D2D"/>
                <w:sz w:val="19"/>
              </w:rPr>
              <w:t>P-03-A-04</w:t>
            </w:r>
          </w:p>
        </w:tc>
      </w:tr>
    </w:tbl>
    <w:p/>
    <w:p>
      <w:pPr>
        <w:pStyle w:val="Heading3"/>
      </w:pPr>
      <w:r>
        <w:rPr>
          <w:rFonts w:ascii="Inter" w:hAnsi="Inter" w:cs="Inter"/>
          <w:b/>
          <w:i w:val="0"/>
          <w:color w:val="2C5F7C"/>
          <w:sz w:val="26"/>
        </w:rPr>
        <w:t>UACS Code Assignment (Selected PPAs)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PPA</w:t>
            </w:r>
          </w:p>
        </w:tc>
        <w:tc>
          <w:tcPr>
            <w:tcW w:type="dxa" w:w="2340"/>
            <w:shd w:fill="1B365D"/>
          </w:tcPr>
          <w:p>
            <w:r/>
            <w:r>
              <w:rPr>
                <w:rFonts w:ascii="Inter" w:hAnsi="Inter" w:cs="Inter"/>
                <w:b/>
                <w:i w:val="0"/>
                <w:color w:val="FFFFFF"/>
                <w:sz w:val="19"/>
              </w:rPr>
              <w:t>PPA Type</w:t>
            </w:r>
          </w:p>
        </w:tc>
        <w:tc>
          <w:tcPr>
            <w:tcW w:type="dxa" w:w="2340"/>
            <w:shd w:fill="1B365D"/>
          </w:tcPr>
          <w:p>
            <w:r/>
            <w:r>
              <w:rPr>
                <w:rFonts w:ascii="Inter" w:hAnsi="Inter" w:cs="Inter"/>
                <w:b/>
                <w:i w:val="0"/>
                <w:color w:val="FFFFFF"/>
                <w:sz w:val="19"/>
              </w:rPr>
              <w:t>UACS Program Classification</w:t>
            </w:r>
          </w:p>
        </w:tc>
        <w:tc>
          <w:tcPr>
            <w:tcW w:type="dxa" w:w="2340"/>
            <w:shd w:fill="1B365D"/>
          </w:tcPr>
          <w:p>
            <w:r/>
            <w:r>
              <w:rPr>
                <w:rFonts w:ascii="Inter" w:hAnsi="Inter" w:cs="Inter"/>
                <w:b/>
                <w:i w:val="0"/>
                <w:color w:val="FFFFFF"/>
                <w:sz w:val="19"/>
              </w:rPr>
              <w:t>Illustrative UACS Code</w:t>
            </w:r>
          </w:p>
        </w:tc>
      </w:tr>
      <w:tr>
        <w:tc>
          <w:tcPr>
            <w:tcW w:type="dxa" w:w="2340"/>
          </w:tcPr>
          <w:p>
            <w:r/>
            <w:r>
              <w:rPr>
                <w:rFonts w:ascii="Inter" w:hAnsi="Inter" w:cs="Inter"/>
                <w:b w:val="0"/>
                <w:i w:val="0"/>
                <w:color w:val="2D2D2D"/>
                <w:sz w:val="19"/>
              </w:rPr>
              <w:t>GAS Program</w:t>
            </w:r>
          </w:p>
        </w:tc>
        <w:tc>
          <w:tcPr>
            <w:tcW w:type="dxa" w:w="2340"/>
          </w:tcPr>
          <w:p>
            <w:r/>
            <w:r>
              <w:rPr>
                <w:rFonts w:ascii="Inter" w:hAnsi="Inter" w:cs="Inter"/>
                <w:b w:val="0"/>
                <w:i w:val="0"/>
                <w:color w:val="2D2D2D"/>
                <w:sz w:val="19"/>
              </w:rPr>
              <w:t>Program</w:t>
            </w:r>
          </w:p>
        </w:tc>
        <w:tc>
          <w:tcPr>
            <w:tcW w:type="dxa" w:w="2340"/>
          </w:tcPr>
          <w:p>
            <w:r/>
            <w:r>
              <w:rPr>
                <w:rFonts w:ascii="Inter" w:hAnsi="Inter" w:cs="Inter"/>
                <w:b w:val="0"/>
                <w:i w:val="0"/>
                <w:color w:val="2D2D2D"/>
                <w:sz w:val="19"/>
              </w:rPr>
              <w:t>General Administration and Support</w:t>
            </w:r>
          </w:p>
        </w:tc>
        <w:tc>
          <w:tcPr>
            <w:tcW w:type="dxa" w:w="2340"/>
          </w:tcPr>
          <w:p>
            <w:r/>
            <w:r>
              <w:rPr>
                <w:rFonts w:ascii="Inter" w:hAnsi="Inter" w:cs="Inter"/>
                <w:b w:val="0"/>
                <w:i w:val="0"/>
                <w:color w:val="2D2D2D"/>
                <w:sz w:val="19"/>
              </w:rPr>
              <w:t>100-00-0-00</w:t>
            </w:r>
          </w:p>
        </w:tc>
      </w:tr>
      <w:tr>
        <w:tc>
          <w:tcPr>
            <w:tcW w:type="dxa" w:w="2340"/>
            <w:shd w:fill="F0F3F6"/>
          </w:tcPr>
          <w:p>
            <w:r/>
            <w:r>
              <w:rPr>
                <w:rFonts w:ascii="Inter" w:hAnsi="Inter" w:cs="Inter"/>
                <w:b w:val="0"/>
                <w:i w:val="0"/>
                <w:color w:val="2D2D2D"/>
                <w:sz w:val="19"/>
              </w:rPr>
              <w:t>Administrative and Financial Management</w:t>
            </w:r>
          </w:p>
        </w:tc>
        <w:tc>
          <w:tcPr>
            <w:tcW w:type="dxa" w:w="2340"/>
            <w:shd w:fill="F0F3F6"/>
          </w:tcPr>
          <w:p>
            <w:r/>
            <w:r>
              <w:rPr>
                <w:rFonts w:ascii="Inter" w:hAnsi="Inter" w:cs="Inter"/>
                <w:b w:val="0"/>
                <w:i w:val="0"/>
                <w:color w:val="2D2D2D"/>
                <w:sz w:val="19"/>
              </w:rPr>
              <w:t>Activity (GAS)</w:t>
            </w:r>
          </w:p>
        </w:tc>
        <w:tc>
          <w:tcPr>
            <w:tcW w:type="dxa" w:w="2340"/>
            <w:shd w:fill="F0F3F6"/>
          </w:tcPr>
          <w:p>
            <w:r/>
            <w:r>
              <w:rPr>
                <w:rFonts w:ascii="Inter" w:hAnsi="Inter" w:cs="Inter"/>
                <w:b w:val="0"/>
                <w:i w:val="0"/>
                <w:color w:val="2D2D2D"/>
                <w:sz w:val="19"/>
              </w:rPr>
              <w:t>General Administration and Support</w:t>
            </w:r>
          </w:p>
        </w:tc>
        <w:tc>
          <w:tcPr>
            <w:tcW w:type="dxa" w:w="2340"/>
            <w:shd w:fill="F0F3F6"/>
          </w:tcPr>
          <w:p>
            <w:r/>
            <w:r>
              <w:rPr>
                <w:rFonts w:ascii="Inter" w:hAnsi="Inter" w:cs="Inter"/>
                <w:b w:val="0"/>
                <w:i w:val="0"/>
                <w:color w:val="2D2D2D"/>
                <w:sz w:val="19"/>
              </w:rPr>
              <w:t>100-01-0-01</w:t>
            </w:r>
          </w:p>
        </w:tc>
      </w:tr>
      <w:tr>
        <w:tc>
          <w:tcPr>
            <w:tcW w:type="dxa" w:w="2340"/>
          </w:tcPr>
          <w:p>
            <w:r/>
            <w:r>
              <w:rPr>
                <w:rFonts w:ascii="Inter" w:hAnsi="Inter" w:cs="Inter"/>
                <w:b w:val="0"/>
                <w:i w:val="0"/>
                <w:color w:val="2D2D2D"/>
                <w:sz w:val="19"/>
              </w:rPr>
              <w:t>OBC Community Profiling and Data Management Program</w:t>
            </w:r>
          </w:p>
        </w:tc>
        <w:tc>
          <w:tcPr>
            <w:tcW w:type="dxa" w:w="2340"/>
          </w:tcPr>
          <w:p>
            <w:r/>
            <w:r>
              <w:rPr>
                <w:rFonts w:ascii="Inter" w:hAnsi="Inter" w:cs="Inter"/>
                <w:b w:val="0"/>
                <w:i w:val="0"/>
                <w:color w:val="2D2D2D"/>
                <w:sz w:val="19"/>
              </w:rPr>
              <w:t>Program</w:t>
            </w:r>
          </w:p>
        </w:tc>
        <w:tc>
          <w:tcPr>
            <w:tcW w:type="dxa" w:w="2340"/>
          </w:tcPr>
          <w:p>
            <w:r/>
            <w:r>
              <w:rPr>
                <w:rFonts w:ascii="Inter" w:hAnsi="Inter" w:cs="Inter"/>
                <w:b w:val="0"/>
                <w:i w:val="0"/>
                <w:color w:val="2D2D2D"/>
                <w:sz w:val="19"/>
              </w:rPr>
              <w:t>Operations</w:t>
            </w:r>
          </w:p>
        </w:tc>
        <w:tc>
          <w:tcPr>
            <w:tcW w:type="dxa" w:w="2340"/>
          </w:tcPr>
          <w:p>
            <w:r/>
            <w:r>
              <w:rPr>
                <w:rFonts w:ascii="Inter" w:hAnsi="Inter" w:cs="Inter"/>
                <w:b w:val="0"/>
                <w:i w:val="0"/>
                <w:color w:val="2D2D2D"/>
                <w:sz w:val="19"/>
              </w:rPr>
              <w:t>310-00-0-00</w:t>
            </w:r>
          </w:p>
        </w:tc>
      </w:tr>
      <w:tr>
        <w:tc>
          <w:tcPr>
            <w:tcW w:type="dxa" w:w="2340"/>
            <w:shd w:fill="F0F3F6"/>
          </w:tcPr>
          <w:p>
            <w:r/>
            <w:r>
              <w:rPr>
                <w:rFonts w:ascii="Inter" w:hAnsi="Inter" w:cs="Inter"/>
                <w:b w:val="0"/>
                <w:i w:val="0"/>
                <w:color w:val="2D2D2D"/>
                <w:sz w:val="19"/>
              </w:rPr>
              <w:t>PSRRS Development Project</w:t>
            </w:r>
          </w:p>
        </w:tc>
        <w:tc>
          <w:tcPr>
            <w:tcW w:type="dxa" w:w="2340"/>
            <w:shd w:fill="F0F3F6"/>
          </w:tcPr>
          <w:p>
            <w:r/>
            <w:r>
              <w:rPr>
                <w:rFonts w:ascii="Inter" w:hAnsi="Inter" w:cs="Inter"/>
                <w:b w:val="0"/>
                <w:i w:val="0"/>
                <w:color w:val="2D2D2D"/>
                <w:sz w:val="19"/>
              </w:rPr>
              <w:t>Project (Operations)</w:t>
            </w:r>
          </w:p>
        </w:tc>
        <w:tc>
          <w:tcPr>
            <w:tcW w:type="dxa" w:w="2340"/>
            <w:shd w:fill="F0F3F6"/>
          </w:tcPr>
          <w:p>
            <w:r/>
            <w:r>
              <w:rPr>
                <w:rFonts w:ascii="Inter" w:hAnsi="Inter" w:cs="Inter"/>
                <w:b w:val="0"/>
                <w:i w:val="0"/>
                <w:color w:val="2D2D2D"/>
                <w:sz w:val="19"/>
              </w:rPr>
              <w:t>Operations — Capital Outlay</w:t>
            </w:r>
          </w:p>
        </w:tc>
        <w:tc>
          <w:tcPr>
            <w:tcW w:type="dxa" w:w="2340"/>
            <w:shd w:fill="F0F3F6"/>
          </w:tcPr>
          <w:p>
            <w:r/>
            <w:r>
              <w:rPr>
                <w:rFonts w:ascii="Inter" w:hAnsi="Inter" w:cs="Inter"/>
                <w:b w:val="0"/>
                <w:i w:val="0"/>
                <w:color w:val="2D2D2D"/>
                <w:sz w:val="19"/>
              </w:rPr>
              <w:t>310-01-3-01</w:t>
            </w:r>
          </w:p>
        </w:tc>
      </w:tr>
      <w:tr>
        <w:tc>
          <w:tcPr>
            <w:tcW w:type="dxa" w:w="2340"/>
          </w:tcPr>
          <w:p>
            <w:r/>
            <w:r>
              <w:rPr>
                <w:rFonts w:ascii="Inter" w:hAnsi="Inter" w:cs="Inter"/>
                <w:b w:val="0"/>
                <w:i w:val="0"/>
                <w:color w:val="2D2D2D"/>
                <w:sz w:val="19"/>
              </w:rPr>
              <w:t>Community Profiling and Assessment</w:t>
            </w:r>
          </w:p>
        </w:tc>
        <w:tc>
          <w:tcPr>
            <w:tcW w:type="dxa" w:w="2340"/>
          </w:tcPr>
          <w:p>
            <w:r/>
            <w:r>
              <w:rPr>
                <w:rFonts w:ascii="Inter" w:hAnsi="Inter" w:cs="Inter"/>
                <w:b w:val="0"/>
                <w:i w:val="0"/>
                <w:color w:val="2D2D2D"/>
                <w:sz w:val="19"/>
              </w:rPr>
              <w:t>Activity (Operations)</w:t>
            </w:r>
          </w:p>
        </w:tc>
        <w:tc>
          <w:tcPr>
            <w:tcW w:type="dxa" w:w="2340"/>
          </w:tcPr>
          <w:p>
            <w:r/>
            <w:r>
              <w:rPr>
                <w:rFonts w:ascii="Inter" w:hAnsi="Inter" w:cs="Inter"/>
                <w:b w:val="0"/>
                <w:i w:val="0"/>
                <w:color w:val="2D2D2D"/>
                <w:sz w:val="19"/>
              </w:rPr>
              <w:t>Operations — MOOE</w:t>
            </w:r>
          </w:p>
        </w:tc>
        <w:tc>
          <w:tcPr>
            <w:tcW w:type="dxa" w:w="2340"/>
          </w:tcPr>
          <w:p>
            <w:r/>
            <w:r>
              <w:rPr>
                <w:rFonts w:ascii="Inter" w:hAnsi="Inter" w:cs="Inter"/>
                <w:b w:val="0"/>
                <w:i w:val="0"/>
                <w:color w:val="2D2D2D"/>
                <w:sz w:val="19"/>
              </w:rPr>
              <w:t>310-01-2-01</w:t>
            </w:r>
          </w:p>
        </w:tc>
      </w:tr>
      <w:tr>
        <w:tc>
          <w:tcPr>
            <w:tcW w:type="dxa" w:w="2340"/>
            <w:shd w:fill="F0F3F6"/>
          </w:tcPr>
          <w:p>
            <w:r/>
            <w:r>
              <w:rPr>
                <w:rFonts w:ascii="Inter" w:hAnsi="Inter" w:cs="Inter"/>
                <w:b w:val="0"/>
                <w:i w:val="0"/>
                <w:color w:val="2D2D2D"/>
                <w:sz w:val="19"/>
              </w:rPr>
              <w:t>Quarterly Coordination Meetings with LGUs</w:t>
            </w:r>
          </w:p>
        </w:tc>
        <w:tc>
          <w:tcPr>
            <w:tcW w:type="dxa" w:w="2340"/>
            <w:shd w:fill="F0F3F6"/>
          </w:tcPr>
          <w:p>
            <w:r/>
            <w:r>
              <w:rPr>
                <w:rFonts w:ascii="Inter" w:hAnsi="Inter" w:cs="Inter"/>
                <w:b w:val="0"/>
                <w:i w:val="0"/>
                <w:color w:val="2D2D2D"/>
                <w:sz w:val="19"/>
              </w:rPr>
              <w:t>Activity (Operations)</w:t>
            </w:r>
          </w:p>
        </w:tc>
        <w:tc>
          <w:tcPr>
            <w:tcW w:type="dxa" w:w="2340"/>
            <w:shd w:fill="F0F3F6"/>
          </w:tcPr>
          <w:p>
            <w:r/>
            <w:r>
              <w:rPr>
                <w:rFonts w:ascii="Inter" w:hAnsi="Inter" w:cs="Inter"/>
                <w:b w:val="0"/>
                <w:i w:val="0"/>
                <w:color w:val="2D2D2D"/>
                <w:sz w:val="19"/>
              </w:rPr>
              <w:t>Operations — MOOE</w:t>
            </w:r>
          </w:p>
        </w:tc>
        <w:tc>
          <w:tcPr>
            <w:tcW w:type="dxa" w:w="2340"/>
            <w:shd w:fill="F0F3F6"/>
          </w:tcPr>
          <w:p>
            <w:r/>
            <w:r>
              <w:rPr>
                <w:rFonts w:ascii="Inter" w:hAnsi="Inter" w:cs="Inter"/>
                <w:b w:val="0"/>
                <w:i w:val="0"/>
                <w:color w:val="2D2D2D"/>
                <w:sz w:val="19"/>
              </w:rPr>
              <w:t>310-02-2-01</w:t>
            </w:r>
          </w:p>
        </w:tc>
      </w:tr>
    </w:tbl>
    <w:p/>
    <w:p>
      <w:pPr>
        <w:spacing w:after="120" w:line="276" w:lineRule="auto"/>
      </w:pPr>
      <w:r>
        <w:rPr>
          <w:rFonts w:ascii="Inter" w:hAnsi="Inter" w:cs="Inter"/>
          <w:b w:val="0"/>
          <w:i w:val="0"/>
          <w:color w:val="2D2D2D"/>
          <w:sz w:val="22"/>
        </w:rPr>
        <w:t>*Note: UACS codes above are illustrative. Actual codes are assigned by the Budget Officer in coordination with BPDA. The structure follows DBM's UACS guidelines for the national government. BARMM offices apply the same classification principles in the BARMM budget process.*</w:t>
      </w:r>
    </w:p>
    <w:p>
      <w:pPr>
        <w:pStyle w:val="Heading3"/>
      </w:pPr>
      <w:r>
        <w:rPr>
          <w:rFonts w:ascii="Inter" w:hAnsi="Inter" w:cs="Inter"/>
          <w:b/>
          <w:i w:val="0"/>
          <w:color w:val="2C5F7C"/>
          <w:sz w:val="26"/>
        </w:rPr>
        <w:t>Partially Filled PPA Register (OOBC)</w:t>
      </w:r>
    </w:p>
    <w:p>
      <w:pPr>
        <w:spacing w:after="120" w:line="276" w:lineRule="auto"/>
      </w:pPr>
      <w:r>
        <w:rPr>
          <w:rFonts w:ascii="Inter" w:hAnsi="Inter" w:cs="Inter"/>
          <w:b w:val="0"/>
          <w:i w:val="0"/>
          <w:color w:val="2D2D2D"/>
          <w:sz w:val="22"/>
        </w:rPr>
        <w:t>The table below shows four PPAs from OOBC's PPA Register in the format of the template in Section 8.7. Given OOBC's size (~25 staff), the register reflects a focused portfolio appropriate for a small office with nationwide field responsibilities.</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B365D"/>
          </w:tcPr>
          <w:p>
            <w:r/>
            <w:r>
              <w:rPr>
                <w:rFonts w:ascii="Inter" w:hAnsi="Inter" w:cs="Inter"/>
                <w:b/>
                <w:i w:val="0"/>
                <w:color w:val="FFFFFF"/>
                <w:sz w:val="19"/>
              </w:rPr>
              <w:t>PPA Code</w:t>
            </w:r>
          </w:p>
        </w:tc>
        <w:tc>
          <w:tcPr>
            <w:tcW w:type="dxa" w:w="780"/>
            <w:shd w:fill="1B365D"/>
          </w:tcPr>
          <w:p>
            <w:r/>
            <w:r>
              <w:rPr>
                <w:rFonts w:ascii="Inter" w:hAnsi="Inter" w:cs="Inter"/>
                <w:b/>
                <w:i w:val="0"/>
                <w:color w:val="FFFFFF"/>
                <w:sz w:val="19"/>
              </w:rPr>
              <w:t>PPA Name</w:t>
            </w:r>
          </w:p>
        </w:tc>
        <w:tc>
          <w:tcPr>
            <w:tcW w:type="dxa" w:w="780"/>
            <w:shd w:fill="1B365D"/>
          </w:tcPr>
          <w:p>
            <w:r/>
            <w:r>
              <w:rPr>
                <w:rFonts w:ascii="Inter" w:hAnsi="Inter" w:cs="Inter"/>
                <w:b/>
                <w:i w:val="0"/>
                <w:color w:val="FFFFFF"/>
                <w:sz w:val="19"/>
              </w:rPr>
              <w:t>Type</w:t>
            </w:r>
          </w:p>
        </w:tc>
        <w:tc>
          <w:tcPr>
            <w:tcW w:type="dxa" w:w="780"/>
            <w:shd w:fill="1B365D"/>
          </w:tcPr>
          <w:p>
            <w:r/>
            <w:r>
              <w:rPr>
                <w:rFonts w:ascii="Inter" w:hAnsi="Inter" w:cs="Inter"/>
                <w:b/>
                <w:i w:val="0"/>
                <w:color w:val="FFFFFF"/>
                <w:sz w:val="19"/>
              </w:rPr>
              <w:t>Description</w:t>
            </w:r>
          </w:p>
        </w:tc>
        <w:tc>
          <w:tcPr>
            <w:tcW w:type="dxa" w:w="780"/>
            <w:shd w:fill="1B365D"/>
          </w:tcPr>
          <w:p>
            <w:r/>
            <w:r>
              <w:rPr>
                <w:rFonts w:ascii="Inter" w:hAnsi="Inter" w:cs="Inter"/>
                <w:b/>
                <w:i w:val="0"/>
                <w:color w:val="FFFFFF"/>
                <w:sz w:val="19"/>
              </w:rPr>
              <w:t>ToC Output Link</w:t>
            </w:r>
          </w:p>
        </w:tc>
        <w:tc>
          <w:tcPr>
            <w:tcW w:type="dxa" w:w="780"/>
            <w:shd w:fill="1B365D"/>
          </w:tcPr>
          <w:p>
            <w:r/>
            <w:r>
              <w:rPr>
                <w:rFonts w:ascii="Inter" w:hAnsi="Inter" w:cs="Inter"/>
                <w:b/>
                <w:i w:val="0"/>
                <w:color w:val="FFFFFF"/>
                <w:sz w:val="19"/>
              </w:rPr>
              <w:t>Responsible Unit</w:t>
            </w:r>
          </w:p>
        </w:tc>
        <w:tc>
          <w:tcPr>
            <w:tcW w:type="dxa" w:w="780"/>
            <w:shd w:fill="1B365D"/>
          </w:tcPr>
          <w:p>
            <w:r/>
            <w:r>
              <w:rPr>
                <w:rFonts w:ascii="Inter" w:hAnsi="Inter" w:cs="Inter"/>
                <w:b/>
                <w:i w:val="0"/>
                <w:color w:val="FFFFFF"/>
                <w:sz w:val="19"/>
              </w:rPr>
              <w:t>Start</w:t>
            </w:r>
          </w:p>
        </w:tc>
        <w:tc>
          <w:tcPr>
            <w:tcW w:type="dxa" w:w="780"/>
            <w:shd w:fill="1B365D"/>
          </w:tcPr>
          <w:p>
            <w:r/>
            <w:r>
              <w:rPr>
                <w:rFonts w:ascii="Inter" w:hAnsi="Inter" w:cs="Inter"/>
                <w:b/>
                <w:i w:val="0"/>
                <w:color w:val="FFFFFF"/>
                <w:sz w:val="19"/>
              </w:rPr>
              <w:t>End</w:t>
            </w:r>
          </w:p>
        </w:tc>
        <w:tc>
          <w:tcPr>
            <w:tcW w:type="dxa" w:w="780"/>
            <w:shd w:fill="1B365D"/>
          </w:tcPr>
          <w:p>
            <w:r/>
            <w:r>
              <w:rPr>
                <w:rFonts w:ascii="Inter" w:hAnsi="Inter" w:cs="Inter"/>
                <w:b/>
                <w:i w:val="0"/>
                <w:color w:val="FFFFFF"/>
                <w:sz w:val="19"/>
              </w:rPr>
              <w:t>UACS Code</w:t>
            </w:r>
          </w:p>
        </w:tc>
        <w:tc>
          <w:tcPr>
            <w:tcW w:type="dxa" w:w="780"/>
            <w:shd w:fill="1B365D"/>
          </w:tcPr>
          <w:p>
            <w:r/>
            <w:r>
              <w:rPr>
                <w:rFonts w:ascii="Inter" w:hAnsi="Inter" w:cs="Inter"/>
                <w:b/>
                <w:i w:val="0"/>
                <w:color w:val="FFFFFF"/>
                <w:sz w:val="19"/>
              </w:rPr>
              <w:t>Est. Cost (PhP)</w:t>
            </w:r>
          </w:p>
        </w:tc>
        <w:tc>
          <w:tcPr>
            <w:tcW w:type="dxa" w:w="780"/>
            <w:shd w:fill="1B365D"/>
          </w:tcPr>
          <w:p>
            <w:r/>
            <w:r>
              <w:rPr>
                <w:rFonts w:ascii="Inter" w:hAnsi="Inter" w:cs="Inter"/>
                <w:b/>
                <w:i w:val="0"/>
                <w:color w:val="FFFFFF"/>
                <w:sz w:val="19"/>
              </w:rPr>
              <w:t>Expected Output</w:t>
            </w:r>
          </w:p>
        </w:tc>
        <w:tc>
          <w:tcPr>
            <w:tcW w:type="dxa" w:w="780"/>
            <w:shd w:fill="1B365D"/>
          </w:tcPr>
          <w:p>
            <w:r/>
            <w:r>
              <w:rPr>
                <w:rFonts w:ascii="Inter" w:hAnsi="Inter" w:cs="Inter"/>
                <w:b/>
                <w:i w:val="0"/>
                <w:color w:val="FFFFFF"/>
                <w:sz w:val="19"/>
              </w:rPr>
              <w:t>Annual Target</w:t>
            </w:r>
          </w:p>
        </w:tc>
      </w:tr>
      <w:tr>
        <w:tc>
          <w:tcPr>
            <w:tcW w:type="dxa" w:w="780"/>
          </w:tcPr>
          <w:p>
            <w:r/>
            <w:r>
              <w:rPr>
                <w:rFonts w:ascii="Inter" w:hAnsi="Inter" w:cs="Inter"/>
                <w:b w:val="0"/>
                <w:i w:val="0"/>
                <w:color w:val="2D2D2D"/>
                <w:sz w:val="19"/>
              </w:rPr>
              <w:t>P-03-PR-01</w:t>
            </w:r>
          </w:p>
        </w:tc>
        <w:tc>
          <w:tcPr>
            <w:tcW w:type="dxa" w:w="780"/>
          </w:tcPr>
          <w:p>
            <w:r/>
            <w:r>
              <w:rPr>
                <w:rFonts w:ascii="Inter" w:hAnsi="Inter" w:cs="Inter"/>
                <w:b w:val="0"/>
                <w:i w:val="0"/>
                <w:color w:val="2D2D2D"/>
                <w:sz w:val="19"/>
              </w:rPr>
              <w:t>PSRRS Development Project</w:t>
            </w:r>
          </w:p>
        </w:tc>
        <w:tc>
          <w:tcPr>
            <w:tcW w:type="dxa" w:w="780"/>
          </w:tcPr>
          <w:p>
            <w:r/>
            <w:r>
              <w:rPr>
                <w:rFonts w:ascii="Inter" w:hAnsi="Inter" w:cs="Inter"/>
                <w:b w:val="0"/>
                <w:i w:val="0"/>
                <w:color w:val="2D2D2D"/>
                <w:sz w:val="19"/>
              </w:rPr>
              <w:t>Project (Pr)</w:t>
            </w:r>
          </w:p>
        </w:tc>
        <w:tc>
          <w:tcPr>
            <w:tcW w:type="dxa" w:w="780"/>
          </w:tcPr>
          <w:p>
            <w:r/>
            <w:r>
              <w:rPr>
                <w:rFonts w:ascii="Inter" w:hAnsi="Inter" w:cs="Inter"/>
                <w:b w:val="0"/>
                <w:i w:val="0"/>
                <w:color w:val="2D2D2D"/>
                <w:sz w:val="19"/>
              </w:rPr>
              <w:t>Design, develop, test, and deploy the People and Stakeholder Registry and Referral System — a community database platform that profiles OBC communities across target provinces and tracks service referrals to BARMM ministries and NGAs.</w:t>
            </w:r>
          </w:p>
        </w:tc>
        <w:tc>
          <w:tcPr>
            <w:tcW w:type="dxa" w:w="780"/>
          </w:tcPr>
          <w:p>
            <w:r/>
            <w:r>
              <w:rPr>
                <w:rFonts w:ascii="Inter" w:hAnsi="Inter" w:cs="Inter"/>
                <w:b w:val="0"/>
                <w:i w:val="0"/>
                <w:color w:val="2D2D2D"/>
                <w:sz w:val="19"/>
              </w:rPr>
              <w:t>Output 1.1</w:t>
            </w:r>
          </w:p>
        </w:tc>
        <w:tc>
          <w:tcPr>
            <w:tcW w:type="dxa" w:w="780"/>
          </w:tcPr>
          <w:p>
            <w:r/>
            <w:r>
              <w:rPr>
                <w:rFonts w:ascii="Inter" w:hAnsi="Inter" w:cs="Inter"/>
                <w:b w:val="0"/>
                <w:i w:val="0"/>
                <w:color w:val="2D2D2D"/>
                <w:sz w:val="19"/>
              </w:rPr>
              <w:t>Planning and Information Management Unit</w:t>
            </w:r>
          </w:p>
        </w:tc>
        <w:tc>
          <w:tcPr>
            <w:tcW w:type="dxa" w:w="780"/>
          </w:tcPr>
          <w:p>
            <w:r/>
            <w:r>
              <w:rPr>
                <w:rFonts w:ascii="Inter" w:hAnsi="Inter" w:cs="Inter"/>
                <w:b w:val="0"/>
                <w:i w:val="0"/>
                <w:color w:val="2D2D2D"/>
                <w:sz w:val="19"/>
              </w:rPr>
              <w:t>Q1 Year 1</w:t>
            </w:r>
          </w:p>
        </w:tc>
        <w:tc>
          <w:tcPr>
            <w:tcW w:type="dxa" w:w="780"/>
          </w:tcPr>
          <w:p>
            <w:r/>
            <w:r>
              <w:rPr>
                <w:rFonts w:ascii="Inter" w:hAnsi="Inter" w:cs="Inter"/>
                <w:b w:val="0"/>
                <w:i w:val="0"/>
                <w:color w:val="2D2D2D"/>
                <w:sz w:val="19"/>
              </w:rPr>
              <w:t>Q4 Year 2</w:t>
            </w:r>
          </w:p>
        </w:tc>
        <w:tc>
          <w:tcPr>
            <w:tcW w:type="dxa" w:w="780"/>
          </w:tcPr>
          <w:p>
            <w:r/>
            <w:r>
              <w:rPr>
                <w:rFonts w:ascii="Inter" w:hAnsi="Inter" w:cs="Inter"/>
                <w:b w:val="0"/>
                <w:i w:val="0"/>
                <w:color w:val="2D2D2D"/>
                <w:sz w:val="19"/>
              </w:rPr>
              <w:t>310-01-3-01</w:t>
            </w:r>
          </w:p>
        </w:tc>
        <w:tc>
          <w:tcPr>
            <w:tcW w:type="dxa" w:w="780"/>
          </w:tcPr>
          <w:p>
            <w:r/>
            <w:r>
              <w:rPr>
                <w:rFonts w:ascii="Inter" w:hAnsi="Inter" w:cs="Inter"/>
                <w:b w:val="0"/>
                <w:i w:val="0"/>
                <w:color w:val="2D2D2D"/>
                <w:sz w:val="19"/>
              </w:rPr>
              <w:t>PhP 3.8M</w:t>
            </w:r>
          </w:p>
        </w:tc>
        <w:tc>
          <w:tcPr>
            <w:tcW w:type="dxa" w:w="780"/>
          </w:tcPr>
          <w:p>
            <w:r/>
            <w:r>
              <w:rPr>
                <w:rFonts w:ascii="Inter" w:hAnsi="Inter" w:cs="Inter"/>
                <w:b w:val="0"/>
                <w:i w:val="0"/>
                <w:color w:val="2D2D2D"/>
                <w:sz w:val="19"/>
              </w:rPr>
              <w:t>PSRRS fully operational and populated with OBC community data</w:t>
            </w:r>
          </w:p>
        </w:tc>
        <w:tc>
          <w:tcPr>
            <w:tcW w:type="dxa" w:w="780"/>
          </w:tcPr>
          <w:p>
            <w:r/>
            <w:r>
              <w:rPr>
                <w:rFonts w:ascii="Inter" w:hAnsi="Inter" w:cs="Inter"/>
                <w:b w:val="0"/>
                <w:i w:val="0"/>
                <w:color w:val="2D2D2D"/>
                <w:sz w:val="19"/>
              </w:rPr>
              <w:t>Y1: System designed and developed; piloted in 2 provinces. Y2: System deployed office-wide; data from all target provinces integrated</w:t>
            </w:r>
          </w:p>
        </w:tc>
      </w:tr>
      <w:tr>
        <w:tc>
          <w:tcPr>
            <w:tcW w:type="dxa" w:w="780"/>
            <w:shd w:fill="F0F3F6"/>
          </w:tcPr>
          <w:p>
            <w:r/>
            <w:r>
              <w:rPr>
                <w:rFonts w:ascii="Inter" w:hAnsi="Inter" w:cs="Inter"/>
                <w:b w:val="0"/>
                <w:i w:val="0"/>
                <w:color w:val="2D2D2D"/>
                <w:sz w:val="19"/>
              </w:rPr>
              <w:t>P-03-A-01</w:t>
            </w:r>
          </w:p>
        </w:tc>
        <w:tc>
          <w:tcPr>
            <w:tcW w:type="dxa" w:w="780"/>
            <w:shd w:fill="F0F3F6"/>
          </w:tcPr>
          <w:p>
            <w:r/>
            <w:r>
              <w:rPr>
                <w:rFonts w:ascii="Inter" w:hAnsi="Inter" w:cs="Inter"/>
                <w:b w:val="0"/>
                <w:i w:val="0"/>
                <w:color w:val="2D2D2D"/>
                <w:sz w:val="19"/>
              </w:rPr>
              <w:t>Community Profiling and Assessment</w:t>
            </w:r>
          </w:p>
        </w:tc>
        <w:tc>
          <w:tcPr>
            <w:tcW w:type="dxa" w:w="780"/>
            <w:shd w:fill="F0F3F6"/>
          </w:tcPr>
          <w:p>
            <w:r/>
            <w:r>
              <w:rPr>
                <w:rFonts w:ascii="Inter" w:hAnsi="Inter" w:cs="Inter"/>
                <w:b w:val="0"/>
                <w:i w:val="0"/>
                <w:color w:val="2D2D2D"/>
                <w:sz w:val="19"/>
              </w:rPr>
              <w:t>Activity (A)</w:t>
            </w:r>
          </w:p>
        </w:tc>
        <w:tc>
          <w:tcPr>
            <w:tcW w:type="dxa" w:w="780"/>
            <w:shd w:fill="F0F3F6"/>
          </w:tcPr>
          <w:p>
            <w:r/>
            <w:r>
              <w:rPr>
                <w:rFonts w:ascii="Inter" w:hAnsi="Inter" w:cs="Inter"/>
                <w:b w:val="0"/>
                <w:i w:val="0"/>
                <w:color w:val="2D2D2D"/>
                <w:sz w:val="19"/>
              </w:rPr>
              <w:t>Conduct field-based community profiling activities using standardized instruments to document OBC communities' demographic profiles, access gaps, priority needs, and referral requirements. Includes deployment of trained staff to Davao, Sultan Kudarat, Pagadian, and other field areas.</w:t>
            </w:r>
          </w:p>
        </w:tc>
        <w:tc>
          <w:tcPr>
            <w:tcW w:type="dxa" w:w="780"/>
            <w:shd w:fill="F0F3F6"/>
          </w:tcPr>
          <w:p>
            <w:r/>
            <w:r>
              <w:rPr>
                <w:rFonts w:ascii="Inter" w:hAnsi="Inter" w:cs="Inter"/>
                <w:b w:val="0"/>
                <w:i w:val="0"/>
                <w:color w:val="2D2D2D"/>
                <w:sz w:val="19"/>
              </w:rPr>
              <w:t>Output 1.2; Output 1.3</w:t>
            </w:r>
          </w:p>
        </w:tc>
        <w:tc>
          <w:tcPr>
            <w:tcW w:type="dxa" w:w="780"/>
            <w:shd w:fill="F0F3F6"/>
          </w:tcPr>
          <w:p>
            <w:r/>
            <w:r>
              <w:rPr>
                <w:rFonts w:ascii="Inter" w:hAnsi="Inter" w:cs="Inter"/>
                <w:b w:val="0"/>
                <w:i w:val="0"/>
                <w:color w:val="2D2D2D"/>
                <w:sz w:val="19"/>
              </w:rPr>
              <w:t>Field Operations Unit</w:t>
            </w:r>
          </w:p>
        </w:tc>
        <w:tc>
          <w:tcPr>
            <w:tcW w:type="dxa" w:w="780"/>
            <w:shd w:fill="F0F3F6"/>
          </w:tcPr>
          <w:p>
            <w:r/>
            <w:r>
              <w:rPr>
                <w:rFonts w:ascii="Inter" w:hAnsi="Inter" w:cs="Inter"/>
                <w:b w:val="0"/>
                <w:i w:val="0"/>
                <w:color w:val="2D2D2D"/>
                <w:sz w:val="19"/>
              </w:rPr>
              <w:t>Q1 Year 1</w:t>
            </w:r>
          </w:p>
        </w:tc>
        <w:tc>
          <w:tcPr>
            <w:tcW w:type="dxa" w:w="780"/>
            <w:shd w:fill="F0F3F6"/>
          </w:tcPr>
          <w:p>
            <w:r/>
            <w:r>
              <w:rPr>
                <w:rFonts w:ascii="Inter" w:hAnsi="Inter" w:cs="Inter"/>
                <w:b w:val="0"/>
                <w:i w:val="0"/>
                <w:color w:val="2D2D2D"/>
                <w:sz w:val="19"/>
              </w:rPr>
              <w:t>Continuing</w:t>
            </w:r>
          </w:p>
        </w:tc>
        <w:tc>
          <w:tcPr>
            <w:tcW w:type="dxa" w:w="780"/>
            <w:shd w:fill="F0F3F6"/>
          </w:tcPr>
          <w:p>
            <w:r/>
            <w:r>
              <w:rPr>
                <w:rFonts w:ascii="Inter" w:hAnsi="Inter" w:cs="Inter"/>
                <w:b w:val="0"/>
                <w:i w:val="0"/>
                <w:color w:val="2D2D2D"/>
                <w:sz w:val="19"/>
              </w:rPr>
              <w:t>310-01-2-01</w:t>
            </w:r>
          </w:p>
        </w:tc>
        <w:tc>
          <w:tcPr>
            <w:tcW w:type="dxa" w:w="780"/>
            <w:shd w:fill="F0F3F6"/>
          </w:tcPr>
          <w:p>
            <w:r/>
            <w:r>
              <w:rPr>
                <w:rFonts w:ascii="Inter" w:hAnsi="Inter" w:cs="Inter"/>
                <w:b w:val="0"/>
                <w:i w:val="0"/>
                <w:color w:val="2D2D2D"/>
                <w:sz w:val="19"/>
              </w:rPr>
              <w:t>PhP 2.4M (Year 1)</w:t>
            </w:r>
          </w:p>
        </w:tc>
        <w:tc>
          <w:tcPr>
            <w:tcW w:type="dxa" w:w="780"/>
            <w:shd w:fill="F0F3F6"/>
          </w:tcPr>
          <w:p>
            <w:r/>
            <w:r>
              <w:rPr>
                <w:rFonts w:ascii="Inter" w:hAnsi="Inter" w:cs="Inter"/>
                <w:b w:val="0"/>
                <w:i w:val="0"/>
                <w:color w:val="2D2D2D"/>
                <w:sz w:val="19"/>
              </w:rPr>
              <w:t>OBC communities profiled in target provinces; profiling instruments validated and deployed</w:t>
            </w:r>
          </w:p>
        </w:tc>
        <w:tc>
          <w:tcPr>
            <w:tcW w:type="dxa" w:w="780"/>
            <w:shd w:fill="F0F3F6"/>
          </w:tcPr>
          <w:p>
            <w:r/>
            <w:r>
              <w:rPr>
                <w:rFonts w:ascii="Inter" w:hAnsi="Inter" w:cs="Inter"/>
                <w:b w:val="0"/>
                <w:i w:val="0"/>
                <w:color w:val="2D2D2D"/>
                <w:sz w:val="19"/>
              </w:rPr>
              <w:t>Y1: Profiling instruments developed; 30% of target communities profiled. Y2: 70% of target communities profiled; database fully updated</w:t>
            </w:r>
          </w:p>
        </w:tc>
      </w:tr>
      <w:tr>
        <w:tc>
          <w:tcPr>
            <w:tcW w:type="dxa" w:w="780"/>
          </w:tcPr>
          <w:p>
            <w:r/>
            <w:r>
              <w:rPr>
                <w:rFonts w:ascii="Inter" w:hAnsi="Inter" w:cs="Inter"/>
                <w:b w:val="0"/>
                <w:i w:val="0"/>
                <w:color w:val="2D2D2D"/>
                <w:sz w:val="19"/>
              </w:rPr>
              <w:t>P-03-A-02</w:t>
            </w:r>
          </w:p>
        </w:tc>
        <w:tc>
          <w:tcPr>
            <w:tcW w:type="dxa" w:w="780"/>
          </w:tcPr>
          <w:p>
            <w:r/>
            <w:r>
              <w:rPr>
                <w:rFonts w:ascii="Inter" w:hAnsi="Inter" w:cs="Inter"/>
                <w:b w:val="0"/>
                <w:i w:val="0"/>
                <w:color w:val="2D2D2D"/>
                <w:sz w:val="19"/>
              </w:rPr>
              <w:t>Quarterly Coordination Meetings with LGUs</w:t>
            </w:r>
          </w:p>
        </w:tc>
        <w:tc>
          <w:tcPr>
            <w:tcW w:type="dxa" w:w="780"/>
          </w:tcPr>
          <w:p>
            <w:r/>
            <w:r>
              <w:rPr>
                <w:rFonts w:ascii="Inter" w:hAnsi="Inter" w:cs="Inter"/>
                <w:b w:val="0"/>
                <w:i w:val="0"/>
                <w:color w:val="2D2D2D"/>
                <w:sz w:val="19"/>
              </w:rPr>
              <w:t>Activity (A)</w:t>
            </w:r>
          </w:p>
        </w:tc>
        <w:tc>
          <w:tcPr>
            <w:tcW w:type="dxa" w:w="780"/>
          </w:tcPr>
          <w:p>
            <w:r/>
            <w:r>
              <w:rPr>
                <w:rFonts w:ascii="Inter" w:hAnsi="Inter" w:cs="Inter"/>
                <w:b w:val="0"/>
                <w:i w:val="0"/>
                <w:color w:val="2D2D2D"/>
                <w:sz w:val="19"/>
              </w:rPr>
              <w:t>Convene quarterly coordination meetings with LGUs in OOBC's coverage areas to advance MOU/MOA formalization, resolve service delivery referral issues, and establish joint coordination protocols with provincial and municipal governments.</w:t>
            </w:r>
          </w:p>
        </w:tc>
        <w:tc>
          <w:tcPr>
            <w:tcW w:type="dxa" w:w="780"/>
          </w:tcPr>
          <w:p>
            <w:r/>
            <w:r>
              <w:rPr>
                <w:rFonts w:ascii="Inter" w:hAnsi="Inter" w:cs="Inter"/>
                <w:b w:val="0"/>
                <w:i w:val="0"/>
                <w:color w:val="2D2D2D"/>
                <w:sz w:val="19"/>
              </w:rPr>
              <w:t>Output 2.1; Output 2.2</w:t>
            </w:r>
          </w:p>
        </w:tc>
        <w:tc>
          <w:tcPr>
            <w:tcW w:type="dxa" w:w="780"/>
          </w:tcPr>
          <w:p>
            <w:r/>
            <w:r>
              <w:rPr>
                <w:rFonts w:ascii="Inter" w:hAnsi="Inter" w:cs="Inter"/>
                <w:b w:val="0"/>
                <w:i w:val="0"/>
                <w:color w:val="2D2D2D"/>
                <w:sz w:val="19"/>
              </w:rPr>
              <w:t>Coordination and Partnerships Unit</w:t>
            </w:r>
          </w:p>
        </w:tc>
        <w:tc>
          <w:tcPr>
            <w:tcW w:type="dxa" w:w="780"/>
          </w:tcPr>
          <w:p>
            <w:r/>
            <w:r>
              <w:rPr>
                <w:rFonts w:ascii="Inter" w:hAnsi="Inter" w:cs="Inter"/>
                <w:b w:val="0"/>
                <w:i w:val="0"/>
                <w:color w:val="2D2D2D"/>
                <w:sz w:val="19"/>
              </w:rPr>
              <w:t>Q1 Year 1</w:t>
            </w:r>
          </w:p>
        </w:tc>
        <w:tc>
          <w:tcPr>
            <w:tcW w:type="dxa" w:w="780"/>
          </w:tcPr>
          <w:p>
            <w:r/>
            <w:r>
              <w:rPr>
                <w:rFonts w:ascii="Inter" w:hAnsi="Inter" w:cs="Inter"/>
                <w:b w:val="0"/>
                <w:i w:val="0"/>
                <w:color w:val="2D2D2D"/>
                <w:sz w:val="19"/>
              </w:rPr>
              <w:t>Continuing</w:t>
            </w:r>
          </w:p>
        </w:tc>
        <w:tc>
          <w:tcPr>
            <w:tcW w:type="dxa" w:w="780"/>
          </w:tcPr>
          <w:p>
            <w:r/>
            <w:r>
              <w:rPr>
                <w:rFonts w:ascii="Inter" w:hAnsi="Inter" w:cs="Inter"/>
                <w:b w:val="0"/>
                <w:i w:val="0"/>
                <w:color w:val="2D2D2D"/>
                <w:sz w:val="19"/>
              </w:rPr>
              <w:t>310-02-2-01</w:t>
            </w:r>
          </w:p>
        </w:tc>
        <w:tc>
          <w:tcPr>
            <w:tcW w:type="dxa" w:w="780"/>
          </w:tcPr>
          <w:p>
            <w:r/>
            <w:r>
              <w:rPr>
                <w:rFonts w:ascii="Inter" w:hAnsi="Inter" w:cs="Inter"/>
                <w:b w:val="0"/>
                <w:i w:val="0"/>
                <w:color w:val="2D2D2D"/>
                <w:sz w:val="19"/>
              </w:rPr>
              <w:t>PhP 1.2M (Year 1)</w:t>
            </w:r>
          </w:p>
        </w:tc>
        <w:tc>
          <w:tcPr>
            <w:tcW w:type="dxa" w:w="780"/>
          </w:tcPr>
          <w:p>
            <w:r/>
            <w:r>
              <w:rPr>
                <w:rFonts w:ascii="Inter" w:hAnsi="Inter" w:cs="Inter"/>
                <w:b w:val="0"/>
                <w:i w:val="0"/>
                <w:color w:val="2D2D2D"/>
                <w:sz w:val="19"/>
              </w:rPr>
              <w:t>MOUs/MOAs formalized with target LGUs; coordination protocols established</w:t>
            </w:r>
          </w:p>
        </w:tc>
        <w:tc>
          <w:tcPr>
            <w:tcW w:type="dxa" w:w="780"/>
          </w:tcPr>
          <w:p>
            <w:r/>
            <w:r>
              <w:rPr>
                <w:rFonts w:ascii="Inter" w:hAnsi="Inter" w:cs="Inter"/>
                <w:b w:val="0"/>
                <w:i w:val="0"/>
                <w:color w:val="2D2D2D"/>
                <w:sz w:val="19"/>
              </w:rPr>
              <w:t>Y1: 4 quarterly meetings conducted; at least 6 LGU MOAs signed. Y2: 4 quarterly meetings; remaining target LGU MOAs completed; protocols operational</w:t>
            </w:r>
          </w:p>
        </w:tc>
      </w:tr>
      <w:tr>
        <w:tc>
          <w:tcPr>
            <w:tcW w:type="dxa" w:w="780"/>
            <w:shd w:fill="F0F3F6"/>
          </w:tcPr>
          <w:p>
            <w:r/>
            <w:r>
              <w:rPr>
                <w:rFonts w:ascii="Inter" w:hAnsi="Inter" w:cs="Inter"/>
                <w:b w:val="0"/>
                <w:i w:val="0"/>
                <w:color w:val="2D2D2D"/>
                <w:sz w:val="19"/>
              </w:rPr>
              <w:t>P-03-A-03</w:t>
            </w:r>
          </w:p>
        </w:tc>
        <w:tc>
          <w:tcPr>
            <w:tcW w:type="dxa" w:w="780"/>
            <w:shd w:fill="F0F3F6"/>
          </w:tcPr>
          <w:p>
            <w:r/>
            <w:r>
              <w:rPr>
                <w:rFonts w:ascii="Inter" w:hAnsi="Inter" w:cs="Inter"/>
                <w:b w:val="0"/>
                <w:i w:val="0"/>
                <w:color w:val="2D2D2D"/>
                <w:sz w:val="19"/>
              </w:rPr>
              <w:t>Advocacy and Information Campaigns</w:t>
            </w:r>
          </w:p>
        </w:tc>
        <w:tc>
          <w:tcPr>
            <w:tcW w:type="dxa" w:w="780"/>
            <w:shd w:fill="F0F3F6"/>
          </w:tcPr>
          <w:p>
            <w:r/>
            <w:r>
              <w:rPr>
                <w:rFonts w:ascii="Inter" w:hAnsi="Inter" w:cs="Inter"/>
                <w:b w:val="0"/>
                <w:i w:val="0"/>
                <w:color w:val="2D2D2D"/>
                <w:sz w:val="19"/>
              </w:rPr>
              <w:t>Activity (A)</w:t>
            </w:r>
          </w:p>
        </w:tc>
        <w:tc>
          <w:tcPr>
            <w:tcW w:type="dxa" w:w="780"/>
            <w:shd w:fill="F0F3F6"/>
          </w:tcPr>
          <w:p>
            <w:r/>
            <w:r>
              <w:rPr>
                <w:rFonts w:ascii="Inter" w:hAnsi="Inter" w:cs="Inter"/>
                <w:b w:val="0"/>
                <w:i w:val="0"/>
                <w:color w:val="2D2D2D"/>
                <w:sz w:val="19"/>
              </w:rPr>
              <w:t>Develop and disseminate advocacy materials about OBC rights, BARMM services, and the legal framework under the BOL. Conduct information campaigns in coordination with BARMM ministries and partner NGOs to raise awareness among OBC communities outside the BARMM core territory.</w:t>
            </w:r>
          </w:p>
        </w:tc>
        <w:tc>
          <w:tcPr>
            <w:tcW w:type="dxa" w:w="780"/>
            <w:shd w:fill="F0F3F6"/>
          </w:tcPr>
          <w:p>
            <w:r/>
            <w:r>
              <w:rPr>
                <w:rFonts w:ascii="Inter" w:hAnsi="Inter" w:cs="Inter"/>
                <w:b w:val="0"/>
                <w:i w:val="0"/>
                <w:color w:val="2D2D2D"/>
                <w:sz w:val="19"/>
              </w:rPr>
              <w:t>Output 3.1</w:t>
            </w:r>
          </w:p>
        </w:tc>
        <w:tc>
          <w:tcPr>
            <w:tcW w:type="dxa" w:w="780"/>
            <w:shd w:fill="F0F3F6"/>
          </w:tcPr>
          <w:p>
            <w:r/>
            <w:r>
              <w:rPr>
                <w:rFonts w:ascii="Inter" w:hAnsi="Inter" w:cs="Inter"/>
                <w:b w:val="0"/>
                <w:i w:val="0"/>
                <w:color w:val="2D2D2D"/>
                <w:sz w:val="19"/>
              </w:rPr>
              <w:t>Communications and Advocacy Unit</w:t>
            </w:r>
          </w:p>
        </w:tc>
        <w:tc>
          <w:tcPr>
            <w:tcW w:type="dxa" w:w="780"/>
            <w:shd w:fill="F0F3F6"/>
          </w:tcPr>
          <w:p>
            <w:r/>
            <w:r>
              <w:rPr>
                <w:rFonts w:ascii="Inter" w:hAnsi="Inter" w:cs="Inter"/>
                <w:b w:val="0"/>
                <w:i w:val="0"/>
                <w:color w:val="2D2D2D"/>
                <w:sz w:val="19"/>
              </w:rPr>
              <w:t>Q1 Year 1</w:t>
            </w:r>
          </w:p>
        </w:tc>
        <w:tc>
          <w:tcPr>
            <w:tcW w:type="dxa" w:w="780"/>
            <w:shd w:fill="F0F3F6"/>
          </w:tcPr>
          <w:p>
            <w:r/>
            <w:r>
              <w:rPr>
                <w:rFonts w:ascii="Inter" w:hAnsi="Inter" w:cs="Inter"/>
                <w:b w:val="0"/>
                <w:i w:val="0"/>
                <w:color w:val="2D2D2D"/>
                <w:sz w:val="19"/>
              </w:rPr>
              <w:t>Continuing</w:t>
            </w:r>
          </w:p>
        </w:tc>
        <w:tc>
          <w:tcPr>
            <w:tcW w:type="dxa" w:w="780"/>
            <w:shd w:fill="F0F3F6"/>
          </w:tcPr>
          <w:p>
            <w:r/>
            <w:r>
              <w:rPr>
                <w:rFonts w:ascii="Inter" w:hAnsi="Inter" w:cs="Inter"/>
                <w:b w:val="0"/>
                <w:i w:val="0"/>
                <w:color w:val="2D2D2D"/>
                <w:sz w:val="19"/>
              </w:rPr>
              <w:t>310-03-2-01</w:t>
            </w:r>
          </w:p>
        </w:tc>
        <w:tc>
          <w:tcPr>
            <w:tcW w:type="dxa" w:w="780"/>
            <w:shd w:fill="F0F3F6"/>
          </w:tcPr>
          <w:p>
            <w:r/>
            <w:r>
              <w:rPr>
                <w:rFonts w:ascii="Inter" w:hAnsi="Inter" w:cs="Inter"/>
                <w:b w:val="0"/>
                <w:i w:val="0"/>
                <w:color w:val="2D2D2D"/>
                <w:sz w:val="19"/>
              </w:rPr>
              <w:t>PhP 800,000 (Year 1)</w:t>
            </w:r>
          </w:p>
        </w:tc>
        <w:tc>
          <w:tcPr>
            <w:tcW w:type="dxa" w:w="780"/>
            <w:shd w:fill="F0F3F6"/>
          </w:tcPr>
          <w:p>
            <w:r/>
            <w:r>
              <w:rPr>
                <w:rFonts w:ascii="Inter" w:hAnsi="Inter" w:cs="Inter"/>
                <w:b w:val="0"/>
                <w:i w:val="0"/>
                <w:color w:val="2D2D2D"/>
                <w:sz w:val="19"/>
              </w:rPr>
              <w:t>Advocacy materials produced and distributed; information campaigns conducted</w:t>
            </w:r>
          </w:p>
        </w:tc>
        <w:tc>
          <w:tcPr>
            <w:tcW w:type="dxa" w:w="780"/>
            <w:shd w:fill="F0F3F6"/>
          </w:tcPr>
          <w:p>
            <w:r/>
            <w:r>
              <w:rPr>
                <w:rFonts w:ascii="Inter" w:hAnsi="Inter" w:cs="Inter"/>
                <w:b w:val="0"/>
                <w:i w:val="0"/>
                <w:color w:val="2D2D2D"/>
                <w:sz w:val="19"/>
              </w:rPr>
              <w:t>Y1: Materials package produced; campaigns in 3 regions. Y2: Updated materials; campaigns expanded to additional provinces</w:t>
            </w:r>
          </w:p>
        </w:tc>
      </w:tr>
    </w:tbl>
    <w:p/>
    <w:p>
      <w:pPr>
        <w:pStyle w:val="Heading2"/>
      </w:pPr>
      <w:r>
        <w:rPr>
          <w:rFonts w:ascii="Inter" w:hAnsi="Inter" w:cs="Inter"/>
          <w:b/>
          <w:i w:val="0"/>
          <w:color w:val="1B365D"/>
          <w:sz w:val="32"/>
        </w:rPr>
        <w:t>8.5 For Decision-Makers</w:t>
      </w:r>
    </w:p>
    <w:p>
      <w:pPr>
        <w:spacing w:after="120" w:line="276" w:lineRule="auto"/>
      </w:pPr>
      <w:r>
        <w:rPr>
          <w:rFonts w:ascii="Inter" w:hAnsi="Inter" w:cs="Inter"/>
          <w:b w:val="0"/>
          <w:i w:val="0"/>
          <w:color w:val="2D2D2D"/>
          <w:sz w:val="22"/>
        </w:rPr>
        <w:t>If you are the Executive Director or a member of OOBC's leadership reviewing this PPA Register, your task is not to rewrite it. Your task is to assess whether the portfolio merits the resource commitment it represents and whether approving it commits your organization to a realistic and strategically coherent course of action.</w:t>
      </w:r>
    </w:p>
    <w:p>
      <w:pPr>
        <w:spacing w:after="120" w:line="276" w:lineRule="auto"/>
      </w:pPr>
      <w:r>
        <w:rPr>
          <w:rFonts w:ascii="Inter" w:hAnsi="Inter" w:cs="Inter"/>
          <w:b w:val="0"/>
          <w:i w:val="0"/>
          <w:color w:val="2D2D2D"/>
          <w:sz w:val="22"/>
        </w:rPr>
        <w:t>Apply three tests:</w:t>
      </w:r>
    </w:p>
    <w:p>
      <w:pPr>
        <w:spacing w:after="120" w:line="276" w:lineRule="auto"/>
      </w:pPr>
      <w:r>
        <w:rPr>
          <w:rFonts w:ascii="Inter" w:hAnsi="Inter" w:cs="Inter"/>
          <w:b w:val="0"/>
          <w:i w:val="0"/>
          <w:color w:val="2D2D2D"/>
          <w:sz w:val="22"/>
        </w:rPr>
      </w:r>
      <w:r>
        <w:rPr>
          <w:rFonts w:ascii="Inter" w:hAnsi="Inter" w:cs="Inter"/>
          <w:b/>
          <w:i w:val="0"/>
          <w:color w:val="2D2D2D"/>
          <w:sz w:val="22"/>
        </w:rPr>
        <w:t>Strategic Fit.</w:t>
      </w:r>
      <w:r>
        <w:rPr>
          <w:rFonts w:ascii="Inter" w:hAnsi="Inter" w:cs="Inter"/>
          <w:b w:val="0"/>
          <w:i w:val="0"/>
          <w:color w:val="2D2D2D"/>
          <w:sz w:val="22"/>
        </w:rPr>
        <w:t xml:space="preserve"> For each PPA, ask: does this PPA serve one of our strategic objectives? If you cannot quickly trace a PPA to a strategic objective and a ToC output, the PPA does not belong in the strategic plan --- regardless of how long it has been funded. A PPA that exists only because "we have always done it" is a legacy activity, not a strategic intervention. This is your opportunity to retire it or redesign it for relevance.</w:t>
      </w:r>
    </w:p>
    <w:p>
      <w:pPr>
        <w:spacing w:after="120" w:line="276" w:lineRule="auto"/>
      </w:pPr>
      <w:r>
        <w:rPr>
          <w:rFonts w:ascii="Inter" w:hAnsi="Inter" w:cs="Inter"/>
          <w:b w:val="0"/>
          <w:i w:val="0"/>
          <w:color w:val="2D2D2D"/>
          <w:sz w:val="22"/>
        </w:rPr>
      </w:r>
      <w:r>
        <w:rPr>
          <w:rFonts w:ascii="Inter" w:hAnsi="Inter" w:cs="Inter"/>
          <w:b/>
          <w:i w:val="0"/>
          <w:color w:val="2D2D2D"/>
          <w:sz w:val="22"/>
        </w:rPr>
        <w:t>Feasibility.</w:t>
      </w:r>
      <w:r>
        <w:rPr>
          <w:rFonts w:ascii="Inter" w:hAnsi="Inter" w:cs="Inter"/>
          <w:b w:val="0"/>
          <w:i w:val="0"/>
          <w:color w:val="2D2D2D"/>
          <w:sz w:val="22"/>
        </w:rPr>
        <w:t xml:space="preserve"> For each PPA, ask: can our MOA actually deliver this? Assess the responsible unit's existing capacity, staffing, and track record. A project that requires skills your staff do not have, in a location your logistics cannot reach, within a timeline that does not allow for procurement lead times, is not feasible even if it is strategically justified. Approval of an infeasible PPA wastes resources and produces failure reports, not outputs.</w:t>
      </w:r>
    </w:p>
    <w:p>
      <w:pPr>
        <w:spacing w:after="120" w:line="276" w:lineRule="auto"/>
      </w:pPr>
      <w:r>
        <w:rPr>
          <w:rFonts w:ascii="Inter" w:hAnsi="Inter" w:cs="Inter"/>
          <w:b w:val="0"/>
          <w:i w:val="0"/>
          <w:color w:val="2D2D2D"/>
          <w:sz w:val="22"/>
        </w:rPr>
      </w:r>
      <w:r>
        <w:rPr>
          <w:rFonts w:ascii="Inter" w:hAnsi="Inter" w:cs="Inter"/>
          <w:b/>
          <w:i w:val="0"/>
          <w:color w:val="2D2D2D"/>
          <w:sz w:val="22"/>
        </w:rPr>
        <w:t>Portfolio Balance.</w:t>
      </w:r>
      <w:r>
        <w:rPr>
          <w:rFonts w:ascii="Inter" w:hAnsi="Inter" w:cs="Inter"/>
          <w:b w:val="0"/>
          <w:i w:val="0"/>
          <w:color w:val="2D2D2D"/>
          <w:sz w:val="22"/>
        </w:rPr>
        <w:t xml:space="preserve"> Review the PPA Register as a whole. Ask: are we spreading ourselves too thin? A portfolio with twenty-five projects, each underfunded and understaffed, will produce twenty-five incomplete interventions. A portfolio of eight well-designed, adequately funded PPAs will produce eight completed outputs that advance your strategic objectives. Concentration is a virtue in strategic planning.</w:t>
      </w:r>
    </w:p>
    <w:p>
      <w:pPr>
        <w:spacing w:after="120" w:line="276" w:lineRule="auto"/>
      </w:pPr>
      <w:r>
        <w:rPr>
          <w:rFonts w:ascii="Inter" w:hAnsi="Inter" w:cs="Inter"/>
          <w:b w:val="0"/>
          <w:i w:val="0"/>
          <w:color w:val="2D2D2D"/>
          <w:sz w:val="22"/>
        </w:rPr>
        <w:t>Also ask: are we balancing short-term deliverables with long-term investments? A PPA Register heavy with activities and light on projects may mean your MOA is operational but not building the institutional systems and infrastructure its mandate requires. A Register heavy with projects and light on recurring activities may mean you are building things that no one will maintain.</w:t>
      </w:r>
    </w:p>
    <w:p>
      <w:pPr>
        <w:spacing w:after="120" w:line="276" w:lineRule="auto"/>
      </w:pPr>
      <w:r>
        <w:rPr>
          <w:rFonts w:ascii="Inter" w:hAnsi="Inter" w:cs="Inter"/>
          <w:b w:val="0"/>
          <w:i w:val="0"/>
          <w:color w:val="2D2D2D"/>
          <w:sz w:val="22"/>
        </w:rPr>
        <w:t>Decision-makers sign off on PPA Registers. That signature is a resource commitment. Review accordingly.</w:t>
      </w:r>
    </w:p>
    <w:p>
      <w:pPr>
        <w:pStyle w:val="Heading2"/>
      </w:pPr>
      <w:r>
        <w:rPr>
          <w:rFonts w:ascii="Inter" w:hAnsi="Inter" w:cs="Inter"/>
          <w:b/>
          <w:i w:val="0"/>
          <w:color w:val="1B365D"/>
          <w:sz w:val="32"/>
        </w:rPr>
        <w:t>8.6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Orphan activities.</w:t>
      </w:r>
      <w:r>
        <w:rPr>
          <w:rFonts w:ascii="Inter" w:hAnsi="Inter" w:cs="Inter"/>
          <w:b w:val="0"/>
          <w:i w:val="0"/>
          <w:color w:val="2D2D2D"/>
          <w:sz w:val="22"/>
        </w:rPr>
        <w:t xml:space="preserve"> A PPA with no link to any ToC output is an orphan. It has no strategic justification in a results-based plan. Before finalizing the PPA Register, run the coverage check: every PPA should link to at least one ToC output. If a PPA cannot be linked, either the ToC is incomplete or the PPA does not belong.</w:t>
      </w:r>
    </w:p>
    <w:p>
      <w:pPr>
        <w:spacing w:after="120" w:line="276" w:lineRule="auto"/>
      </w:pPr>
      <w:r>
        <w:rPr>
          <w:rFonts w:ascii="Inter" w:hAnsi="Inter" w:cs="Inter"/>
          <w:b w:val="0"/>
          <w:i w:val="0"/>
          <w:color w:val="2D2D2D"/>
          <w:sz w:val="22"/>
        </w:rPr>
      </w:r>
      <w:r>
        <w:rPr>
          <w:rFonts w:ascii="Inter" w:hAnsi="Inter" w:cs="Inter"/>
          <w:b/>
          <w:i w:val="0"/>
          <w:color w:val="2D2D2D"/>
          <w:sz w:val="22"/>
        </w:rPr>
        <w:t>Mixing hierarchy levels without clarity.</w:t>
      </w:r>
      <w:r>
        <w:rPr>
          <w:rFonts w:ascii="Inter" w:hAnsi="Inter" w:cs="Inter"/>
          <w:b w:val="0"/>
          <w:i w:val="0"/>
          <w:color w:val="2D2D2D"/>
          <w:sz w:val="22"/>
        </w:rPr>
        <w:t xml:space="preserve"> The most common error is listing a program, a project, and a standalone activity side-by-side without distinguishing their relationships. Clarity on hierarchy is essential for budget preparation: the Budget Officer needs to know which activities sit inside which programs, and which projects are standalone. Use the PPA Code convention consistently to signal parent-child relationships.</w:t>
      </w:r>
    </w:p>
    <w:p>
      <w:pPr>
        <w:spacing w:after="120" w:line="276" w:lineRule="auto"/>
      </w:pPr>
      <w:r>
        <w:rPr>
          <w:rFonts w:ascii="Inter" w:hAnsi="Inter" w:cs="Inter"/>
          <w:b w:val="0"/>
          <w:i w:val="0"/>
          <w:color w:val="2D2D2D"/>
          <w:sz w:val="22"/>
        </w:rPr>
      </w:r>
      <w:r>
        <w:rPr>
          <w:rFonts w:ascii="Inter" w:hAnsi="Inter" w:cs="Inter"/>
          <w:b/>
          <w:i w:val="0"/>
          <w:color w:val="2D2D2D"/>
          <w:sz w:val="22"/>
        </w:rPr>
        <w:t>Ignoring UACS codes.</w:t>
      </w:r>
      <w:r>
        <w:rPr>
          <w:rFonts w:ascii="Inter" w:hAnsi="Inter" w:cs="Inter"/>
          <w:b w:val="0"/>
          <w:i w:val="0"/>
          <w:color w:val="2D2D2D"/>
          <w:sz w:val="22"/>
        </w:rPr>
        <w:t xml:space="preserve"> Planning officers sometimes defer UACS code assignment with the intention of handling it during budget preparation. This is a mistake. UACS codes determine how your PPA is classified in the budget, and the classification has downstream effects on expenditure reporting, audit, and performance monitoring. Assign codes during PPA design, in coordination with your Budget Officer, while the logic is still fresh. Codes assigned after the fact often generate classification errors that take months to correct.</w:t>
      </w:r>
    </w:p>
    <w:p>
      <w:pPr>
        <w:spacing w:after="120" w:line="276" w:lineRule="auto"/>
      </w:pPr>
      <w:r>
        <w:rPr>
          <w:rFonts w:ascii="Inter" w:hAnsi="Inter" w:cs="Inter"/>
          <w:b w:val="0"/>
          <w:i w:val="0"/>
          <w:color w:val="2D2D2D"/>
          <w:sz w:val="22"/>
        </w:rPr>
      </w:r>
      <w:r>
        <w:rPr>
          <w:rFonts w:ascii="Inter" w:hAnsi="Inter" w:cs="Inter"/>
          <w:b/>
          <w:i w:val="0"/>
          <w:color w:val="2D2D2D"/>
          <w:sz w:val="22"/>
        </w:rPr>
        <w:t>Overloading the register.</w:t>
      </w:r>
      <w:r>
        <w:rPr>
          <w:rFonts w:ascii="Inter" w:hAnsi="Inter" w:cs="Inter"/>
          <w:b w:val="0"/>
          <w:i w:val="0"/>
          <w:color w:val="2D2D2D"/>
          <w:sz w:val="22"/>
        </w:rPr>
        <w:t xml:space="preserve"> Every PPA you add to the register is a commitment of staff time, management attention, and budget. A PPA Register with forty line items for a ministry of 150 staff is not ambitious --- it is a guarantee of non-completion. Be ruthless: if a PPA is not essential to achieving a ToC output this planning cycle, defer it. A realistic PPA Register is more useful than an aspirational one.</w:t>
      </w:r>
    </w:p>
    <w:p>
      <w:pPr>
        <w:spacing w:after="120" w:line="276" w:lineRule="auto"/>
      </w:pPr>
      <w:r>
        <w:rPr>
          <w:rFonts w:ascii="Inter" w:hAnsi="Inter" w:cs="Inter"/>
          <w:b w:val="0"/>
          <w:i w:val="0"/>
          <w:color w:val="2D2D2D"/>
          <w:sz w:val="22"/>
        </w:rPr>
      </w:r>
      <w:r>
        <w:rPr>
          <w:rFonts w:ascii="Inter" w:hAnsi="Inter" w:cs="Inter"/>
          <w:b/>
          <w:i w:val="0"/>
          <w:color w:val="2D2D2D"/>
          <w:sz w:val="22"/>
        </w:rPr>
        <w:t>Copying last year's PPAs.</w:t>
      </w:r>
      <w:r>
        <w:rPr>
          <w:rFonts w:ascii="Inter" w:hAnsi="Inter" w:cs="Inter"/>
          <w:b w:val="0"/>
          <w:i w:val="0"/>
          <w:color w:val="2D2D2D"/>
          <w:sz w:val="22"/>
        </w:rPr>
        <w:t xml:space="preserve"> The previous year's PPAs were designed for the previous year's objectives. Your new strategic plan may have different priorities, different targets, or a different Theory of Change. Start from your ToC outputs and design PPAs to deliver them. Then check whether any of last year's PPAs remain appropriate. This is a forward-looking exercise, not a copy-paste exercise.</w:t>
      </w:r>
    </w:p>
    <w:p>
      <w:pPr>
        <w:spacing w:after="120" w:line="276" w:lineRule="auto"/>
      </w:pPr>
      <w:r>
        <w:rPr>
          <w:rFonts w:ascii="Inter" w:hAnsi="Inter" w:cs="Inter"/>
          <w:b w:val="0"/>
          <w:i w:val="0"/>
          <w:color w:val="2D2D2D"/>
          <w:sz w:val="22"/>
        </w:rPr>
      </w:r>
      <w:r>
        <w:rPr>
          <w:rFonts w:ascii="Inter" w:hAnsi="Inter" w:cs="Inter"/>
          <w:b/>
          <w:i w:val="0"/>
          <w:color w:val="2D2D2D"/>
          <w:sz w:val="22"/>
        </w:rPr>
        <w:t>PPAs with no clear responsible unit.</w:t>
      </w:r>
      <w:r>
        <w:rPr>
          <w:rFonts w:ascii="Inter" w:hAnsi="Inter" w:cs="Inter"/>
          <w:b w:val="0"/>
          <w:i w:val="0"/>
          <w:color w:val="2D2D2D"/>
          <w:sz w:val="22"/>
        </w:rPr>
        <w:t xml:space="preserve"> A PPA that lists the office as a whole as its responsible unit is not accountable. Accountability requires a specific division or unit --- a named section with a chief or coordinator who will be held responsible for delivery. If no unit can be identified as responsible, the PPA is either misdesigned (too broad) or there is an organizational gap that must be addressed before the PPA can be implemented.</w:t>
      </w:r>
    </w:p>
    <w:p>
      <w:pPr>
        <w:spacing w:after="120" w:line="276" w:lineRule="auto"/>
      </w:pPr>
      <w:r>
        <w:rPr>
          <w:rFonts w:ascii="Inter" w:hAnsi="Inter" w:cs="Inter"/>
          <w:b w:val="0"/>
          <w:i w:val="0"/>
          <w:color w:val="2D2D2D"/>
          <w:sz w:val="22"/>
        </w:rPr>
      </w:r>
      <w:r>
        <w:rPr>
          <w:rFonts w:ascii="Inter" w:hAnsi="Inter" w:cs="Inter"/>
          <w:b/>
          <w:i w:val="0"/>
          <w:color w:val="2D2D2D"/>
          <w:sz w:val="22"/>
        </w:rPr>
        <w:t>Confusing annual targets with planning period targets.</w:t>
      </w:r>
      <w:r>
        <w:rPr>
          <w:rFonts w:ascii="Inter" w:hAnsi="Inter" w:cs="Inter"/>
          <w:b w:val="0"/>
          <w:i w:val="0"/>
          <w:color w:val="2D2D2D"/>
          <w:sz w:val="22"/>
        </w:rPr>
        <w:t xml:space="preserve"> Your PPA Register should distinguish between the total target over the planning period and the annual targets for each year. Listing "45 officers trained" without specifying how many per year creates ambiguity in annual budgeting and monitoring. Specify annual targets for each PPA in every year it operates.</w:t>
      </w:r>
    </w:p>
    <w:p>
      <w:pPr>
        <w:pStyle w:val="Heading2"/>
      </w:pPr>
      <w:r>
        <w:rPr>
          <w:rFonts w:ascii="Inter" w:hAnsi="Inter" w:cs="Inter"/>
          <w:b/>
          <w:i w:val="0"/>
          <w:color w:val="1B365D"/>
          <w:sz w:val="32"/>
        </w:rPr>
        <w:t>8.7 Template: PPA Register</w:t>
      </w:r>
    </w:p>
    <w:p>
      <w:pPr>
        <w:spacing w:after="120" w:line="276" w:lineRule="auto"/>
      </w:pPr>
      <w:r>
        <w:rPr>
          <w:rFonts w:ascii="Inter" w:hAnsi="Inter" w:cs="Inter"/>
          <w:b w:val="0"/>
          <w:i w:val="0"/>
          <w:color w:val="2D2D2D"/>
          <w:sz w:val="22"/>
        </w:rPr>
        <w:t>Use the table below as the standard format for your MOA's PPA Register. Complete one row per PPA. PPAs should be grouped by program: list all activities under Program 1 before moving to Program 2. Standalone projects and activities are listed at the end.</w:t>
      </w:r>
    </w:p>
    <w:p>
      <w:pPr>
        <w:spacing w:after="120" w:line="276" w:lineRule="auto"/>
      </w:pPr>
      <w:r>
        <w:rPr>
          <w:rFonts w:ascii="Inter" w:hAnsi="Inter" w:cs="Inter"/>
          <w:b w:val="0"/>
          <w:i w:val="0"/>
          <w:color w:val="2D2D2D"/>
          <w:sz w:val="22"/>
        </w:rPr>
        <w:t>The four rows in italics are from the OOBC example. Replace them with your MOA's PPAs.</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B365D"/>
          </w:tcPr>
          <w:p>
            <w:r/>
            <w:r>
              <w:rPr>
                <w:rFonts w:ascii="Inter" w:hAnsi="Inter" w:cs="Inter"/>
                <w:b/>
                <w:i w:val="0"/>
                <w:color w:val="FFFFFF"/>
                <w:sz w:val="19"/>
              </w:rPr>
              <w:t>PPA Code</w:t>
            </w:r>
          </w:p>
        </w:tc>
        <w:tc>
          <w:tcPr>
            <w:tcW w:type="dxa" w:w="780"/>
            <w:shd w:fill="1B365D"/>
          </w:tcPr>
          <w:p>
            <w:r/>
            <w:r>
              <w:rPr>
                <w:rFonts w:ascii="Inter" w:hAnsi="Inter" w:cs="Inter"/>
                <w:b/>
                <w:i w:val="0"/>
                <w:color w:val="FFFFFF"/>
                <w:sz w:val="19"/>
              </w:rPr>
              <w:t>PPA Name</w:t>
            </w:r>
          </w:p>
        </w:tc>
        <w:tc>
          <w:tcPr>
            <w:tcW w:type="dxa" w:w="780"/>
            <w:shd w:fill="1B365D"/>
          </w:tcPr>
          <w:p>
            <w:r/>
            <w:r>
              <w:rPr>
                <w:rFonts w:ascii="Inter" w:hAnsi="Inter" w:cs="Inter"/>
                <w:b/>
                <w:i w:val="0"/>
                <w:color w:val="FFFFFF"/>
                <w:sz w:val="19"/>
              </w:rPr>
              <w:t>Type (P/Pr/A)</w:t>
            </w:r>
          </w:p>
        </w:tc>
        <w:tc>
          <w:tcPr>
            <w:tcW w:type="dxa" w:w="780"/>
            <w:shd w:fill="1B365D"/>
          </w:tcPr>
          <w:p>
            <w:r/>
            <w:r>
              <w:rPr>
                <w:rFonts w:ascii="Inter" w:hAnsi="Inter" w:cs="Inter"/>
                <w:b/>
                <w:i w:val="0"/>
                <w:color w:val="FFFFFF"/>
                <w:sz w:val="19"/>
              </w:rPr>
              <w:t>Description</w:t>
            </w:r>
          </w:p>
        </w:tc>
        <w:tc>
          <w:tcPr>
            <w:tcW w:type="dxa" w:w="780"/>
            <w:shd w:fill="1B365D"/>
          </w:tcPr>
          <w:p>
            <w:r/>
            <w:r>
              <w:rPr>
                <w:rFonts w:ascii="Inter" w:hAnsi="Inter" w:cs="Inter"/>
                <w:b/>
                <w:i w:val="0"/>
                <w:color w:val="FFFFFF"/>
                <w:sz w:val="19"/>
              </w:rPr>
              <w:t>ToC Output Link</w:t>
            </w:r>
          </w:p>
        </w:tc>
        <w:tc>
          <w:tcPr>
            <w:tcW w:type="dxa" w:w="780"/>
            <w:shd w:fill="1B365D"/>
          </w:tcPr>
          <w:p>
            <w:r/>
            <w:r>
              <w:rPr>
                <w:rFonts w:ascii="Inter" w:hAnsi="Inter" w:cs="Inter"/>
                <w:b/>
                <w:i w:val="0"/>
                <w:color w:val="FFFFFF"/>
                <w:sz w:val="19"/>
              </w:rPr>
              <w:t>Responsible Unit</w:t>
            </w:r>
          </w:p>
        </w:tc>
        <w:tc>
          <w:tcPr>
            <w:tcW w:type="dxa" w:w="780"/>
            <w:shd w:fill="1B365D"/>
          </w:tcPr>
          <w:p>
            <w:r/>
            <w:r>
              <w:rPr>
                <w:rFonts w:ascii="Inter" w:hAnsi="Inter" w:cs="Inter"/>
                <w:b/>
                <w:i w:val="0"/>
                <w:color w:val="FFFFFF"/>
                <w:sz w:val="19"/>
              </w:rPr>
              <w:t>Start</w:t>
            </w:r>
          </w:p>
        </w:tc>
        <w:tc>
          <w:tcPr>
            <w:tcW w:type="dxa" w:w="780"/>
            <w:shd w:fill="1B365D"/>
          </w:tcPr>
          <w:p>
            <w:r/>
            <w:r>
              <w:rPr>
                <w:rFonts w:ascii="Inter" w:hAnsi="Inter" w:cs="Inter"/>
                <w:b/>
                <w:i w:val="0"/>
                <w:color w:val="FFFFFF"/>
                <w:sz w:val="19"/>
              </w:rPr>
              <w:t>End</w:t>
            </w:r>
          </w:p>
        </w:tc>
        <w:tc>
          <w:tcPr>
            <w:tcW w:type="dxa" w:w="780"/>
            <w:shd w:fill="1B365D"/>
          </w:tcPr>
          <w:p>
            <w:r/>
            <w:r>
              <w:rPr>
                <w:rFonts w:ascii="Inter" w:hAnsi="Inter" w:cs="Inter"/>
                <w:b/>
                <w:i w:val="0"/>
                <w:color w:val="FFFFFF"/>
                <w:sz w:val="19"/>
              </w:rPr>
              <w:t>UACS Code</w:t>
            </w:r>
          </w:p>
        </w:tc>
        <w:tc>
          <w:tcPr>
            <w:tcW w:type="dxa" w:w="780"/>
            <w:shd w:fill="1B365D"/>
          </w:tcPr>
          <w:p>
            <w:r/>
            <w:r>
              <w:rPr>
                <w:rFonts w:ascii="Inter" w:hAnsi="Inter" w:cs="Inter"/>
                <w:b/>
                <w:i w:val="0"/>
                <w:color w:val="FFFFFF"/>
                <w:sz w:val="19"/>
              </w:rPr>
              <w:t>Est. Cost (PhP)</w:t>
            </w:r>
          </w:p>
        </w:tc>
        <w:tc>
          <w:tcPr>
            <w:tcW w:type="dxa" w:w="780"/>
            <w:shd w:fill="1B365D"/>
          </w:tcPr>
          <w:p>
            <w:r/>
            <w:r>
              <w:rPr>
                <w:rFonts w:ascii="Inter" w:hAnsi="Inter" w:cs="Inter"/>
                <w:b/>
                <w:i w:val="0"/>
                <w:color w:val="FFFFFF"/>
                <w:sz w:val="19"/>
              </w:rPr>
              <w:t>Expected Output</w:t>
            </w:r>
          </w:p>
        </w:tc>
        <w:tc>
          <w:tcPr>
            <w:tcW w:type="dxa" w:w="780"/>
            <w:shd w:fill="1B365D"/>
          </w:tcPr>
          <w:p>
            <w:r/>
            <w:r>
              <w:rPr>
                <w:rFonts w:ascii="Inter" w:hAnsi="Inter" w:cs="Inter"/>
                <w:b/>
                <w:i w:val="0"/>
                <w:color w:val="FFFFFF"/>
                <w:sz w:val="19"/>
              </w:rPr>
              <w:t>Annual Target</w:t>
            </w:r>
          </w:p>
        </w:tc>
      </w:tr>
      <w:tr>
        <w:tc>
          <w:tcPr>
            <w:tcW w:type="dxa" w:w="780"/>
          </w:tcPr>
          <w:p>
            <w:r/>
            <w:r>
              <w:rPr>
                <w:rFonts w:ascii="Inter" w:hAnsi="Inter" w:cs="Inter"/>
                <w:b w:val="0"/>
                <w:i w:val="0"/>
                <w:color w:val="2D2D2D"/>
                <w:sz w:val="19"/>
              </w:rPr>
              <w:t>*P-03-PR-01*</w:t>
            </w:r>
          </w:p>
        </w:tc>
        <w:tc>
          <w:tcPr>
            <w:tcW w:type="dxa" w:w="780"/>
          </w:tcPr>
          <w:p>
            <w:r/>
            <w:r>
              <w:rPr>
                <w:rFonts w:ascii="Inter" w:hAnsi="Inter" w:cs="Inter"/>
                <w:b w:val="0"/>
                <w:i w:val="0"/>
                <w:color w:val="2D2D2D"/>
                <w:sz w:val="19"/>
              </w:rPr>
              <w:t>*PSRRS Development Project*</w:t>
            </w:r>
          </w:p>
        </w:tc>
        <w:tc>
          <w:tcPr>
            <w:tcW w:type="dxa" w:w="780"/>
          </w:tcPr>
          <w:p>
            <w:r/>
            <w:r>
              <w:rPr>
                <w:rFonts w:ascii="Inter" w:hAnsi="Inter" w:cs="Inter"/>
                <w:b w:val="0"/>
                <w:i w:val="0"/>
                <w:color w:val="2D2D2D"/>
                <w:sz w:val="19"/>
              </w:rPr>
              <w:t>*Pr*</w:t>
            </w:r>
          </w:p>
        </w:tc>
        <w:tc>
          <w:tcPr>
            <w:tcW w:type="dxa" w:w="780"/>
          </w:tcPr>
          <w:p>
            <w:r/>
            <w:r>
              <w:rPr>
                <w:rFonts w:ascii="Inter" w:hAnsi="Inter" w:cs="Inter"/>
                <w:b w:val="0"/>
                <w:i w:val="0"/>
                <w:color w:val="2D2D2D"/>
                <w:sz w:val="19"/>
              </w:rPr>
              <w:t>*Design, develop, and deploy the People and Stakeholder Registry and Referral System for OBC community data management.*</w:t>
            </w:r>
          </w:p>
        </w:tc>
        <w:tc>
          <w:tcPr>
            <w:tcW w:type="dxa" w:w="780"/>
          </w:tcPr>
          <w:p>
            <w:r/>
            <w:r>
              <w:rPr>
                <w:rFonts w:ascii="Inter" w:hAnsi="Inter" w:cs="Inter"/>
                <w:b w:val="0"/>
                <w:i w:val="0"/>
                <w:color w:val="2D2D2D"/>
                <w:sz w:val="19"/>
              </w:rPr>
              <w:t>*Output 1.1*</w:t>
            </w:r>
          </w:p>
        </w:tc>
        <w:tc>
          <w:tcPr>
            <w:tcW w:type="dxa" w:w="780"/>
          </w:tcPr>
          <w:p>
            <w:r/>
            <w:r>
              <w:rPr>
                <w:rFonts w:ascii="Inter" w:hAnsi="Inter" w:cs="Inter"/>
                <w:b w:val="0"/>
                <w:i w:val="0"/>
                <w:color w:val="2D2D2D"/>
                <w:sz w:val="19"/>
              </w:rPr>
              <w:t>*Planning and Information Management Unit*</w:t>
            </w:r>
          </w:p>
        </w:tc>
        <w:tc>
          <w:tcPr>
            <w:tcW w:type="dxa" w:w="780"/>
          </w:tcPr>
          <w:p>
            <w:r/>
            <w:r>
              <w:rPr>
                <w:rFonts w:ascii="Inter" w:hAnsi="Inter" w:cs="Inter"/>
                <w:b w:val="0"/>
                <w:i w:val="0"/>
                <w:color w:val="2D2D2D"/>
                <w:sz w:val="19"/>
              </w:rPr>
              <w:t>*Q1 Y1*</w:t>
            </w:r>
          </w:p>
        </w:tc>
        <w:tc>
          <w:tcPr>
            <w:tcW w:type="dxa" w:w="780"/>
          </w:tcPr>
          <w:p>
            <w:r/>
            <w:r>
              <w:rPr>
                <w:rFonts w:ascii="Inter" w:hAnsi="Inter" w:cs="Inter"/>
                <w:b w:val="0"/>
                <w:i w:val="0"/>
                <w:color w:val="2D2D2D"/>
                <w:sz w:val="19"/>
              </w:rPr>
              <w:t>*Q4 Y2*</w:t>
            </w:r>
          </w:p>
        </w:tc>
        <w:tc>
          <w:tcPr>
            <w:tcW w:type="dxa" w:w="780"/>
          </w:tcPr>
          <w:p>
            <w:r/>
            <w:r>
              <w:rPr>
                <w:rFonts w:ascii="Inter" w:hAnsi="Inter" w:cs="Inter"/>
                <w:b w:val="0"/>
                <w:i w:val="0"/>
                <w:color w:val="2D2D2D"/>
                <w:sz w:val="19"/>
              </w:rPr>
              <w:t>*310-01-3-01*</w:t>
            </w:r>
          </w:p>
        </w:tc>
        <w:tc>
          <w:tcPr>
            <w:tcW w:type="dxa" w:w="780"/>
          </w:tcPr>
          <w:p>
            <w:r/>
            <w:r>
              <w:rPr>
                <w:rFonts w:ascii="Inter" w:hAnsi="Inter" w:cs="Inter"/>
                <w:b w:val="0"/>
                <w:i w:val="0"/>
                <w:color w:val="2D2D2D"/>
                <w:sz w:val="19"/>
              </w:rPr>
              <w:t>*PhP 3.8M*</w:t>
            </w:r>
          </w:p>
        </w:tc>
        <w:tc>
          <w:tcPr>
            <w:tcW w:type="dxa" w:w="780"/>
          </w:tcPr>
          <w:p>
            <w:r/>
            <w:r>
              <w:rPr>
                <w:rFonts w:ascii="Inter" w:hAnsi="Inter" w:cs="Inter"/>
                <w:b w:val="0"/>
                <w:i w:val="0"/>
                <w:color w:val="2D2D2D"/>
                <w:sz w:val="19"/>
              </w:rPr>
              <w:t>*PSRRS fully operational*</w:t>
            </w:r>
          </w:p>
        </w:tc>
        <w:tc>
          <w:tcPr>
            <w:tcW w:type="dxa" w:w="780"/>
          </w:tcPr>
          <w:p>
            <w:r/>
            <w:r>
              <w:rPr>
                <w:rFonts w:ascii="Inter" w:hAnsi="Inter" w:cs="Inter"/>
                <w:b w:val="0"/>
                <w:i w:val="0"/>
                <w:color w:val="2D2D2D"/>
                <w:sz w:val="19"/>
              </w:rPr>
              <w:t>*Y1: System developed; piloted in 2 provinces. Y2: Deployed office-wide*</w:t>
            </w:r>
          </w:p>
        </w:tc>
      </w:tr>
      <w:tr>
        <w:tc>
          <w:tcPr>
            <w:tcW w:type="dxa" w:w="780"/>
            <w:shd w:fill="F0F3F6"/>
          </w:tcPr>
          <w:p>
            <w:r/>
            <w:r>
              <w:rPr>
                <w:rFonts w:ascii="Inter" w:hAnsi="Inter" w:cs="Inter"/>
                <w:b w:val="0"/>
                <w:i w:val="0"/>
                <w:color w:val="2D2D2D"/>
                <w:sz w:val="19"/>
              </w:rPr>
              <w:t>*P-03-A-01*</w:t>
            </w:r>
          </w:p>
        </w:tc>
        <w:tc>
          <w:tcPr>
            <w:tcW w:type="dxa" w:w="780"/>
            <w:shd w:fill="F0F3F6"/>
          </w:tcPr>
          <w:p>
            <w:r/>
            <w:r>
              <w:rPr>
                <w:rFonts w:ascii="Inter" w:hAnsi="Inter" w:cs="Inter"/>
                <w:b w:val="0"/>
                <w:i w:val="0"/>
                <w:color w:val="2D2D2D"/>
                <w:sz w:val="19"/>
              </w:rPr>
              <w:t>*Community Profiling and Assessment*</w:t>
            </w:r>
          </w:p>
        </w:tc>
        <w:tc>
          <w:tcPr>
            <w:tcW w:type="dxa" w:w="780"/>
            <w:shd w:fill="F0F3F6"/>
          </w:tcPr>
          <w:p>
            <w:r/>
            <w:r>
              <w:rPr>
                <w:rFonts w:ascii="Inter" w:hAnsi="Inter" w:cs="Inter"/>
                <w:b w:val="0"/>
                <w:i w:val="0"/>
                <w:color w:val="2D2D2D"/>
                <w:sz w:val="19"/>
              </w:rPr>
              <w:t>*A*</w:t>
            </w:r>
          </w:p>
        </w:tc>
        <w:tc>
          <w:tcPr>
            <w:tcW w:type="dxa" w:w="780"/>
            <w:shd w:fill="F0F3F6"/>
          </w:tcPr>
          <w:p>
            <w:r/>
            <w:r>
              <w:rPr>
                <w:rFonts w:ascii="Inter" w:hAnsi="Inter" w:cs="Inter"/>
                <w:b w:val="0"/>
                <w:i w:val="0"/>
                <w:color w:val="2D2D2D"/>
                <w:sz w:val="19"/>
              </w:rPr>
              <w:t>*Field-based profiling of OBC communities using standardized instruments; deploys staff to all field areas.*</w:t>
            </w:r>
          </w:p>
        </w:tc>
        <w:tc>
          <w:tcPr>
            <w:tcW w:type="dxa" w:w="780"/>
            <w:shd w:fill="F0F3F6"/>
          </w:tcPr>
          <w:p>
            <w:r/>
            <w:r>
              <w:rPr>
                <w:rFonts w:ascii="Inter" w:hAnsi="Inter" w:cs="Inter"/>
                <w:b w:val="0"/>
                <w:i w:val="0"/>
                <w:color w:val="2D2D2D"/>
                <w:sz w:val="19"/>
              </w:rPr>
              <w:t>*Output 1.2; 1.3*</w:t>
            </w:r>
          </w:p>
        </w:tc>
        <w:tc>
          <w:tcPr>
            <w:tcW w:type="dxa" w:w="780"/>
            <w:shd w:fill="F0F3F6"/>
          </w:tcPr>
          <w:p>
            <w:r/>
            <w:r>
              <w:rPr>
                <w:rFonts w:ascii="Inter" w:hAnsi="Inter" w:cs="Inter"/>
                <w:b w:val="0"/>
                <w:i w:val="0"/>
                <w:color w:val="2D2D2D"/>
                <w:sz w:val="19"/>
              </w:rPr>
              <w:t>*Field Operations Unit*</w:t>
            </w:r>
          </w:p>
        </w:tc>
        <w:tc>
          <w:tcPr>
            <w:tcW w:type="dxa" w:w="780"/>
            <w:shd w:fill="F0F3F6"/>
          </w:tcPr>
          <w:p>
            <w:r/>
            <w:r>
              <w:rPr>
                <w:rFonts w:ascii="Inter" w:hAnsi="Inter" w:cs="Inter"/>
                <w:b w:val="0"/>
                <w:i w:val="0"/>
                <w:color w:val="2D2D2D"/>
                <w:sz w:val="19"/>
              </w:rPr>
              <w:t>*Q1 Y1*</w:t>
            </w:r>
          </w:p>
        </w:tc>
        <w:tc>
          <w:tcPr>
            <w:tcW w:type="dxa" w:w="780"/>
            <w:shd w:fill="F0F3F6"/>
          </w:tcPr>
          <w:p>
            <w:r/>
            <w:r>
              <w:rPr>
                <w:rFonts w:ascii="Inter" w:hAnsi="Inter" w:cs="Inter"/>
                <w:b w:val="0"/>
                <w:i w:val="0"/>
                <w:color w:val="2D2D2D"/>
                <w:sz w:val="19"/>
              </w:rPr>
              <w:t>*Continuing*</w:t>
            </w:r>
          </w:p>
        </w:tc>
        <w:tc>
          <w:tcPr>
            <w:tcW w:type="dxa" w:w="780"/>
            <w:shd w:fill="F0F3F6"/>
          </w:tcPr>
          <w:p>
            <w:r/>
            <w:r>
              <w:rPr>
                <w:rFonts w:ascii="Inter" w:hAnsi="Inter" w:cs="Inter"/>
                <w:b w:val="0"/>
                <w:i w:val="0"/>
                <w:color w:val="2D2D2D"/>
                <w:sz w:val="19"/>
              </w:rPr>
              <w:t>*310-01-2-01*</w:t>
            </w:r>
          </w:p>
        </w:tc>
        <w:tc>
          <w:tcPr>
            <w:tcW w:type="dxa" w:w="780"/>
            <w:shd w:fill="F0F3F6"/>
          </w:tcPr>
          <w:p>
            <w:r/>
            <w:r>
              <w:rPr>
                <w:rFonts w:ascii="Inter" w:hAnsi="Inter" w:cs="Inter"/>
                <w:b w:val="0"/>
                <w:i w:val="0"/>
                <w:color w:val="2D2D2D"/>
                <w:sz w:val="19"/>
              </w:rPr>
              <w:t>*PhP 2.4M (Y1)*</w:t>
            </w:r>
          </w:p>
        </w:tc>
        <w:tc>
          <w:tcPr>
            <w:tcW w:type="dxa" w:w="780"/>
            <w:shd w:fill="F0F3F6"/>
          </w:tcPr>
          <w:p>
            <w:r/>
            <w:r>
              <w:rPr>
                <w:rFonts w:ascii="Inter" w:hAnsi="Inter" w:cs="Inter"/>
                <w:b w:val="0"/>
                <w:i w:val="0"/>
                <w:color w:val="2D2D2D"/>
                <w:sz w:val="19"/>
              </w:rPr>
              <w:t>*OBC communities profiled; instruments validated*</w:t>
            </w:r>
          </w:p>
        </w:tc>
        <w:tc>
          <w:tcPr>
            <w:tcW w:type="dxa" w:w="780"/>
            <w:shd w:fill="F0F3F6"/>
          </w:tcPr>
          <w:p>
            <w:r/>
            <w:r>
              <w:rPr>
                <w:rFonts w:ascii="Inter" w:hAnsi="Inter" w:cs="Inter"/>
                <w:b w:val="0"/>
                <w:i w:val="0"/>
                <w:color w:val="2D2D2D"/>
                <w:sz w:val="19"/>
              </w:rPr>
              <w:t>*Y1: 30% of target communities profiled; Y2: 70% profiled*</w:t>
            </w:r>
          </w:p>
        </w:tc>
      </w:tr>
      <w:tr>
        <w:tc>
          <w:tcPr>
            <w:tcW w:type="dxa" w:w="780"/>
          </w:tcPr>
          <w:p>
            <w:r/>
            <w:r>
              <w:rPr>
                <w:rFonts w:ascii="Inter" w:hAnsi="Inter" w:cs="Inter"/>
                <w:b w:val="0"/>
                <w:i w:val="0"/>
                <w:color w:val="2D2D2D"/>
                <w:sz w:val="19"/>
              </w:rPr>
              <w:t>*P-03-A-02*</w:t>
            </w:r>
          </w:p>
        </w:tc>
        <w:tc>
          <w:tcPr>
            <w:tcW w:type="dxa" w:w="780"/>
          </w:tcPr>
          <w:p>
            <w:r/>
            <w:r>
              <w:rPr>
                <w:rFonts w:ascii="Inter" w:hAnsi="Inter" w:cs="Inter"/>
                <w:b w:val="0"/>
                <w:i w:val="0"/>
                <w:color w:val="2D2D2D"/>
                <w:sz w:val="19"/>
              </w:rPr>
              <w:t>*Quarterly Coordination Meetings with LGUs*</w:t>
            </w:r>
          </w:p>
        </w:tc>
        <w:tc>
          <w:tcPr>
            <w:tcW w:type="dxa" w:w="780"/>
          </w:tcPr>
          <w:p>
            <w:r/>
            <w:r>
              <w:rPr>
                <w:rFonts w:ascii="Inter" w:hAnsi="Inter" w:cs="Inter"/>
                <w:b w:val="0"/>
                <w:i w:val="0"/>
                <w:color w:val="2D2D2D"/>
                <w:sz w:val="19"/>
              </w:rPr>
              <w:t>*A*</w:t>
            </w:r>
          </w:p>
        </w:tc>
        <w:tc>
          <w:tcPr>
            <w:tcW w:type="dxa" w:w="780"/>
          </w:tcPr>
          <w:p>
            <w:r/>
            <w:r>
              <w:rPr>
                <w:rFonts w:ascii="Inter" w:hAnsi="Inter" w:cs="Inter"/>
                <w:b w:val="0"/>
                <w:i w:val="0"/>
                <w:color w:val="2D2D2D"/>
                <w:sz w:val="19"/>
              </w:rPr>
              <w:t>*Quarterly meetings with LGUs to advance MOU/MOA formalization and establish joint coordination protocols.*</w:t>
            </w:r>
          </w:p>
        </w:tc>
        <w:tc>
          <w:tcPr>
            <w:tcW w:type="dxa" w:w="780"/>
          </w:tcPr>
          <w:p>
            <w:r/>
            <w:r>
              <w:rPr>
                <w:rFonts w:ascii="Inter" w:hAnsi="Inter" w:cs="Inter"/>
                <w:b w:val="0"/>
                <w:i w:val="0"/>
                <w:color w:val="2D2D2D"/>
                <w:sz w:val="19"/>
              </w:rPr>
              <w:t>*Output 2.1; 2.2*</w:t>
            </w:r>
          </w:p>
        </w:tc>
        <w:tc>
          <w:tcPr>
            <w:tcW w:type="dxa" w:w="780"/>
          </w:tcPr>
          <w:p>
            <w:r/>
            <w:r>
              <w:rPr>
                <w:rFonts w:ascii="Inter" w:hAnsi="Inter" w:cs="Inter"/>
                <w:b w:val="0"/>
                <w:i w:val="0"/>
                <w:color w:val="2D2D2D"/>
                <w:sz w:val="19"/>
              </w:rPr>
              <w:t>*Coordination and Partnerships Unit*</w:t>
            </w:r>
          </w:p>
        </w:tc>
        <w:tc>
          <w:tcPr>
            <w:tcW w:type="dxa" w:w="780"/>
          </w:tcPr>
          <w:p>
            <w:r/>
            <w:r>
              <w:rPr>
                <w:rFonts w:ascii="Inter" w:hAnsi="Inter" w:cs="Inter"/>
                <w:b w:val="0"/>
                <w:i w:val="0"/>
                <w:color w:val="2D2D2D"/>
                <w:sz w:val="19"/>
              </w:rPr>
              <w:t>*Q1 Y1*</w:t>
            </w:r>
          </w:p>
        </w:tc>
        <w:tc>
          <w:tcPr>
            <w:tcW w:type="dxa" w:w="780"/>
          </w:tcPr>
          <w:p>
            <w:r/>
            <w:r>
              <w:rPr>
                <w:rFonts w:ascii="Inter" w:hAnsi="Inter" w:cs="Inter"/>
                <w:b w:val="0"/>
                <w:i w:val="0"/>
                <w:color w:val="2D2D2D"/>
                <w:sz w:val="19"/>
              </w:rPr>
              <w:t>*Continuing*</w:t>
            </w:r>
          </w:p>
        </w:tc>
        <w:tc>
          <w:tcPr>
            <w:tcW w:type="dxa" w:w="780"/>
          </w:tcPr>
          <w:p>
            <w:r/>
            <w:r>
              <w:rPr>
                <w:rFonts w:ascii="Inter" w:hAnsi="Inter" w:cs="Inter"/>
                <w:b w:val="0"/>
                <w:i w:val="0"/>
                <w:color w:val="2D2D2D"/>
                <w:sz w:val="19"/>
              </w:rPr>
              <w:t>*310-02-2-01*</w:t>
            </w:r>
          </w:p>
        </w:tc>
        <w:tc>
          <w:tcPr>
            <w:tcW w:type="dxa" w:w="780"/>
          </w:tcPr>
          <w:p>
            <w:r/>
            <w:r>
              <w:rPr>
                <w:rFonts w:ascii="Inter" w:hAnsi="Inter" w:cs="Inter"/>
                <w:b w:val="0"/>
                <w:i w:val="0"/>
                <w:color w:val="2D2D2D"/>
                <w:sz w:val="19"/>
              </w:rPr>
              <w:t>*PhP 1.2M (Y1)*</w:t>
            </w:r>
          </w:p>
        </w:tc>
        <w:tc>
          <w:tcPr>
            <w:tcW w:type="dxa" w:w="780"/>
          </w:tcPr>
          <w:p>
            <w:r/>
            <w:r>
              <w:rPr>
                <w:rFonts w:ascii="Inter" w:hAnsi="Inter" w:cs="Inter"/>
                <w:b w:val="0"/>
                <w:i w:val="0"/>
                <w:color w:val="2D2D2D"/>
                <w:sz w:val="19"/>
              </w:rPr>
              <w:t>*MOUs/MOAs signed; coordination protocols established*</w:t>
            </w:r>
          </w:p>
        </w:tc>
        <w:tc>
          <w:tcPr>
            <w:tcW w:type="dxa" w:w="780"/>
          </w:tcPr>
          <w:p>
            <w:r/>
            <w:r>
              <w:rPr>
                <w:rFonts w:ascii="Inter" w:hAnsi="Inter" w:cs="Inter"/>
                <w:b w:val="0"/>
                <w:i w:val="0"/>
                <w:color w:val="2D2D2D"/>
                <w:sz w:val="19"/>
              </w:rPr>
              <w:t>*Y1: 4 meetings; 6 LGU MOAs signed. Y2: 4 meetings; remaining MOAs completed*</w:t>
            </w:r>
          </w:p>
        </w:tc>
      </w:tr>
      <w:tr>
        <w:tc>
          <w:tcPr>
            <w:tcW w:type="dxa" w:w="780"/>
            <w:shd w:fill="F0F3F6"/>
          </w:tcPr>
          <w:p>
            <w:r/>
            <w:r>
              <w:rPr>
                <w:rFonts w:ascii="Inter" w:hAnsi="Inter" w:cs="Inter"/>
                <w:b w:val="0"/>
                <w:i w:val="0"/>
                <w:color w:val="2D2D2D"/>
                <w:sz w:val="19"/>
              </w:rPr>
              <w:t>*P-03-A-03*</w:t>
            </w:r>
          </w:p>
        </w:tc>
        <w:tc>
          <w:tcPr>
            <w:tcW w:type="dxa" w:w="780"/>
            <w:shd w:fill="F0F3F6"/>
          </w:tcPr>
          <w:p>
            <w:r/>
            <w:r>
              <w:rPr>
                <w:rFonts w:ascii="Inter" w:hAnsi="Inter" w:cs="Inter"/>
                <w:b w:val="0"/>
                <w:i w:val="0"/>
                <w:color w:val="2D2D2D"/>
                <w:sz w:val="19"/>
              </w:rPr>
              <w:t>*Advocacy and Information Campaigns*</w:t>
            </w:r>
          </w:p>
        </w:tc>
        <w:tc>
          <w:tcPr>
            <w:tcW w:type="dxa" w:w="780"/>
            <w:shd w:fill="F0F3F6"/>
          </w:tcPr>
          <w:p>
            <w:r/>
            <w:r>
              <w:rPr>
                <w:rFonts w:ascii="Inter" w:hAnsi="Inter" w:cs="Inter"/>
                <w:b w:val="0"/>
                <w:i w:val="0"/>
                <w:color w:val="2D2D2D"/>
                <w:sz w:val="19"/>
              </w:rPr>
              <w:t>*A*</w:t>
            </w:r>
          </w:p>
        </w:tc>
        <w:tc>
          <w:tcPr>
            <w:tcW w:type="dxa" w:w="780"/>
            <w:shd w:fill="F0F3F6"/>
          </w:tcPr>
          <w:p>
            <w:r/>
            <w:r>
              <w:rPr>
                <w:rFonts w:ascii="Inter" w:hAnsi="Inter" w:cs="Inter"/>
                <w:b w:val="0"/>
                <w:i w:val="0"/>
                <w:color w:val="2D2D2D"/>
                <w:sz w:val="19"/>
              </w:rPr>
              <w:t>*Development and dissemination of advocacy materials on OBC rights and BARMM services; information campaigns in field areas.*</w:t>
            </w:r>
          </w:p>
        </w:tc>
        <w:tc>
          <w:tcPr>
            <w:tcW w:type="dxa" w:w="780"/>
            <w:shd w:fill="F0F3F6"/>
          </w:tcPr>
          <w:p>
            <w:r/>
            <w:r>
              <w:rPr>
                <w:rFonts w:ascii="Inter" w:hAnsi="Inter" w:cs="Inter"/>
                <w:b w:val="0"/>
                <w:i w:val="0"/>
                <w:color w:val="2D2D2D"/>
                <w:sz w:val="19"/>
              </w:rPr>
              <w:t>*Output 3.1*</w:t>
            </w:r>
          </w:p>
        </w:tc>
        <w:tc>
          <w:tcPr>
            <w:tcW w:type="dxa" w:w="780"/>
            <w:shd w:fill="F0F3F6"/>
          </w:tcPr>
          <w:p>
            <w:r/>
            <w:r>
              <w:rPr>
                <w:rFonts w:ascii="Inter" w:hAnsi="Inter" w:cs="Inter"/>
                <w:b w:val="0"/>
                <w:i w:val="0"/>
                <w:color w:val="2D2D2D"/>
                <w:sz w:val="19"/>
              </w:rPr>
              <w:t>*Communications and Advocacy Unit*</w:t>
            </w:r>
          </w:p>
        </w:tc>
        <w:tc>
          <w:tcPr>
            <w:tcW w:type="dxa" w:w="780"/>
            <w:shd w:fill="F0F3F6"/>
          </w:tcPr>
          <w:p>
            <w:r/>
            <w:r>
              <w:rPr>
                <w:rFonts w:ascii="Inter" w:hAnsi="Inter" w:cs="Inter"/>
                <w:b w:val="0"/>
                <w:i w:val="0"/>
                <w:color w:val="2D2D2D"/>
                <w:sz w:val="19"/>
              </w:rPr>
              <w:t>*Q1 Y1*</w:t>
            </w:r>
          </w:p>
        </w:tc>
        <w:tc>
          <w:tcPr>
            <w:tcW w:type="dxa" w:w="780"/>
            <w:shd w:fill="F0F3F6"/>
          </w:tcPr>
          <w:p>
            <w:r/>
            <w:r>
              <w:rPr>
                <w:rFonts w:ascii="Inter" w:hAnsi="Inter" w:cs="Inter"/>
                <w:b w:val="0"/>
                <w:i w:val="0"/>
                <w:color w:val="2D2D2D"/>
                <w:sz w:val="19"/>
              </w:rPr>
              <w:t>*Continuing*</w:t>
            </w:r>
          </w:p>
        </w:tc>
        <w:tc>
          <w:tcPr>
            <w:tcW w:type="dxa" w:w="780"/>
            <w:shd w:fill="F0F3F6"/>
          </w:tcPr>
          <w:p>
            <w:r/>
            <w:r>
              <w:rPr>
                <w:rFonts w:ascii="Inter" w:hAnsi="Inter" w:cs="Inter"/>
                <w:b w:val="0"/>
                <w:i w:val="0"/>
                <w:color w:val="2D2D2D"/>
                <w:sz w:val="19"/>
              </w:rPr>
              <w:t>*310-03-2-01*</w:t>
            </w:r>
          </w:p>
        </w:tc>
        <w:tc>
          <w:tcPr>
            <w:tcW w:type="dxa" w:w="780"/>
            <w:shd w:fill="F0F3F6"/>
          </w:tcPr>
          <w:p>
            <w:r/>
            <w:r>
              <w:rPr>
                <w:rFonts w:ascii="Inter" w:hAnsi="Inter" w:cs="Inter"/>
                <w:b w:val="0"/>
                <w:i w:val="0"/>
                <w:color w:val="2D2D2D"/>
                <w:sz w:val="19"/>
              </w:rPr>
              <w:t>*PhP 800,000 (Y1)*</w:t>
            </w:r>
          </w:p>
        </w:tc>
        <w:tc>
          <w:tcPr>
            <w:tcW w:type="dxa" w:w="780"/>
            <w:shd w:fill="F0F3F6"/>
          </w:tcPr>
          <w:p>
            <w:r/>
            <w:r>
              <w:rPr>
                <w:rFonts w:ascii="Inter" w:hAnsi="Inter" w:cs="Inter"/>
                <w:b w:val="0"/>
                <w:i w:val="0"/>
                <w:color w:val="2D2D2D"/>
                <w:sz w:val="19"/>
              </w:rPr>
              <w:t>*Advocacy materials produced and disseminated; campaigns conducted*</w:t>
            </w:r>
          </w:p>
        </w:tc>
        <w:tc>
          <w:tcPr>
            <w:tcW w:type="dxa" w:w="780"/>
            <w:shd w:fill="F0F3F6"/>
          </w:tcPr>
          <w:p>
            <w:r/>
            <w:r>
              <w:rPr>
                <w:rFonts w:ascii="Inter" w:hAnsi="Inter" w:cs="Inter"/>
                <w:b w:val="0"/>
                <w:i w:val="0"/>
                <w:color w:val="2D2D2D"/>
                <w:sz w:val="19"/>
              </w:rPr>
              <w:t>*Y1: Materials produced; campaigns in 3 regions. Y2: Updated materials; expanded coverage*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Instructions for completing the register:</w:t>
      </w:r>
      <w:r>
        <w:rPr>
          <w:rFonts w:ascii="Inter" w:hAnsi="Inter" w:cs="Inter"/>
          <w:b w:val="0"/>
          <w:i w:val="0"/>
          <w:color w:val="2D2D2D"/>
          <w:sz w:val="22"/>
        </w:rPr>
      </w:r>
    </w:p>
    <w:p>
      <w:pPr>
        <w:pStyle w:val="ListBullet"/>
      </w:pPr>
      <w:r>
        <w:rPr>
          <w:rFonts w:ascii="Inter" w:hAnsi="Inter" w:cs="Inter"/>
          <w:b w:val="0"/>
          <w:i w:val="0"/>
          <w:color w:val="2D2D2D"/>
          <w:sz w:val="22"/>
        </w:rPr>
        <w:t>Group PPAs by program. List program header rows first, then nested projects and activities.</w:t>
      </w:r>
    </w:p>
    <w:p>
      <w:pPr>
        <w:pStyle w:val="ListBullet"/>
      </w:pPr>
      <w:r>
        <w:rPr>
          <w:rFonts w:ascii="Inter" w:hAnsi="Inter" w:cs="Inter"/>
          <w:b w:val="0"/>
          <w:i w:val="0"/>
          <w:color w:val="2D2D2D"/>
          <w:sz w:val="22"/>
        </w:rPr>
        <w:t>Use consistent PPA Code conventions: P- for programs, PR- for projects, A- for activities. Indicate parent-child relationships in the code (P-01-PR-01 = first project under Program 1).</w:t>
      </w:r>
    </w:p>
    <w:p>
      <w:pPr>
        <w:pStyle w:val="ListBullet"/>
      </w:pPr>
      <w:r>
        <w:rPr>
          <w:rFonts w:ascii="Inter" w:hAnsi="Inter" w:cs="Inter"/>
          <w:b w:val="0"/>
          <w:i w:val="0"/>
          <w:color w:val="2D2D2D"/>
          <w:sz w:val="22"/>
        </w:rPr>
        <w:t>In the ToC Output Link column, enter the ToC output code(s) from your Chapter 7 worksheet. If a PPA supports a GAS function with no direct ToC output, write "GAS Support — enables all ToC outputs."</w:t>
      </w:r>
    </w:p>
    <w:p>
      <w:pPr>
        <w:pStyle w:val="ListBullet"/>
      </w:pPr>
      <w:r>
        <w:rPr>
          <w:rFonts w:ascii="Inter" w:hAnsi="Inter" w:cs="Inter"/>
          <w:b w:val="0"/>
          <w:i w:val="0"/>
          <w:color w:val="2D2D2D"/>
          <w:sz w:val="22"/>
        </w:rPr>
        <w:t xml:space="preserve">In the Type column, use: </w:t>
      </w:r>
      <w:r>
        <w:rPr>
          <w:rFonts w:ascii="Inter" w:hAnsi="Inter" w:cs="Inter"/>
          <w:b/>
          <w:i w:val="0"/>
          <w:color w:val="2D2D2D"/>
          <w:sz w:val="22"/>
        </w:rPr>
        <w:t>P</w:t>
      </w:r>
      <w:r>
        <w:rPr>
          <w:rFonts w:ascii="Inter" w:hAnsi="Inter" w:cs="Inter"/>
          <w:b w:val="0"/>
          <w:i w:val="0"/>
          <w:color w:val="2D2D2D"/>
          <w:sz w:val="22"/>
        </w:rPr>
        <w:t xml:space="preserve"> for Program, </w:t>
      </w:r>
      <w:r>
        <w:rPr>
          <w:rFonts w:ascii="Inter" w:hAnsi="Inter" w:cs="Inter"/>
          <w:b/>
          <w:i w:val="0"/>
          <w:color w:val="2D2D2D"/>
          <w:sz w:val="22"/>
        </w:rPr>
        <w:t>Pr</w:t>
      </w:r>
      <w:r>
        <w:rPr>
          <w:rFonts w:ascii="Inter" w:hAnsi="Inter" w:cs="Inter"/>
          <w:b w:val="0"/>
          <w:i w:val="0"/>
          <w:color w:val="2D2D2D"/>
          <w:sz w:val="22"/>
        </w:rPr>
        <w:t xml:space="preserve"> for Project, </w:t>
      </w:r>
      <w:r>
        <w:rPr>
          <w:rFonts w:ascii="Inter" w:hAnsi="Inter" w:cs="Inter"/>
          <w:b/>
          <w:i w:val="0"/>
          <w:color w:val="2D2D2D"/>
          <w:sz w:val="22"/>
        </w:rPr>
        <w:t>A</w:t>
      </w:r>
      <w:r>
        <w:rPr>
          <w:rFonts w:ascii="Inter" w:hAnsi="Inter" w:cs="Inter"/>
          <w:b w:val="0"/>
          <w:i w:val="0"/>
          <w:color w:val="2D2D2D"/>
          <w:sz w:val="22"/>
        </w:rPr>
        <w:t xml:space="preserve"> for Activity.</w:t>
      </w:r>
    </w:p>
    <w:p>
      <w:pPr>
        <w:pStyle w:val="ListBullet"/>
      </w:pPr>
      <w:r>
        <w:rPr>
          <w:rFonts w:ascii="Inter" w:hAnsi="Inter" w:cs="Inter"/>
          <w:b w:val="0"/>
          <w:i w:val="0"/>
          <w:color w:val="2D2D2D"/>
          <w:sz w:val="22"/>
        </w:rPr>
        <w:t>In the End column, write "Continuing" for ongoing programs and activities with no fixed end date.</w:t>
      </w:r>
    </w:p>
    <w:p>
      <w:pPr>
        <w:pStyle w:val="ListBullet"/>
      </w:pPr>
      <w:r>
        <w:rPr>
          <w:rFonts w:ascii="Inter" w:hAnsi="Inter" w:cs="Inter"/>
          <w:b w:val="0"/>
          <w:i w:val="0"/>
          <w:color w:val="2D2D2D"/>
          <w:sz w:val="22"/>
        </w:rPr>
        <w:t>Estimated costs are preliminary. Chapter 9 will refine these into line-item budgets.</w:t>
      </w:r>
    </w:p>
    <w:p>
      <w:pPr>
        <w:pStyle w:val="Heading2"/>
      </w:pPr>
      <w:r>
        <w:rPr>
          <w:rFonts w:ascii="Inter" w:hAnsi="Inter" w:cs="Inter"/>
          <w:b/>
          <w:i w:val="0"/>
          <w:color w:val="1B365D"/>
          <w:sz w:val="32"/>
        </w:rPr>
        <w:t>8.8 Quality Checklist</w:t>
      </w:r>
    </w:p>
    <w:p>
      <w:pPr>
        <w:spacing w:after="120" w:line="276" w:lineRule="auto"/>
      </w:pPr>
      <w:r>
        <w:rPr>
          <w:rFonts w:ascii="Inter" w:hAnsi="Inter" w:cs="Inter"/>
          <w:b w:val="0"/>
          <w:i w:val="0"/>
          <w:color w:val="2D2D2D"/>
          <w:sz w:val="22"/>
        </w:rPr>
        <w:t>Before submitting your PPA Register as part of the strategic plan, verify each item:</w:t>
      </w:r>
    </w:p>
    <w:p>
      <w:pPr>
        <w:pStyle w:val="ListBullet"/>
      </w:pPr>
      <w:r>
        <w:rPr>
          <w:rFonts w:ascii="Inter" w:hAnsi="Inter" w:cs="Inter"/>
          <w:b w:val="0"/>
          <w:i w:val="0"/>
          <w:color w:val="2D2D2D"/>
          <w:sz w:val="22"/>
        </w:rPr>
        <w:t xml:space="preserve">[ ] </w:t>
      </w:r>
      <w:r>
        <w:rPr>
          <w:rFonts w:ascii="Inter" w:hAnsi="Inter" w:cs="Inter"/>
          <w:b/>
          <w:i w:val="0"/>
          <w:color w:val="2D2D2D"/>
          <w:sz w:val="22"/>
        </w:rPr>
        <w:t>Every ToC output is covered.</w:t>
      </w:r>
      <w:r>
        <w:rPr>
          <w:rFonts w:ascii="Inter" w:hAnsi="Inter" w:cs="Inter"/>
          <w:b w:val="0"/>
          <w:i w:val="0"/>
          <w:color w:val="2D2D2D"/>
          <w:sz w:val="22"/>
        </w:rPr>
        <w:t xml:space="preserve"> Run the backward coverage check: for each ToC output in your Chapter 7 worksheet, at least one PPA is linked to it in the ToC Output Link column.</w:t>
      </w:r>
    </w:p>
    <w:p>
      <w:pPr>
        <w:pStyle w:val="ListBullet"/>
      </w:pPr>
      <w:r>
        <w:rPr>
          <w:rFonts w:ascii="Inter" w:hAnsi="Inter" w:cs="Inter"/>
          <w:b w:val="0"/>
          <w:i w:val="0"/>
          <w:color w:val="2D2D2D"/>
          <w:sz w:val="22"/>
        </w:rPr>
        <w:t xml:space="preserve">[ ] </w:t>
      </w:r>
      <w:r>
        <w:rPr>
          <w:rFonts w:ascii="Inter" w:hAnsi="Inter" w:cs="Inter"/>
          <w:b/>
          <w:i w:val="0"/>
          <w:color w:val="2D2D2D"/>
          <w:sz w:val="22"/>
        </w:rPr>
        <w:t>No orphan PPAs.</w:t>
      </w:r>
      <w:r>
        <w:rPr>
          <w:rFonts w:ascii="Inter" w:hAnsi="Inter" w:cs="Inter"/>
          <w:b w:val="0"/>
          <w:i w:val="0"/>
          <w:color w:val="2D2D2D"/>
          <w:sz w:val="22"/>
        </w:rPr>
        <w:t xml:space="preserve"> Every PPA in the register links to at least one ToC output (or is documented as a GAS support function that enables ToC delivery).</w:t>
      </w:r>
    </w:p>
    <w:p>
      <w:pPr>
        <w:pStyle w:val="ListBullet"/>
      </w:pPr>
      <w:r>
        <w:rPr>
          <w:rFonts w:ascii="Inter" w:hAnsi="Inter" w:cs="Inter"/>
          <w:b w:val="0"/>
          <w:i w:val="0"/>
          <w:color w:val="2D2D2D"/>
          <w:sz w:val="22"/>
        </w:rPr>
        <w:t xml:space="preserve">[ ] </w:t>
      </w:r>
      <w:r>
        <w:rPr>
          <w:rFonts w:ascii="Inter" w:hAnsi="Inter" w:cs="Inter"/>
          <w:b/>
          <w:i w:val="0"/>
          <w:color w:val="2D2D2D"/>
          <w:sz w:val="22"/>
        </w:rPr>
        <w:t>PPA types are correctly assigned.</w:t>
      </w:r>
      <w:r>
        <w:rPr>
          <w:rFonts w:ascii="Inter" w:hAnsi="Inter" w:cs="Inter"/>
          <w:b w:val="0"/>
          <w:i w:val="0"/>
          <w:color w:val="2D2D2D"/>
          <w:sz w:val="22"/>
        </w:rPr>
        <w:t xml:space="preserve"> Programs are ongoing and cross-cutting; projects are time-bound with specific deliverables; activities are recurring operational work. Confirm that each PPA's assigned type matches its actual characteristics.</w:t>
      </w:r>
    </w:p>
    <w:p>
      <w:pPr>
        <w:pStyle w:val="ListBullet"/>
      </w:pPr>
      <w:r>
        <w:rPr>
          <w:rFonts w:ascii="Inter" w:hAnsi="Inter" w:cs="Inter"/>
          <w:b w:val="0"/>
          <w:i w:val="0"/>
          <w:color w:val="2D2D2D"/>
          <w:sz w:val="22"/>
        </w:rPr>
        <w:t xml:space="preserve">[ ] </w:t>
      </w:r>
      <w:r>
        <w:rPr>
          <w:rFonts w:ascii="Inter" w:hAnsi="Inter" w:cs="Inter"/>
          <w:b/>
          <w:i w:val="0"/>
          <w:color w:val="2D2D2D"/>
          <w:sz w:val="22"/>
        </w:rPr>
        <w:t>Responsible units are specific.</w:t>
      </w:r>
      <w:r>
        <w:rPr>
          <w:rFonts w:ascii="Inter" w:hAnsi="Inter" w:cs="Inter"/>
          <w:b w:val="0"/>
          <w:i w:val="0"/>
          <w:color w:val="2D2D2D"/>
          <w:sz w:val="22"/>
        </w:rPr>
        <w:t xml:space="preserve"> No PPA lists the MOA as a whole as its responsible unit. Each PPA identifies a named division, bureau, or office with accountability for delivery.</w:t>
      </w:r>
    </w:p>
    <w:p>
      <w:pPr>
        <w:pStyle w:val="ListBullet"/>
      </w:pPr>
      <w:r>
        <w:rPr>
          <w:rFonts w:ascii="Inter" w:hAnsi="Inter" w:cs="Inter"/>
          <w:b w:val="0"/>
          <w:i w:val="0"/>
          <w:color w:val="2D2D2D"/>
          <w:sz w:val="22"/>
        </w:rPr>
        <w:t xml:space="preserve">[ ] </w:t>
      </w:r>
      <w:r>
        <w:rPr>
          <w:rFonts w:ascii="Inter" w:hAnsi="Inter" w:cs="Inter"/>
          <w:b/>
          <w:i w:val="0"/>
          <w:color w:val="2D2D2D"/>
          <w:sz w:val="22"/>
        </w:rPr>
        <w:t>UACS codes are assigned or flagged.</w:t>
      </w:r>
      <w:r>
        <w:rPr>
          <w:rFonts w:ascii="Inter" w:hAnsi="Inter" w:cs="Inter"/>
          <w:b w:val="0"/>
          <w:i w:val="0"/>
          <w:color w:val="2D2D2D"/>
          <w:sz w:val="22"/>
        </w:rPr>
        <w:t xml:space="preserve"> Every PPA either has a UACS code or carries a note that the code is pending and who is responsible for assigning it before budget submission.</w:t>
      </w:r>
    </w:p>
    <w:p>
      <w:pPr>
        <w:pStyle w:val="ListBullet"/>
      </w:pPr>
      <w:r>
        <w:rPr>
          <w:rFonts w:ascii="Inter" w:hAnsi="Inter" w:cs="Inter"/>
          <w:b w:val="0"/>
          <w:i w:val="0"/>
          <w:color w:val="2D2D2D"/>
          <w:sz w:val="22"/>
        </w:rPr>
        <w:t xml:space="preserve">[ ] </w:t>
      </w:r>
      <w:r>
        <w:rPr>
          <w:rFonts w:ascii="Inter" w:hAnsi="Inter" w:cs="Inter"/>
          <w:b/>
          <w:i w:val="0"/>
          <w:color w:val="2D2D2D"/>
          <w:sz w:val="22"/>
        </w:rPr>
        <w:t>Annual targets are specific and measurable.</w:t>
      </w:r>
      <w:r>
        <w:rPr>
          <w:rFonts w:ascii="Inter" w:hAnsi="Inter" w:cs="Inter"/>
          <w:b w:val="0"/>
          <w:i w:val="0"/>
          <w:color w:val="2D2D2D"/>
          <w:sz w:val="22"/>
        </w:rPr>
        <w:t xml:space="preserve"> Annual targets use quantities and timeframes: "5 plans approved by Q4 Year 1," not "plans developed." They distinguish Year 1 targets from Year 2 targets and beyond.</w:t>
      </w:r>
    </w:p>
    <w:p>
      <w:pPr>
        <w:pStyle w:val="ListBullet"/>
      </w:pPr>
      <w:r>
        <w:rPr>
          <w:rFonts w:ascii="Inter" w:hAnsi="Inter" w:cs="Inter"/>
          <w:b w:val="0"/>
          <w:i w:val="0"/>
          <w:color w:val="2D2D2D"/>
          <w:sz w:val="22"/>
        </w:rPr>
        <w:t xml:space="preserve">[ ] </w:t>
      </w:r>
      <w:r>
        <w:rPr>
          <w:rFonts w:ascii="Inter" w:hAnsi="Inter" w:cs="Inter"/>
          <w:b/>
          <w:i w:val="0"/>
          <w:color w:val="2D2D2D"/>
          <w:sz w:val="22"/>
        </w:rPr>
        <w:t>Timelines are realistic.</w:t>
      </w:r>
      <w:r>
        <w:rPr>
          <w:rFonts w:ascii="Inter" w:hAnsi="Inter" w:cs="Inter"/>
          <w:b w:val="0"/>
          <w:i w:val="0"/>
          <w:color w:val="2D2D2D"/>
          <w:sz w:val="22"/>
        </w:rPr>
        <w:t xml:space="preserve"> Review start and end dates against your MOA's operational calendar, procurement lead times, and staff availability. A project that begins in Q1 but requires equipment that takes six months to procure cannot deliver output by Q3.</w:t>
      </w:r>
    </w:p>
    <w:p>
      <w:pPr>
        <w:pStyle w:val="ListBullet"/>
      </w:pPr>
      <w:r>
        <w:rPr>
          <w:rFonts w:ascii="Inter" w:hAnsi="Inter" w:cs="Inter"/>
          <w:b w:val="0"/>
          <w:i w:val="0"/>
          <w:color w:val="2D2D2D"/>
          <w:sz w:val="22"/>
        </w:rPr>
        <w:t xml:space="preserve">[ ] </w:t>
      </w:r>
      <w:r>
        <w:rPr>
          <w:rFonts w:ascii="Inter" w:hAnsi="Inter" w:cs="Inter"/>
          <w:b/>
          <w:i w:val="0"/>
          <w:color w:val="2D2D2D"/>
          <w:sz w:val="22"/>
        </w:rPr>
        <w:t>The portfolio is feasible in aggregate.</w:t>
      </w:r>
      <w:r>
        <w:rPr>
          <w:rFonts w:ascii="Inter" w:hAnsi="Inter" w:cs="Inter"/>
          <w:b w:val="0"/>
          <w:i w:val="0"/>
          <w:color w:val="2D2D2D"/>
          <w:sz w:val="22"/>
        </w:rPr>
        <w:t xml:space="preserve"> Add up the estimated costs for all PPAs. This total should be within a reasonable range of your MOA's expected budget allocation for the planning period. If the total is two or three times your likely budget, the register is aspirational, not operational --- prioritize and cut.</w:t>
      </w:r>
    </w:p>
    <w:p>
      <w:pPr>
        <w:pStyle w:val="ListBullet"/>
      </w:pPr>
      <w:r>
        <w:rPr>
          <w:rFonts w:ascii="Inter" w:hAnsi="Inter" w:cs="Inter"/>
          <w:b w:val="0"/>
          <w:i w:val="0"/>
          <w:color w:val="2D2D2D"/>
          <w:sz w:val="22"/>
        </w:rPr>
        <w:t xml:space="preserve">[ ] </w:t>
      </w:r>
      <w:r>
        <w:rPr>
          <w:rFonts w:ascii="Inter" w:hAnsi="Inter" w:cs="Inter"/>
          <w:b/>
          <w:i w:val="0"/>
          <w:color w:val="2D2D2D"/>
          <w:sz w:val="22"/>
        </w:rPr>
        <w:t>No last-year's PPAs carried forward without review.</w:t>
      </w:r>
      <w:r>
        <w:rPr>
          <w:rFonts w:ascii="Inter" w:hAnsi="Inter" w:cs="Inter"/>
          <w:b w:val="0"/>
          <w:i w:val="0"/>
          <w:color w:val="2D2D2D"/>
          <w:sz w:val="22"/>
        </w:rPr>
        <w:t xml:space="preserve"> Confirm that each PPA was deliberately included because it links to a ToC output in the current strategic plan --- not simply because it appeared in last year's budget.</w:t>
      </w:r>
    </w:p>
    <w:p>
      <w:pPr>
        <w:pStyle w:val="ListBullet"/>
      </w:pPr>
      <w:r>
        <w:rPr>
          <w:rFonts w:ascii="Inter" w:hAnsi="Inter" w:cs="Inter"/>
          <w:b w:val="0"/>
          <w:i w:val="0"/>
          <w:color w:val="2D2D2D"/>
          <w:sz w:val="22"/>
        </w:rPr>
        <w:t xml:space="preserve">[ ] </w:t>
      </w:r>
      <w:r>
        <w:rPr>
          <w:rFonts w:ascii="Inter" w:hAnsi="Inter" w:cs="Inter"/>
          <w:b/>
          <w:i w:val="0"/>
          <w:color w:val="2D2D2D"/>
          <w:sz w:val="22"/>
        </w:rPr>
        <w:t>GAS, STO, and Operations programs are all represented.</w:t>
      </w:r>
      <w:r>
        <w:rPr>
          <w:rFonts w:ascii="Inter" w:hAnsi="Inter" w:cs="Inter"/>
          <w:b w:val="0"/>
          <w:i w:val="0"/>
          <w:color w:val="2D2D2D"/>
          <w:sz w:val="22"/>
        </w:rPr>
        <w:t xml:space="preserve"> Your MOA needs administrative and support functions to operate. Confirm that the register includes GAS and STO program activities, not only Operations programs.</w:t>
      </w:r>
    </w:p>
    <w:p>
      <w:pPr>
        <w:spacing w:after="120" w:line="276" w:lineRule="auto"/>
      </w:pPr>
      <w:r>
        <w:rPr>
          <w:rFonts w:ascii="Inter" w:hAnsi="Inter" w:cs="Inter"/>
          <w:b w:val="0"/>
          <w:i w:val="0"/>
          <w:color w:val="2D2D2D"/>
          <w:sz w:val="22"/>
        </w:rPr>
        <w:t>*You now have a PPA Register: a structured, linked inventory of all the programs, projects, and activities your MOA will implement to deliver the results your Theory of Change promises. The next chapter (Chapter 9: Resource Planning) takes this register and builds the cost estimates, budget classification, and resource framework that will support your Annual Expenditure Program and budget submission.*</w:t>
      </w:r>
    </w:p>
    <w:p>
      <w:pPr>
        <w:spacing w:after="120" w:line="276" w:lineRule="auto"/>
      </w:pPr>
      <w:r>
        <w:rPr>
          <w:rFonts w:ascii="Inter" w:hAnsi="Inter" w:cs="Inter"/>
          <w:b w:val="0"/>
          <w:i w:val="0"/>
          <w:color w:val="2D2D2D"/>
          <w:sz w:val="22"/>
        </w:rPr>
        <w:t>[^1]: The Unified Accounts Code Structure (UACS) was established under DBM-COA-DOF Joint Circular No. 2013-1, dated October 18, 2013, to standardize public expenditure reporting across all government levels. BARMM ministries apply the same UACS coding framework in their budget documents as part of the interoperability requirements under Republic Act No. 11054 (Bangsamoro Organic Law) and the relevant BPDA budget circulars.</w:t>
      </w:r>
    </w:p>
    <w:p>
      <w:pPr>
        <w:pageBreakBefore/>
      </w:pPr>
    </w:p>
    <w:p>
      <w:pPr>
        <w:pStyle w:val="Heading1"/>
      </w:pPr>
      <w:r>
        <w:rPr>
          <w:rFonts w:ascii="Inter" w:hAnsi="Inter" w:cs="Inter"/>
          <w:b/>
          <w:i w:val="0"/>
          <w:color w:val="1B365D"/>
          <w:sz w:val="44"/>
        </w:rPr>
        <w:t>Chapter 9: Planning Your Resources</w:t>
      </w:r>
    </w:p>
    <w:p>
      <w:pPr>
        <w:spacing w:after="120" w:line="276" w:lineRule="auto"/>
      </w:pPr>
      <w:r>
        <w:rPr>
          <w:rFonts w:ascii="Inter" w:hAnsi="Inter" w:cs="Inter"/>
          <w:b w:val="0"/>
          <w:i w:val="0"/>
          <w:color w:val="2D2D2D"/>
          <w:sz w:val="22"/>
        </w:rPr>
        <w:t>You have now designed your Programs, Projects, and Activities (Chapter 8). You know what your MOA intends to do over the next three to five years, organized into a structured set of PPAs that activate the causal pathways in your Theory of Change. You have assigned each PPA to a responsible unit, attached outcome indicators, and placed them in a logical sequence.</w:t>
      </w:r>
    </w:p>
    <w:p>
      <w:pPr>
        <w:spacing w:after="120" w:line="276" w:lineRule="auto"/>
      </w:pPr>
      <w:r>
        <w:rPr>
          <w:rFonts w:ascii="Inter" w:hAnsi="Inter" w:cs="Inter"/>
          <w:b w:val="0"/>
          <w:i w:val="0"/>
          <w:color w:val="2D2D2D"/>
          <w:sz w:val="22"/>
        </w:rPr>
        <w:t>But intention is not implementation. A PPA is a plan for what your MOA will produce. It does not yet tell you — or Parliament, or the Bangsamoro Planning and Development Authority (BPDA), or the Ministry of Finance, and Budget and Management (MFBM) — *what it will take* to actually implement it. That is what this chapter does.</w:t>
      </w:r>
    </w:p>
    <w:p>
      <w:pPr>
        <w:spacing w:after="120" w:line="276" w:lineRule="auto"/>
      </w:pPr>
      <w:r>
        <w:rPr>
          <w:rFonts w:ascii="Inter" w:hAnsi="Inter" w:cs="Inter"/>
          <w:b w:val="0"/>
          <w:i w:val="0"/>
          <w:color w:val="2D2D2D"/>
          <w:sz w:val="22"/>
        </w:rPr>
        <w:t>Resource planning is the bridge between your strategic plan and your budget. It answers three questions: Do you have the people you need to do this work? Do you have the equipment, facilities, and physical means? And do you have — or can you obtain — the funding? If the answer to any of these questions is no, you face a choice: reduce the scope of your plan, seek additional resources, phase implementation over time, or build partnerships that bring in what you lack.</w:t>
      </w:r>
    </w:p>
    <w:p>
      <w:pPr>
        <w:spacing w:after="120" w:line="276" w:lineRule="auto"/>
      </w:pPr>
      <w:r>
        <w:rPr>
          <w:rFonts w:ascii="Inter" w:hAnsi="Inter" w:cs="Inter"/>
          <w:b w:val="0"/>
          <w:i w:val="0"/>
          <w:color w:val="2D2D2D"/>
          <w:sz w:val="22"/>
        </w:rPr>
        <w:t>Ministries, Offices, and Agencies (MOAs) in BARMM regularly submit strategic plans that describe ambitious programs without a credible resource base. The MFBM, during budget evaluation under BAA No. 84, assesses whether proposed PPAs are "implementation-ready" — whether the MOA has demonstrated the capability and resources to deliver what it has promised.[^1] A strategic plan that does not address resource constraints is not a credible plan. It will either be rejected in the budget process, or worse, approved and then under-delivered — wasting public funds and eroding public trust.</w:t>
      </w:r>
    </w:p>
    <w:p>
      <w:pPr>
        <w:spacing w:after="120" w:line="276" w:lineRule="auto"/>
      </w:pPr>
      <w:r>
        <w:rPr>
          <w:rFonts w:ascii="Inter" w:hAnsi="Inter" w:cs="Inter"/>
          <w:b w:val="0"/>
          <w:i w:val="0"/>
          <w:color w:val="2D2D2D"/>
          <w:sz w:val="22"/>
        </w:rPr>
        <w:t>This chapter walks you through a systematic process for identifying every resource your PPAs require: human resources (positions, competencies, training needs), physical resources (equipment, facilities, vehicles, supplies), and partnerships (external organizations that can provide what your MOA lacks). It also shows you how to link those resource requirements to the Bangsamoro Budget System's expenditure categories — Personnel Services (PS), Maintenance and Other Operating Expenses (MOOE), and Capital Outlays (CO) — so that your resource plan flows directly into your Annual Financial Plan (Chapter 10).</w:t>
      </w:r>
    </w:p>
    <w:p>
      <w:pPr>
        <w:spacing w:after="120" w:line="276" w:lineRule="auto"/>
      </w:pPr>
      <w:r>
        <w:rPr>
          <w:rFonts w:ascii="Inter" w:hAnsi="Inter" w:cs="Inter"/>
          <w:b w:val="0"/>
          <w:i w:val="0"/>
          <w:color w:val="2D2D2D"/>
          <w:sz w:val="22"/>
        </w:rPr>
        <w:t>The output of this chapter is a completed Resource Requirements Matrix: a comprehensive, PPA-by-PPA accounting of what you need, what you have, what you lack, and how you plan to address the gaps.</w:t>
      </w:r>
    </w:p>
    <w:p>
      <w:pPr>
        <w:pStyle w:val="Heading2"/>
      </w:pPr>
      <w:r>
        <w:rPr>
          <w:rFonts w:ascii="Inter" w:hAnsi="Inter" w:cs="Inter"/>
          <w:b/>
          <w:i w:val="0"/>
          <w:color w:val="1B365D"/>
          <w:sz w:val="32"/>
        </w:rPr>
        <w:t>9.1 Purpose</w:t>
      </w:r>
    </w:p>
    <w:p>
      <w:pPr>
        <w:spacing w:after="120" w:line="276" w:lineRule="auto"/>
      </w:pPr>
      <w:r>
        <w:rPr>
          <w:rFonts w:ascii="Inter" w:hAnsi="Inter" w:cs="Inter"/>
          <w:b w:val="0"/>
          <w:i w:val="0"/>
          <w:color w:val="2D2D2D"/>
          <w:sz w:val="22"/>
        </w:rPr>
        <w:t>The purpose of resource planning is to identify all resources needed to implement your PPAs and to surface the gaps between what you need and what you currently have.</w:t>
      </w:r>
    </w:p>
    <w:p>
      <w:pPr>
        <w:spacing w:after="120" w:line="276" w:lineRule="auto"/>
      </w:pPr>
      <w:r>
        <w:rPr>
          <w:rFonts w:ascii="Inter" w:hAnsi="Inter" w:cs="Inter"/>
          <w:b w:val="0"/>
          <w:i w:val="0"/>
          <w:color w:val="2D2D2D"/>
          <w:sz w:val="22"/>
        </w:rPr>
        <w:t>Resource planning serves three distinct functions in the strategic planning process.</w:t>
      </w:r>
    </w:p>
    <w:p>
      <w:pPr>
        <w:spacing w:after="120" w:line="276" w:lineRule="auto"/>
      </w:pPr>
      <w:r>
        <w:rPr>
          <w:rFonts w:ascii="Inter" w:hAnsi="Inter" w:cs="Inter"/>
          <w:b w:val="0"/>
          <w:i w:val="0"/>
          <w:color w:val="2D2D2D"/>
          <w:sz w:val="22"/>
        </w:rPr>
      </w:r>
      <w:r>
        <w:rPr>
          <w:rFonts w:ascii="Inter" w:hAnsi="Inter" w:cs="Inter"/>
          <w:b/>
          <w:i w:val="0"/>
          <w:color w:val="2D2D2D"/>
          <w:sz w:val="22"/>
        </w:rPr>
        <w:t>First, it makes your plan honest.</w:t>
      </w:r>
      <w:r>
        <w:rPr>
          <w:rFonts w:ascii="Inter" w:hAnsi="Inter" w:cs="Inter"/>
          <w:b w:val="0"/>
          <w:i w:val="0"/>
          <w:color w:val="2D2D2D"/>
          <w:sz w:val="22"/>
        </w:rPr>
        <w:t xml:space="preserve"> Without a resource assessment, a strategic plan is aspirational by default. You list the programs you would like to run, the projects you would like to complete, the activities you would like to conduct — without confronting whether the resources exist to do any of it. Resource planning forces that confrontation. It requires you to sit with each PPA and ask: Who will do this work? What equipment or facilities does it require? What will it cost? The answers often reveal that you have planned more than you can deliver with available resources. That is not a failure — that is the plan telling you something true about reality.</w:t>
      </w:r>
    </w:p>
    <w:p>
      <w:pPr>
        <w:spacing w:after="120" w:line="276" w:lineRule="auto"/>
      </w:pPr>
      <w:r>
        <w:rPr>
          <w:rFonts w:ascii="Inter" w:hAnsi="Inter" w:cs="Inter"/>
          <w:b w:val="0"/>
          <w:i w:val="0"/>
          <w:color w:val="2D2D2D"/>
          <w:sz w:val="22"/>
        </w:rPr>
      </w:r>
      <w:r>
        <w:rPr>
          <w:rFonts w:ascii="Inter" w:hAnsi="Inter" w:cs="Inter"/>
          <w:b/>
          <w:i w:val="0"/>
          <w:color w:val="2D2D2D"/>
          <w:sz w:val="22"/>
        </w:rPr>
        <w:t>Second, it bridges planning and budgeting.</w:t>
      </w:r>
      <w:r>
        <w:rPr>
          <w:rFonts w:ascii="Inter" w:hAnsi="Inter" w:cs="Inter"/>
          <w:b w:val="0"/>
          <w:i w:val="0"/>
          <w:color w:val="2D2D2D"/>
          <w:sz w:val="22"/>
        </w:rPr>
        <w:t xml:space="preserve"> Under BAA No. 84, budget proposals must link explicitly to planned PPAs and demonstrate the resource basis for each appropriation request.[^2] A resource plan that is built alongside your PPA design — rather than assembled separately at budget time — makes this linkage natural and defensible. When the MFBM asks why your MOA is requesting three new Forester II positions, you can point directly to a specific PPA, a specific gap in your current plantilla, and a specific output that depends on those positions.</w:t>
      </w:r>
    </w:p>
    <w:p>
      <w:pPr>
        <w:spacing w:after="120" w:line="276" w:lineRule="auto"/>
      </w:pPr>
      <w:r>
        <w:rPr>
          <w:rFonts w:ascii="Inter" w:hAnsi="Inter" w:cs="Inter"/>
          <w:b w:val="0"/>
          <w:i w:val="0"/>
          <w:color w:val="2D2D2D"/>
          <w:sz w:val="22"/>
        </w:rPr>
      </w:r>
      <w:r>
        <w:rPr>
          <w:rFonts w:ascii="Inter" w:hAnsi="Inter" w:cs="Inter"/>
          <w:b/>
          <w:i w:val="0"/>
          <w:color w:val="2D2D2D"/>
          <w:sz w:val="22"/>
        </w:rPr>
        <w:t>Third, it forces strategic choices.</w:t>
      </w:r>
      <w:r>
        <w:rPr>
          <w:rFonts w:ascii="Inter" w:hAnsi="Inter" w:cs="Inter"/>
          <w:b w:val="0"/>
          <w:i w:val="0"/>
          <w:color w:val="2D2D2D"/>
          <w:sz w:val="22"/>
        </w:rPr>
        <w:t xml:space="preserve"> When you add up all your resource requirements and compare them to your budget ceiling, you will almost always find a gap. The question is not whether there is a gap — there usually is. The question is how to respond to it. Resource planning gives you the information to respond intelligently: which PPAs are highest priority, which resource needs can be met through partnerships, which can be phased over time, and which require the Minister or Executive Director to make a hard decision about scope.</w:t>
      </w:r>
    </w:p>
    <w:p>
      <w:pPr>
        <w:pStyle w:val="Heading2"/>
      </w:pPr>
      <w:r>
        <w:rPr>
          <w:rFonts w:ascii="Inter" w:hAnsi="Inter" w:cs="Inter"/>
          <w:b/>
          <w:i w:val="0"/>
          <w:color w:val="1B365D"/>
          <w:sz w:val="32"/>
        </w:rPr>
        <w:t>9.2 Key Concepts</w:t>
      </w:r>
    </w:p>
    <w:p>
      <w:pPr>
        <w:pStyle w:val="Heading3"/>
      </w:pPr>
      <w:r>
        <w:rPr>
          <w:rFonts w:ascii="Inter" w:hAnsi="Inter" w:cs="Inter"/>
          <w:b/>
          <w:i w:val="0"/>
          <w:color w:val="2C5F7C"/>
          <w:sz w:val="26"/>
        </w:rPr>
        <w:t>The Three Resource Categories</w:t>
      </w:r>
    </w:p>
    <w:p>
      <w:pPr>
        <w:spacing w:after="120" w:line="276" w:lineRule="auto"/>
      </w:pPr>
      <w:r>
        <w:rPr>
          <w:rFonts w:ascii="Inter" w:hAnsi="Inter" w:cs="Inter"/>
          <w:b w:val="0"/>
          <w:i w:val="0"/>
          <w:color w:val="2D2D2D"/>
          <w:sz w:val="22"/>
        </w:rPr>
        <w:t>Resource planning in BARMM MOAs covers three categories of resources, each with its own planning logic and budget classification.</w:t>
      </w:r>
    </w:p>
    <w:p>
      <w:pPr>
        <w:spacing w:after="120" w:line="276" w:lineRule="auto"/>
      </w:pPr>
      <w:r>
        <w:rPr>
          <w:rFonts w:ascii="Inter" w:hAnsi="Inter" w:cs="Inter"/>
          <w:b w:val="0"/>
          <w:i w:val="0"/>
          <w:color w:val="2D2D2D"/>
          <w:sz w:val="22"/>
        </w:rPr>
      </w:r>
      <w:r>
        <w:rPr>
          <w:rFonts w:ascii="Inter" w:hAnsi="Inter" w:cs="Inter"/>
          <w:b/>
          <w:i w:val="0"/>
          <w:color w:val="2D2D2D"/>
          <w:sz w:val="22"/>
        </w:rPr>
        <w:t>Human resources</w:t>
      </w:r>
      <w:r>
        <w:rPr>
          <w:rFonts w:ascii="Inter" w:hAnsi="Inter" w:cs="Inter"/>
          <w:b w:val="0"/>
          <w:i w:val="0"/>
          <w:color w:val="2D2D2D"/>
          <w:sz w:val="22"/>
        </w:rPr>
        <w:t xml:space="preserve"> are the people who do the work. For each PPA, you need to identify the positions required (by title and salary grade), the number of full-time equivalents (FTE) needed, the time allocation (what percentage of a position's working time the PPA requires), and the specific competencies those positions must have. Human resource costs fall under Personnel Services (PS) in the BAA No. 84 classification.[^3]</w:t>
      </w:r>
    </w:p>
    <w:p>
      <w:pPr>
        <w:spacing w:after="120" w:line="276" w:lineRule="auto"/>
      </w:pPr>
      <w:r>
        <w:rPr>
          <w:rFonts w:ascii="Inter" w:hAnsi="Inter" w:cs="Inter"/>
          <w:b w:val="0"/>
          <w:i w:val="0"/>
          <w:color w:val="2D2D2D"/>
          <w:sz w:val="22"/>
        </w:rPr>
        <w:t>Critically, human resource planning is not just about counting bodies. It is about matching competencies to requirements. A Forester II position may be authorized in your plantilla and filled — but if the person in that position lacks geographic information systems (GIS) skills required by your new land-use monitoring program, you still have a resource gap. Resource planning requires you to look not only at whether positions are filled but whether the people filling them have what the PPA needs.</w:t>
      </w:r>
    </w:p>
    <w:p>
      <w:pPr>
        <w:spacing w:after="120" w:line="276" w:lineRule="auto"/>
      </w:pPr>
      <w:r>
        <w:rPr>
          <w:rFonts w:ascii="Inter" w:hAnsi="Inter" w:cs="Inter"/>
          <w:b w:val="0"/>
          <w:i w:val="0"/>
          <w:color w:val="2D2D2D"/>
          <w:sz w:val="22"/>
        </w:rPr>
      </w:r>
      <w:r>
        <w:rPr>
          <w:rFonts w:ascii="Inter" w:hAnsi="Inter" w:cs="Inter"/>
          <w:b/>
          <w:i w:val="0"/>
          <w:color w:val="2D2D2D"/>
          <w:sz w:val="22"/>
        </w:rPr>
        <w:t>Physical resources</w:t>
      </w:r>
      <w:r>
        <w:rPr>
          <w:rFonts w:ascii="Inter" w:hAnsi="Inter" w:cs="Inter"/>
          <w:b w:val="0"/>
          <w:i w:val="0"/>
          <w:color w:val="2D2D2D"/>
          <w:sz w:val="22"/>
        </w:rPr>
        <w:t xml:space="preserve"> are the equipment, facilities, vehicles, technology, and supplies your PPAs require. Some physical resources are already on hand — existing equipment in your inventory. Some must be procured. Some can be borrowed or obtained through partnerships. Physical resource costs are classified as either MOOE (for consumable supplies, fuel, repairs, and leased facilities) or Capital Outlays (for purchases of equipment, vehicles, and other assets with a useful life of more than one year).[^4]</w:t>
      </w:r>
    </w:p>
    <w:p>
      <w:pPr>
        <w:spacing w:after="120" w:line="276" w:lineRule="auto"/>
      </w:pPr>
      <w:r>
        <w:rPr>
          <w:rFonts w:ascii="Inter" w:hAnsi="Inter" w:cs="Inter"/>
          <w:b w:val="0"/>
          <w:i w:val="0"/>
          <w:color w:val="2D2D2D"/>
          <w:sz w:val="22"/>
        </w:rPr>
        <w:t>Physical resource planning should be done systematically for each PPA. A field-based PPA will require very different physical resources than an office-based regulatory function. Failure to plan physical resources at the PPA level leads to late and unbudgeted procurement requests — one of the most common reasons for low budget absorption in BARMM MOAs.</w:t>
      </w:r>
    </w:p>
    <w:p>
      <w:pPr>
        <w:spacing w:after="120" w:line="276" w:lineRule="auto"/>
      </w:pPr>
      <w:r>
        <w:rPr>
          <w:rFonts w:ascii="Inter" w:hAnsi="Inter" w:cs="Inter"/>
          <w:b w:val="0"/>
          <w:i w:val="0"/>
          <w:color w:val="2D2D2D"/>
          <w:sz w:val="22"/>
        </w:rPr>
      </w:r>
      <w:r>
        <w:rPr>
          <w:rFonts w:ascii="Inter" w:hAnsi="Inter" w:cs="Inter"/>
          <w:b/>
          <w:i w:val="0"/>
          <w:color w:val="2D2D2D"/>
          <w:sz w:val="22"/>
        </w:rPr>
        <w:t>Partnerships</w:t>
      </w:r>
      <w:r>
        <w:rPr>
          <w:rFonts w:ascii="Inter" w:hAnsi="Inter" w:cs="Inter"/>
          <w:b w:val="0"/>
          <w:i w:val="0"/>
          <w:color w:val="2D2D2D"/>
          <w:sz w:val="22"/>
        </w:rPr>
        <w:t xml:space="preserve"> are external organizations that contribute resources your MOA does not have and cannot easily acquire on its own. Partnership resources include financial contributions (co-funding or grants), technical assistance (expert staff, training, consulting), in-kind contributions (equipment, facilities, supplies provided without cash transfer), and joint implementation arrangements.</w:t>
      </w:r>
    </w:p>
    <w:p>
      <w:pPr>
        <w:spacing w:after="120" w:line="276" w:lineRule="auto"/>
      </w:pPr>
      <w:r>
        <w:rPr>
          <w:rFonts w:ascii="Inter" w:hAnsi="Inter" w:cs="Inter"/>
          <w:b w:val="0"/>
          <w:i w:val="0"/>
          <w:color w:val="2D2D2D"/>
          <w:sz w:val="22"/>
        </w:rPr>
        <w:t>Partnership types in the BARMM context include:</w:t>
      </w:r>
    </w:p>
    <w:p>
      <w:pPr>
        <w:pStyle w:val="ListBullet"/>
      </w:pPr>
      <w:r>
        <w:rPr>
          <w:rFonts w:ascii="Inter" w:hAnsi="Inter" w:cs="Inter"/>
          <w:b w:val="0"/>
          <w:i w:val="0"/>
          <w:color w:val="2D2D2D"/>
          <w:sz w:val="22"/>
        </w:rPr>
      </w:r>
      <w:r>
        <w:rPr>
          <w:rFonts w:ascii="Inter" w:hAnsi="Inter" w:cs="Inter"/>
          <w:b/>
          <w:i w:val="0"/>
          <w:color w:val="2D2D2D"/>
          <w:sz w:val="22"/>
        </w:rPr>
        <w:t>Government-to-government (G2G):</w:t>
      </w:r>
      <w:r>
        <w:rPr>
          <w:rFonts w:ascii="Inter" w:hAnsi="Inter" w:cs="Inter"/>
          <w:b w:val="0"/>
          <w:i w:val="0"/>
          <w:color w:val="2D2D2D"/>
          <w:sz w:val="22"/>
        </w:rPr>
        <w:t xml:space="preserve"> Coordination with national agencies (e.g., the Department of Environment and Natural Resources, the Department of Agriculture's Regional Field Office for BARMM, the Department of Social Welfare and Development), with other Bangsamoro MOAs, or with constituent LGUs.</w:t>
      </w:r>
    </w:p>
    <w:p>
      <w:pPr>
        <w:pStyle w:val="ListBullet"/>
      </w:pPr>
      <w:r>
        <w:rPr>
          <w:rFonts w:ascii="Inter" w:hAnsi="Inter" w:cs="Inter"/>
          <w:b w:val="0"/>
          <w:i w:val="0"/>
          <w:color w:val="2D2D2D"/>
          <w:sz w:val="22"/>
        </w:rPr>
      </w:r>
      <w:r>
        <w:rPr>
          <w:rFonts w:ascii="Inter" w:hAnsi="Inter" w:cs="Inter"/>
          <w:b/>
          <w:i w:val="0"/>
          <w:color w:val="2D2D2D"/>
          <w:sz w:val="22"/>
        </w:rPr>
        <w:t>Development partner support:</w:t>
      </w:r>
      <w:r>
        <w:rPr>
          <w:rFonts w:ascii="Inter" w:hAnsi="Inter" w:cs="Inter"/>
          <w:b w:val="0"/>
          <w:i w:val="0"/>
          <w:color w:val="2D2D2D"/>
          <w:sz w:val="22"/>
        </w:rPr>
        <w:t xml:space="preserve"> Official development assistance from bilateral and multilateral agencies such as the United Nations Development Programme (UNDP), the Deutsche Gesellschaft für Internationale Zusammenarbeit (GIZ), the Japan International Cooperation Agency (JICA), or the Asian Development Bank (ADB).</w:t>
      </w:r>
    </w:p>
    <w:p>
      <w:pPr>
        <w:pStyle w:val="ListBullet"/>
      </w:pPr>
      <w:r>
        <w:rPr>
          <w:rFonts w:ascii="Inter" w:hAnsi="Inter" w:cs="Inter"/>
          <w:b w:val="0"/>
          <w:i w:val="0"/>
          <w:color w:val="2D2D2D"/>
          <w:sz w:val="22"/>
        </w:rPr>
      </w:r>
      <w:r>
        <w:rPr>
          <w:rFonts w:ascii="Inter" w:hAnsi="Inter" w:cs="Inter"/>
          <w:b/>
          <w:i w:val="0"/>
          <w:color w:val="2D2D2D"/>
          <w:sz w:val="22"/>
        </w:rPr>
        <w:t>Civil society and non-government organizations (CSOs/NGOs):</w:t>
      </w:r>
      <w:r>
        <w:rPr>
          <w:rFonts w:ascii="Inter" w:hAnsi="Inter" w:cs="Inter"/>
          <w:b w:val="0"/>
          <w:i w:val="0"/>
          <w:color w:val="2D2D2D"/>
          <w:sz w:val="22"/>
        </w:rPr>
        <w:t xml:space="preserve"> Community-based organizations, advocacy groups, and service-delivery NGOs that can extend your MOA's reach or provide specialized expertise.</w:t>
      </w:r>
    </w:p>
    <w:p>
      <w:pPr>
        <w:pStyle w:val="ListBullet"/>
      </w:pPr>
      <w:r>
        <w:rPr>
          <w:rFonts w:ascii="Inter" w:hAnsi="Inter" w:cs="Inter"/>
          <w:b w:val="0"/>
          <w:i w:val="0"/>
          <w:color w:val="2D2D2D"/>
          <w:sz w:val="22"/>
        </w:rPr>
      </w:r>
      <w:r>
        <w:rPr>
          <w:rFonts w:ascii="Inter" w:hAnsi="Inter" w:cs="Inter"/>
          <w:b/>
          <w:i w:val="0"/>
          <w:color w:val="2D2D2D"/>
          <w:sz w:val="22"/>
        </w:rPr>
        <w:t>Private sector:</w:t>
      </w:r>
      <w:r>
        <w:rPr>
          <w:rFonts w:ascii="Inter" w:hAnsi="Inter" w:cs="Inter"/>
          <w:b w:val="0"/>
          <w:i w:val="0"/>
          <w:color w:val="2D2D2D"/>
          <w:sz w:val="22"/>
        </w:rPr>
        <w:t xml:space="preserve"> Businesses, industry associations, or social enterprises that have resources or capacities relevant to your MOA's mandate.</w:t>
      </w:r>
    </w:p>
    <w:p>
      <w:pPr>
        <w:pStyle w:val="ListBullet"/>
      </w:pPr>
      <w:r>
        <w:rPr>
          <w:rFonts w:ascii="Inter" w:hAnsi="Inter" w:cs="Inter"/>
          <w:b w:val="0"/>
          <w:i w:val="0"/>
          <w:color w:val="2D2D2D"/>
          <w:sz w:val="22"/>
        </w:rPr>
      </w:r>
      <w:r>
        <w:rPr>
          <w:rFonts w:ascii="Inter" w:hAnsi="Inter" w:cs="Inter"/>
          <w:b/>
          <w:i w:val="0"/>
          <w:color w:val="2D2D2D"/>
          <w:sz w:val="22"/>
        </w:rPr>
        <w:t>Academic and research institutions:</w:t>
      </w:r>
      <w:r>
        <w:rPr>
          <w:rFonts w:ascii="Inter" w:hAnsi="Inter" w:cs="Inter"/>
          <w:b w:val="0"/>
          <w:i w:val="0"/>
          <w:color w:val="2D2D2D"/>
          <w:sz w:val="22"/>
        </w:rPr>
        <w:t xml:space="preserve"> Universities, research centers, and technical institutes that can provide expertise, conduct evaluations, or support training.</w:t>
      </w:r>
    </w:p>
    <w:p>
      <w:pPr>
        <w:pStyle w:val="Heading3"/>
      </w:pPr>
      <w:r>
        <w:rPr>
          <w:rFonts w:ascii="Inter" w:hAnsi="Inter" w:cs="Inter"/>
          <w:b/>
          <w:i w:val="0"/>
          <w:color w:val="2C5F7C"/>
          <w:sz w:val="26"/>
        </w:rPr>
        <w:t>The Plantilla</w:t>
      </w:r>
    </w:p>
    <w:p>
      <w:pPr>
        <w:spacing w:after="120" w:line="276" w:lineRule="auto"/>
      </w:pPr>
      <w:r>
        <w:rPr>
          <w:rFonts w:ascii="Inter" w:hAnsi="Inter" w:cs="Inter"/>
          <w:b w:val="0"/>
          <w:i w:val="0"/>
          <w:color w:val="2D2D2D"/>
          <w:sz w:val="22"/>
        </w:rPr>
        <w:t>The plantilla is your MOA's official staffing pattern — the list of all positions authorized by the Bangsamoro Civil Service Commission for the BARMM, showing which positions are currently filled and which are vacant. The plantilla is the starting point for human resource gap analysis.</w:t>
      </w:r>
    </w:p>
    <w:p>
      <w:pPr>
        <w:spacing w:after="120" w:line="276" w:lineRule="auto"/>
      </w:pPr>
      <w:r>
        <w:rPr>
          <w:rFonts w:ascii="Inter" w:hAnsi="Inter" w:cs="Inter"/>
          <w:b w:val="0"/>
          <w:i w:val="0"/>
          <w:color w:val="2D2D2D"/>
          <w:sz w:val="22"/>
        </w:rPr>
        <w:t>A position that is in the plantilla but unfilled is a staffing gap. A position that is filled but held by someone without the required competencies for a specific PPA is a competency gap. A position that does not exist in the plantilla at all is a structural gap — one that can only be addressed through a new position request, which requires budget authorization and CSC approval.</w:t>
      </w:r>
    </w:p>
    <w:p>
      <w:pPr>
        <w:spacing w:after="120" w:line="276" w:lineRule="auto"/>
      </w:pPr>
      <w:r>
        <w:rPr>
          <w:rFonts w:ascii="Inter" w:hAnsi="Inter" w:cs="Inter"/>
          <w:b w:val="0"/>
          <w:i w:val="0"/>
          <w:color w:val="2D2D2D"/>
          <w:sz w:val="22"/>
        </w:rPr>
        <w:t>Understanding the difference between these three gap types matters because the mitigation strategies are different. An unfilled plantilla position can potentially be recruited. A competency gap can be addressed through training and capacity building. A structural gap requires a longer process — and in the interim, the function may need to be contracted out or handled through a partnership.</w:t>
      </w:r>
    </w:p>
    <w:p>
      <w:pPr>
        <w:pStyle w:val="Heading3"/>
      </w:pPr>
      <w:r>
        <w:rPr>
          <w:rFonts w:ascii="Inter" w:hAnsi="Inter" w:cs="Inter"/>
          <w:b/>
          <w:i w:val="0"/>
          <w:color w:val="2C5F7C"/>
          <w:sz w:val="26"/>
        </w:rPr>
        <w:t>Resource Gap Analysis</w:t>
      </w:r>
    </w:p>
    <w:p>
      <w:pPr>
        <w:spacing w:after="120" w:line="276" w:lineRule="auto"/>
      </w:pPr>
      <w:r>
        <w:rPr>
          <w:rFonts w:ascii="Inter" w:hAnsi="Inter" w:cs="Inter"/>
          <w:b w:val="0"/>
          <w:i w:val="0"/>
          <w:color w:val="2D2D2D"/>
          <w:sz w:val="22"/>
        </w:rPr>
        <w:t>A resource gap analysis compares what each PPA requires against what your MOA currently has. The output is a clear picture of:</w:t>
      </w:r>
    </w:p>
    <w:p>
      <w:pPr>
        <w:pStyle w:val="ListBullet"/>
      </w:pPr>
      <w:r>
        <w:rPr>
          <w:rFonts w:ascii="Inter" w:hAnsi="Inter" w:cs="Inter"/>
          <w:b w:val="0"/>
          <w:i w:val="0"/>
          <w:color w:val="2D2D2D"/>
          <w:sz w:val="22"/>
        </w:rPr>
        <w:t>Which PPAs are fully resourced (you have everything you need)</w:t>
      </w:r>
    </w:p>
    <w:p>
      <w:pPr>
        <w:pStyle w:val="ListBullet"/>
      </w:pPr>
      <w:r>
        <w:rPr>
          <w:rFonts w:ascii="Inter" w:hAnsi="Inter" w:cs="Inter"/>
          <w:b w:val="0"/>
          <w:i w:val="0"/>
          <w:color w:val="2D2D2D"/>
          <w:sz w:val="22"/>
        </w:rPr>
        <w:t>Which PPAs are partially resourced (you have some but not all resources)</w:t>
      </w:r>
    </w:p>
    <w:p>
      <w:pPr>
        <w:pStyle w:val="ListBullet"/>
      </w:pPr>
      <w:r>
        <w:rPr>
          <w:rFonts w:ascii="Inter" w:hAnsi="Inter" w:cs="Inter"/>
          <w:b w:val="0"/>
          <w:i w:val="0"/>
          <w:color w:val="2D2D2D"/>
          <w:sz w:val="22"/>
        </w:rPr>
        <w:t>Which PPAs are under-resourced (significant gaps exist)</w:t>
      </w:r>
    </w:p>
    <w:p>
      <w:pPr>
        <w:pStyle w:val="ListBullet"/>
      </w:pPr>
      <w:r>
        <w:rPr>
          <w:rFonts w:ascii="Inter" w:hAnsi="Inter" w:cs="Inter"/>
          <w:b w:val="0"/>
          <w:i w:val="0"/>
          <w:color w:val="2D2D2D"/>
          <w:sz w:val="22"/>
        </w:rPr>
        <w:t>Which PPAs cannot be implemented without additional resources</w:t>
      </w:r>
    </w:p>
    <w:p>
      <w:pPr>
        <w:spacing w:after="120" w:line="276" w:lineRule="auto"/>
      </w:pPr>
      <w:r>
        <w:rPr>
          <w:rFonts w:ascii="Inter" w:hAnsi="Inter" w:cs="Inter"/>
          <w:b w:val="0"/>
          <w:i w:val="0"/>
          <w:color w:val="2D2D2D"/>
          <w:sz w:val="22"/>
        </w:rPr>
        <w:t>The gap analysis does not stop at identification. For each gap, you must determine a mitigation strategy: recruit and hire, train existing staff, contract out, build a partnership, phase implementation, or reduce scope.</w:t>
      </w:r>
    </w:p>
    <w:p>
      <w:pPr>
        <w:pStyle w:val="Heading3"/>
      </w:pPr>
      <w:r>
        <w:rPr>
          <w:rFonts w:ascii="Inter" w:hAnsi="Inter" w:cs="Inter"/>
          <w:b/>
          <w:i w:val="0"/>
          <w:color w:val="2C5F7C"/>
          <w:sz w:val="26"/>
        </w:rPr>
        <w:t>Budget Linkage and Expenditure Classes</w:t>
      </w:r>
    </w:p>
    <w:p>
      <w:pPr>
        <w:spacing w:after="120" w:line="276" w:lineRule="auto"/>
      </w:pPr>
      <w:r>
        <w:rPr>
          <w:rFonts w:ascii="Inter" w:hAnsi="Inter" w:cs="Inter"/>
          <w:b w:val="0"/>
          <w:i w:val="0"/>
          <w:color w:val="2D2D2D"/>
          <w:sz w:val="22"/>
        </w:rPr>
        <w:t>Under BAA No. 84, all appropriations must be classified into four expenditure classes: Personnel Services (PS), Maintenance and Other Operating Expenses (MOOE), Financial Expenses (FE), and Capital Outlays (CO).[^5] Your resource requirements map directly to these classes:</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Resource Type</w:t>
            </w:r>
          </w:p>
        </w:tc>
        <w:tc>
          <w:tcPr>
            <w:tcW w:type="dxa" w:w="4680"/>
            <w:shd w:fill="1B365D"/>
          </w:tcPr>
          <w:p>
            <w:r/>
            <w:r>
              <w:rPr>
                <w:rFonts w:ascii="Inter" w:hAnsi="Inter" w:cs="Inter"/>
                <w:b/>
                <w:i w:val="0"/>
                <w:color w:val="FFFFFF"/>
                <w:sz w:val="19"/>
              </w:rPr>
              <w:t>Expenditure Class</w:t>
            </w:r>
          </w:p>
        </w:tc>
      </w:tr>
      <w:tr>
        <w:tc>
          <w:tcPr>
            <w:tcW w:type="dxa" w:w="4680"/>
          </w:tcPr>
          <w:p>
            <w:r/>
            <w:r>
              <w:rPr>
                <w:rFonts w:ascii="Inter" w:hAnsi="Inter" w:cs="Inter"/>
                <w:b w:val="0"/>
                <w:i w:val="0"/>
                <w:color w:val="2D2D2D"/>
                <w:sz w:val="19"/>
              </w:rPr>
              <w:t>Salaries, wages, allowances, step increments</w:t>
            </w:r>
          </w:p>
        </w:tc>
        <w:tc>
          <w:tcPr>
            <w:tcW w:type="dxa" w:w="4680"/>
          </w:tcPr>
          <w:p>
            <w:r/>
            <w:r>
              <w:rPr>
                <w:rFonts w:ascii="Inter" w:hAnsi="Inter" w:cs="Inter"/>
                <w:b w:val="0"/>
                <w:i w:val="0"/>
                <w:color w:val="2D2D2D"/>
                <w:sz w:val="19"/>
              </w:rPr>
              <w:t>Personnel Services (PS)</w:t>
            </w:r>
          </w:p>
        </w:tc>
      </w:tr>
      <w:tr>
        <w:tc>
          <w:tcPr>
            <w:tcW w:type="dxa" w:w="4680"/>
            <w:shd w:fill="F0F3F6"/>
          </w:tcPr>
          <w:p>
            <w:r/>
            <w:r>
              <w:rPr>
                <w:rFonts w:ascii="Inter" w:hAnsi="Inter" w:cs="Inter"/>
                <w:b w:val="0"/>
                <w:i w:val="0"/>
                <w:color w:val="2D2D2D"/>
                <w:sz w:val="19"/>
              </w:rPr>
              <w:t>Supplies, materials, fuel, travel, utilities</w:t>
            </w:r>
          </w:p>
        </w:tc>
        <w:tc>
          <w:tcPr>
            <w:tcW w:type="dxa" w:w="4680"/>
            <w:shd w:fill="F0F3F6"/>
          </w:tcPr>
          <w:p>
            <w:r/>
            <w:r>
              <w:rPr>
                <w:rFonts w:ascii="Inter" w:hAnsi="Inter" w:cs="Inter"/>
                <w:b w:val="0"/>
                <w:i w:val="0"/>
                <w:color w:val="2D2D2D"/>
                <w:sz w:val="19"/>
              </w:rPr>
              <w:t>MOOE</w:t>
            </w:r>
          </w:p>
        </w:tc>
      </w:tr>
      <w:tr>
        <w:tc>
          <w:tcPr>
            <w:tcW w:type="dxa" w:w="4680"/>
          </w:tcPr>
          <w:p>
            <w:r/>
            <w:r>
              <w:rPr>
                <w:rFonts w:ascii="Inter" w:hAnsi="Inter" w:cs="Inter"/>
                <w:b w:val="0"/>
                <w:i w:val="0"/>
                <w:color w:val="2D2D2D"/>
                <w:sz w:val="19"/>
              </w:rPr>
              <w:t>Equipment, vehicles, furniture (lifespan &gt; 1 year)</w:t>
            </w:r>
          </w:p>
        </w:tc>
        <w:tc>
          <w:tcPr>
            <w:tcW w:type="dxa" w:w="4680"/>
          </w:tcPr>
          <w:p>
            <w:r/>
            <w:r>
              <w:rPr>
                <w:rFonts w:ascii="Inter" w:hAnsi="Inter" w:cs="Inter"/>
                <w:b w:val="0"/>
                <w:i w:val="0"/>
                <w:color w:val="2D2D2D"/>
                <w:sz w:val="19"/>
              </w:rPr>
              <w:t>Capital Outlays (CO)</w:t>
            </w:r>
          </w:p>
        </w:tc>
      </w:tr>
      <w:tr>
        <w:tc>
          <w:tcPr>
            <w:tcW w:type="dxa" w:w="4680"/>
            <w:shd w:fill="F0F3F6"/>
          </w:tcPr>
          <w:p>
            <w:r/>
            <w:r>
              <w:rPr>
                <w:rFonts w:ascii="Inter" w:hAnsi="Inter" w:cs="Inter"/>
                <w:b w:val="0"/>
                <w:i w:val="0"/>
                <w:color w:val="2D2D2D"/>
                <w:sz w:val="19"/>
              </w:rPr>
              <w:t>Leased facilities, contracted services</w:t>
            </w:r>
          </w:p>
        </w:tc>
        <w:tc>
          <w:tcPr>
            <w:tcW w:type="dxa" w:w="4680"/>
            <w:shd w:fill="F0F3F6"/>
          </w:tcPr>
          <w:p>
            <w:r/>
            <w:r>
              <w:rPr>
                <w:rFonts w:ascii="Inter" w:hAnsi="Inter" w:cs="Inter"/>
                <w:b w:val="0"/>
                <w:i w:val="0"/>
                <w:color w:val="2D2D2D"/>
                <w:sz w:val="19"/>
              </w:rPr>
              <w:t>MOOE</w:t>
            </w:r>
          </w:p>
        </w:tc>
      </w:tr>
      <w:tr>
        <w:tc>
          <w:tcPr>
            <w:tcW w:type="dxa" w:w="4680"/>
          </w:tcPr>
          <w:p>
            <w:r/>
            <w:r>
              <w:rPr>
                <w:rFonts w:ascii="Inter" w:hAnsi="Inter" w:cs="Inter"/>
                <w:b w:val="0"/>
                <w:i w:val="0"/>
                <w:color w:val="2D2D2D"/>
                <w:sz w:val="19"/>
              </w:rPr>
              <w:t>Training and capacity building</w:t>
            </w:r>
          </w:p>
        </w:tc>
        <w:tc>
          <w:tcPr>
            <w:tcW w:type="dxa" w:w="4680"/>
          </w:tcPr>
          <w:p>
            <w:r/>
            <w:r>
              <w:rPr>
                <w:rFonts w:ascii="Inter" w:hAnsi="Inter" w:cs="Inter"/>
                <w:b w:val="0"/>
                <w:i w:val="0"/>
                <w:color w:val="2D2D2D"/>
                <w:sz w:val="19"/>
              </w:rPr>
              <w:t>MOOE</w:t>
            </w:r>
          </w:p>
        </w:tc>
      </w:tr>
      <w:tr>
        <w:tc>
          <w:tcPr>
            <w:tcW w:type="dxa" w:w="4680"/>
            <w:shd w:fill="F0F3F6"/>
          </w:tcPr>
          <w:p>
            <w:r/>
            <w:r>
              <w:rPr>
                <w:rFonts w:ascii="Inter" w:hAnsi="Inter" w:cs="Inter"/>
                <w:b w:val="0"/>
                <w:i w:val="0"/>
                <w:color w:val="2D2D2D"/>
                <w:sz w:val="19"/>
              </w:rPr>
              <w:t>Interest and bank charges</w:t>
            </w:r>
          </w:p>
        </w:tc>
        <w:tc>
          <w:tcPr>
            <w:tcW w:type="dxa" w:w="4680"/>
            <w:shd w:fill="F0F3F6"/>
          </w:tcPr>
          <w:p>
            <w:r/>
            <w:r>
              <w:rPr>
                <w:rFonts w:ascii="Inter" w:hAnsi="Inter" w:cs="Inter"/>
                <w:b w:val="0"/>
                <w:i w:val="0"/>
                <w:color w:val="2D2D2D"/>
                <w:sz w:val="19"/>
              </w:rPr>
              <w:t>Financial Expenses (FE)</w:t>
            </w:r>
          </w:p>
        </w:tc>
      </w:tr>
    </w:tbl>
    <w:p/>
    <w:p>
      <w:pPr>
        <w:spacing w:after="120" w:line="276" w:lineRule="auto"/>
      </w:pPr>
      <w:r>
        <w:rPr>
          <w:rFonts w:ascii="Inter" w:hAnsi="Inter" w:cs="Inter"/>
          <w:b w:val="0"/>
          <w:i w:val="0"/>
          <w:color w:val="2D2D2D"/>
          <w:sz w:val="22"/>
        </w:rPr>
        <w:t>The MFBM monitors PS spending as a proportion of total budget — MOAs are expected to stay within budget ceilings set in the annual Budget Call.[^6] Resource planning that inflates PS (by requesting many new positions) while neglecting MOOE and CO (the resources staff actually need to do the work) is a common and costly mistake. You cannot deliver a field program if your foresters have salaries but no vehicles.</w:t>
      </w:r>
    </w:p>
    <w:p>
      <w:pPr>
        <w:pStyle w:val="Heading3"/>
      </w:pPr>
      <w:r>
        <w:rPr>
          <w:rFonts w:ascii="Inter" w:hAnsi="Inter" w:cs="Inter"/>
          <w:b/>
          <w:i w:val="0"/>
          <w:color w:val="2C5F7C"/>
          <w:sz w:val="26"/>
        </w:rPr>
        <w:t>Cost Estimation Methods</w:t>
      </w:r>
    </w:p>
    <w:p>
      <w:pPr>
        <w:spacing w:after="120" w:line="276" w:lineRule="auto"/>
      </w:pPr>
      <w:r>
        <w:rPr>
          <w:rFonts w:ascii="Inter" w:hAnsi="Inter" w:cs="Inter"/>
          <w:b w:val="0"/>
          <w:i w:val="0"/>
          <w:color w:val="2D2D2D"/>
          <w:sz w:val="22"/>
        </w:rPr>
        <w:t>There are three practical methods for estimating resource costs at the PPA level:</w:t>
      </w:r>
    </w:p>
    <w:p>
      <w:pPr>
        <w:spacing w:after="120" w:line="276" w:lineRule="auto"/>
      </w:pPr>
      <w:r>
        <w:rPr>
          <w:rFonts w:ascii="Inter" w:hAnsi="Inter" w:cs="Inter"/>
          <w:b w:val="0"/>
          <w:i w:val="0"/>
          <w:color w:val="2D2D2D"/>
          <w:sz w:val="22"/>
        </w:rPr>
      </w:r>
      <w:r>
        <w:rPr>
          <w:rFonts w:ascii="Inter" w:hAnsi="Inter" w:cs="Inter"/>
          <w:b/>
          <w:i w:val="0"/>
          <w:color w:val="2D2D2D"/>
          <w:sz w:val="22"/>
        </w:rPr>
        <w:t>Historical method:</w:t>
      </w:r>
      <w:r>
        <w:rPr>
          <w:rFonts w:ascii="Inter" w:hAnsi="Inter" w:cs="Inter"/>
          <w:b w:val="0"/>
          <w:i w:val="0"/>
          <w:color w:val="2D2D2D"/>
          <w:sz w:val="22"/>
        </w:rPr>
        <w:t xml:space="preserve"> Use last year's actual expenditures for a similar PPA or activity as your baseline. Adjust for inflation, scope changes, or known cost drivers. This is the fastest method and is most reliable when the PPA closely resembles something your MOA has done before.</w:t>
      </w:r>
    </w:p>
    <w:p>
      <w:pPr>
        <w:spacing w:after="120" w:line="276" w:lineRule="auto"/>
      </w:pPr>
      <w:r>
        <w:rPr>
          <w:rFonts w:ascii="Inter" w:hAnsi="Inter" w:cs="Inter"/>
          <w:b w:val="0"/>
          <w:i w:val="0"/>
          <w:color w:val="2D2D2D"/>
          <w:sz w:val="22"/>
        </w:rPr>
      </w:r>
      <w:r>
        <w:rPr>
          <w:rFonts w:ascii="Inter" w:hAnsi="Inter" w:cs="Inter"/>
          <w:b/>
          <w:i w:val="0"/>
          <w:color w:val="2D2D2D"/>
          <w:sz w:val="22"/>
        </w:rPr>
        <w:t>Parametric method:</w:t>
      </w:r>
      <w:r>
        <w:rPr>
          <w:rFonts w:ascii="Inter" w:hAnsi="Inter" w:cs="Inter"/>
          <w:b w:val="0"/>
          <w:i w:val="0"/>
          <w:color w:val="2D2D2D"/>
          <w:sz w:val="22"/>
        </w:rPr>
        <w:t xml:space="preserve"> Identify a unit cost (cost per beneficiary, cost per training session, cost per monitoring station) and multiply by the planned quantity. For example, if a community consultation costs approximately ₱25,000 to organize (venue, materials, meals, transportation), and your PPA requires 12 consultations, your parametric estimate is ₱300,000. The reliability of this method depends on the accuracy of your unit cost benchmark.</w:t>
      </w:r>
    </w:p>
    <w:p>
      <w:pPr>
        <w:spacing w:after="120" w:line="276" w:lineRule="auto"/>
      </w:pPr>
      <w:r>
        <w:rPr>
          <w:rFonts w:ascii="Inter" w:hAnsi="Inter" w:cs="Inter"/>
          <w:b w:val="0"/>
          <w:i w:val="0"/>
          <w:color w:val="2D2D2D"/>
          <w:sz w:val="22"/>
        </w:rPr>
      </w:r>
      <w:r>
        <w:rPr>
          <w:rFonts w:ascii="Inter" w:hAnsi="Inter" w:cs="Inter"/>
          <w:b/>
          <w:i w:val="0"/>
          <w:color w:val="2D2D2D"/>
          <w:sz w:val="22"/>
        </w:rPr>
        <w:t>Bottom-up method:</w:t>
      </w:r>
      <w:r>
        <w:rPr>
          <w:rFonts w:ascii="Inter" w:hAnsi="Inter" w:cs="Inter"/>
          <w:b w:val="0"/>
          <w:i w:val="0"/>
          <w:color w:val="2D2D2D"/>
          <w:sz w:val="22"/>
        </w:rPr>
        <w:t xml:space="preserve"> Build the estimate line by line, starting from each individual input. List every position needed, every piece of equipment, every supply, every travel requirement. This is the most time-intensive method but produces the most defensible estimate — especially for new or complex PPAs with no historical baseline.</w:t>
      </w:r>
    </w:p>
    <w:p>
      <w:pPr>
        <w:spacing w:after="120" w:line="276" w:lineRule="auto"/>
      </w:pPr>
      <w:r>
        <w:rPr>
          <w:rFonts w:ascii="Inter" w:hAnsi="Inter" w:cs="Inter"/>
          <w:b w:val="0"/>
          <w:i w:val="0"/>
          <w:color w:val="2D2D2D"/>
          <w:sz w:val="22"/>
        </w:rPr>
        <w:t>For the resource planning stage of your strategic plan, use the parametric method for rough estimates and the bottom-up method for PPAs that are large, new, or technically complex. You will refine all estimates during annual budget preparation.</w:t>
      </w:r>
    </w:p>
    <w:p>
      <w:pPr>
        <w:pStyle w:val="Heading2"/>
      </w:pPr>
      <w:r>
        <w:rPr>
          <w:rFonts w:ascii="Inter" w:hAnsi="Inter" w:cs="Inter"/>
          <w:b/>
          <w:i w:val="0"/>
          <w:color w:val="1B365D"/>
          <w:sz w:val="32"/>
        </w:rPr>
        <w:t>9.3 Step-by-Step Instructions</w:t>
      </w:r>
    </w:p>
    <w:p>
      <w:pPr>
        <w:pStyle w:val="Heading3"/>
      </w:pPr>
      <w:r>
        <w:rPr>
          <w:rFonts w:ascii="Inter" w:hAnsi="Inter" w:cs="Inter"/>
          <w:b/>
          <w:i w:val="0"/>
          <w:color w:val="2C5F7C"/>
          <w:sz w:val="26"/>
        </w:rPr>
        <w:t>Step 1: List Human Resource Requirements for Each PPA</w:t>
      </w:r>
    </w:p>
    <w:p>
      <w:pPr>
        <w:spacing w:after="120" w:line="276" w:lineRule="auto"/>
      </w:pPr>
      <w:r>
        <w:rPr>
          <w:rFonts w:ascii="Inter" w:hAnsi="Inter" w:cs="Inter"/>
          <w:b w:val="0"/>
          <w:i w:val="0"/>
          <w:color w:val="2D2D2D"/>
          <w:sz w:val="22"/>
        </w:rPr>
        <w:t xml:space="preserve">Take each PPA from your PPA Design Matrix (Chapter 8). For each one, ask: </w:t>
      </w:r>
      <w:r>
        <w:rPr>
          <w:rFonts w:ascii="Inter" w:hAnsi="Inter" w:cs="Inter"/>
          <w:b/>
          <w:i w:val="0"/>
          <w:color w:val="2D2D2D"/>
          <w:sz w:val="22"/>
        </w:rPr>
        <w:t>What positions are needed to implement this PPA?</w:t>
      </w:r>
      <w:r>
        <w:rPr>
          <w:rFonts w:ascii="Inter" w:hAnsi="Inter" w:cs="Inter"/>
          <w:b w:val="0"/>
          <w:i w:val="0"/>
          <w:color w:val="2D2D2D"/>
          <w:sz w:val="22"/>
        </w:rPr>
      </w:r>
    </w:p>
    <w:p>
      <w:pPr>
        <w:spacing w:after="120" w:line="276" w:lineRule="auto"/>
      </w:pPr>
      <w:r>
        <w:rPr>
          <w:rFonts w:ascii="Inter" w:hAnsi="Inter" w:cs="Inter"/>
          <w:b w:val="0"/>
          <w:i w:val="0"/>
          <w:color w:val="2D2D2D"/>
          <w:sz w:val="22"/>
        </w:rPr>
        <w:t>List the positions by title. Specify the required quantity of each position. Estimate the time allocation — what percentage of a position's full working time will be devoted to this PPA? A single position may be split across multiple PPAs. A Forester II may spend 60% of their time on a reforestation PPA and 40% on a forest monitoring PPA — yielding 0.6 FTE and 0.4 FTE, respectively.</w:t>
      </w:r>
    </w:p>
    <w:p>
      <w:pPr>
        <w:spacing w:after="120" w:line="276" w:lineRule="auto"/>
      </w:pPr>
      <w:r>
        <w:rPr>
          <w:rFonts w:ascii="Inter" w:hAnsi="Inter" w:cs="Inter"/>
          <w:b w:val="0"/>
          <w:i w:val="0"/>
          <w:color w:val="2D2D2D"/>
          <w:sz w:val="22"/>
        </w:rPr>
        <w:t>For each position, identify the core competencies required: technical skills, managerial skills, and domain knowledge. Be specific enough to be useful. "Forestry knowledge" is not a competency specification. "GIS mapping and spatial data analysis at intermediate level" is.</w:t>
      </w:r>
    </w:p>
    <w:p>
      <w:pPr>
        <w:spacing w:after="120" w:line="276" w:lineRule="auto"/>
      </w:pPr>
      <w:r>
        <w:rPr>
          <w:rFonts w:ascii="Inter" w:hAnsi="Inter" w:cs="Inter"/>
          <w:b w:val="0"/>
          <w:i w:val="0"/>
          <w:color w:val="2D2D2D"/>
          <w:sz w:val="22"/>
        </w:rPr>
        <w:t>Record this information in the Resource Requirements Matrix (Section 9.7).</w:t>
      </w:r>
    </w:p>
    <w:p>
      <w:pPr>
        <w:pStyle w:val="Heading3"/>
      </w:pPr>
      <w:r>
        <w:rPr>
          <w:rFonts w:ascii="Inter" w:hAnsi="Inter" w:cs="Inter"/>
          <w:b/>
          <w:i w:val="0"/>
          <w:color w:val="2C5F7C"/>
          <w:sz w:val="26"/>
        </w:rPr>
        <w:t>Step 2: Compare Against Your Current Plantilla</w:t>
      </w:r>
    </w:p>
    <w:p>
      <w:pPr>
        <w:spacing w:after="120" w:line="276" w:lineRule="auto"/>
      </w:pPr>
      <w:r>
        <w:rPr>
          <w:rFonts w:ascii="Inter" w:hAnsi="Inter" w:cs="Inter"/>
          <w:b w:val="0"/>
          <w:i w:val="0"/>
          <w:color w:val="2D2D2D"/>
          <w:sz w:val="22"/>
        </w:rPr>
        <w:t>For each position you have identified, check your current plantilla:</w:t>
      </w:r>
    </w:p>
    <w:p>
      <w:pPr>
        <w:pStyle w:val="ListBullet"/>
      </w:pPr>
      <w:r>
        <w:rPr>
          <w:rFonts w:ascii="Inter" w:hAnsi="Inter" w:cs="Inter"/>
          <w:b w:val="0"/>
          <w:i w:val="0"/>
          <w:color w:val="2D2D2D"/>
          <w:sz w:val="22"/>
        </w:rPr>
        <w:t>Is this position authorized? (Is it in the plantilla at all?)</w:t>
      </w:r>
    </w:p>
    <w:p>
      <w:pPr>
        <w:pStyle w:val="ListBullet"/>
      </w:pPr>
      <w:r>
        <w:rPr>
          <w:rFonts w:ascii="Inter" w:hAnsi="Inter" w:cs="Inter"/>
          <w:b w:val="0"/>
          <w:i w:val="0"/>
          <w:color w:val="2D2D2D"/>
          <w:sz w:val="22"/>
        </w:rPr>
        <w:t>If authorized, is it filled?</w:t>
      </w:r>
    </w:p>
    <w:p>
      <w:pPr>
        <w:pStyle w:val="ListBullet"/>
      </w:pPr>
      <w:r>
        <w:rPr>
          <w:rFonts w:ascii="Inter" w:hAnsi="Inter" w:cs="Inter"/>
          <w:b w:val="0"/>
          <w:i w:val="0"/>
          <w:color w:val="2D2D2D"/>
          <w:sz w:val="22"/>
        </w:rPr>
        <w:t>If filled, does the incumbent have the competencies required for this PPA?</w:t>
      </w:r>
    </w:p>
    <w:p>
      <w:pPr>
        <w:spacing w:after="120" w:line="276" w:lineRule="auto"/>
      </w:pPr>
      <w:r>
        <w:rPr>
          <w:rFonts w:ascii="Inter" w:hAnsi="Inter" w:cs="Inter"/>
          <w:b w:val="0"/>
          <w:i w:val="0"/>
          <w:color w:val="2D2D2D"/>
          <w:sz w:val="22"/>
        </w:rPr>
        <w:t>This comparison produces three types of gaps:</w:t>
      </w:r>
    </w:p>
    <w:p>
      <w:pPr>
        <w:pStyle w:val="ListBullet"/>
      </w:pPr>
      <w:r>
        <w:rPr>
          <w:rFonts w:ascii="Inter" w:hAnsi="Inter" w:cs="Inter"/>
          <w:b w:val="0"/>
          <w:i w:val="0"/>
          <w:color w:val="2D2D2D"/>
          <w:sz w:val="22"/>
        </w:rPr>
      </w:r>
      <w:r>
        <w:rPr>
          <w:rFonts w:ascii="Inter" w:hAnsi="Inter" w:cs="Inter"/>
          <w:b/>
          <w:i w:val="0"/>
          <w:color w:val="2D2D2D"/>
          <w:sz w:val="22"/>
        </w:rPr>
        <w:t>Structural gap:</w:t>
      </w:r>
      <w:r>
        <w:rPr>
          <w:rFonts w:ascii="Inter" w:hAnsi="Inter" w:cs="Inter"/>
          <w:b w:val="0"/>
          <w:i w:val="0"/>
          <w:color w:val="2D2D2D"/>
          <w:sz w:val="22"/>
        </w:rPr>
        <w:t xml:space="preserve"> Position not in the plantilla — needs to be created through a budget request and CSC process.</w:t>
      </w:r>
    </w:p>
    <w:p>
      <w:pPr>
        <w:pStyle w:val="ListBullet"/>
      </w:pPr>
      <w:r>
        <w:rPr>
          <w:rFonts w:ascii="Inter" w:hAnsi="Inter" w:cs="Inter"/>
          <w:b w:val="0"/>
          <w:i w:val="0"/>
          <w:color w:val="2D2D2D"/>
          <w:sz w:val="22"/>
        </w:rPr>
      </w:r>
      <w:r>
        <w:rPr>
          <w:rFonts w:ascii="Inter" w:hAnsi="Inter" w:cs="Inter"/>
          <w:b/>
          <w:i w:val="0"/>
          <w:color w:val="2D2D2D"/>
          <w:sz w:val="22"/>
        </w:rPr>
        <w:t>Vacancy gap:</w:t>
      </w:r>
      <w:r>
        <w:rPr>
          <w:rFonts w:ascii="Inter" w:hAnsi="Inter" w:cs="Inter"/>
          <w:b w:val="0"/>
          <w:i w:val="0"/>
          <w:color w:val="2D2D2D"/>
          <w:sz w:val="22"/>
        </w:rPr>
        <w:t xml:space="preserve"> Position is authorized but unfilled — can potentially be recruited.</w:t>
      </w:r>
    </w:p>
    <w:p>
      <w:pPr>
        <w:pStyle w:val="ListBullet"/>
      </w:pPr>
      <w:r>
        <w:rPr>
          <w:rFonts w:ascii="Inter" w:hAnsi="Inter" w:cs="Inter"/>
          <w:b w:val="0"/>
          <w:i w:val="0"/>
          <w:color w:val="2D2D2D"/>
          <w:sz w:val="22"/>
        </w:rPr>
      </w:r>
      <w:r>
        <w:rPr>
          <w:rFonts w:ascii="Inter" w:hAnsi="Inter" w:cs="Inter"/>
          <w:b/>
          <w:i w:val="0"/>
          <w:color w:val="2D2D2D"/>
          <w:sz w:val="22"/>
        </w:rPr>
        <w:t>Competency gap:</w:t>
      </w:r>
      <w:r>
        <w:rPr>
          <w:rFonts w:ascii="Inter" w:hAnsi="Inter" w:cs="Inter"/>
          <w:b w:val="0"/>
          <w:i w:val="0"/>
          <w:color w:val="2D2D2D"/>
          <w:sz w:val="22"/>
        </w:rPr>
        <w:t xml:space="preserve"> Position is filled but incumbent lacks required competencies — can be addressed through training and capacity building.</w:t>
      </w:r>
    </w:p>
    <w:p>
      <w:pPr>
        <w:spacing w:after="120" w:line="276" w:lineRule="auto"/>
      </w:pPr>
      <w:r>
        <w:rPr>
          <w:rFonts w:ascii="Inter" w:hAnsi="Inter" w:cs="Inter"/>
          <w:b w:val="0"/>
          <w:i w:val="0"/>
          <w:color w:val="2D2D2D"/>
          <w:sz w:val="22"/>
        </w:rPr>
        <w:t>Document each gap type separately in the matrix. They require different mitigation strategies and different timelines.</w:t>
      </w:r>
    </w:p>
    <w:p>
      <w:pPr>
        <w:pStyle w:val="Heading3"/>
      </w:pPr>
      <w:r>
        <w:rPr>
          <w:rFonts w:ascii="Inter" w:hAnsi="Inter" w:cs="Inter"/>
          <w:b/>
          <w:i w:val="0"/>
          <w:color w:val="2C5F7C"/>
          <w:sz w:val="26"/>
        </w:rPr>
        <w:t>Step 3: Determine Gap Mitigation Strategies</w:t>
      </w:r>
    </w:p>
    <w:p>
      <w:pPr>
        <w:spacing w:after="120" w:line="276" w:lineRule="auto"/>
      </w:pPr>
      <w:r>
        <w:rPr>
          <w:rFonts w:ascii="Inter" w:hAnsi="Inter" w:cs="Inter"/>
          <w:b w:val="0"/>
          <w:i w:val="0"/>
          <w:color w:val="2D2D2D"/>
          <w:sz w:val="22"/>
        </w:rPr>
        <w:t>For each human resource gap, select one or more mitigation strategies:</w:t>
      </w:r>
    </w:p>
    <w:p>
      <w:pPr>
        <w:pStyle w:val="ListBullet"/>
      </w:pPr>
      <w:r>
        <w:rPr>
          <w:rFonts w:ascii="Inter" w:hAnsi="Inter" w:cs="Inter"/>
          <w:b w:val="0"/>
          <w:i w:val="0"/>
          <w:color w:val="2D2D2D"/>
          <w:sz w:val="22"/>
        </w:rPr>
      </w:r>
      <w:r>
        <w:rPr>
          <w:rFonts w:ascii="Inter" w:hAnsi="Inter" w:cs="Inter"/>
          <w:b/>
          <w:i w:val="0"/>
          <w:color w:val="2D2D2D"/>
          <w:sz w:val="22"/>
        </w:rPr>
        <w:t>Recruit and hire:</w:t>
      </w:r>
      <w:r>
        <w:rPr>
          <w:rFonts w:ascii="Inter" w:hAnsi="Inter" w:cs="Inter"/>
          <w:b w:val="0"/>
          <w:i w:val="0"/>
          <w:color w:val="2D2D2D"/>
          <w:sz w:val="22"/>
        </w:rPr>
        <w:t xml:space="preserve"> For vacancy gaps where a filled position is both authorized and needed. Factor in recruitment lead time — typically three to six months in BARMM's civil service context.</w:t>
      </w:r>
    </w:p>
    <w:p>
      <w:pPr>
        <w:pStyle w:val="ListBullet"/>
      </w:pPr>
      <w:r>
        <w:rPr>
          <w:rFonts w:ascii="Inter" w:hAnsi="Inter" w:cs="Inter"/>
          <w:b w:val="0"/>
          <w:i w:val="0"/>
          <w:color w:val="2D2D2D"/>
          <w:sz w:val="22"/>
        </w:rPr>
      </w:r>
      <w:r>
        <w:rPr>
          <w:rFonts w:ascii="Inter" w:hAnsi="Inter" w:cs="Inter"/>
          <w:b/>
          <w:i w:val="0"/>
          <w:color w:val="2D2D2D"/>
          <w:sz w:val="22"/>
        </w:rPr>
        <w:t>Train existing staff:</w:t>
      </w:r>
      <w:r>
        <w:rPr>
          <w:rFonts w:ascii="Inter" w:hAnsi="Inter" w:cs="Inter"/>
          <w:b w:val="0"/>
          <w:i w:val="0"/>
          <w:color w:val="2D2D2D"/>
          <w:sz w:val="22"/>
        </w:rPr>
        <w:t xml:space="preserve"> For competency gaps where the position is filled but skills are lacking. Identify specific training programs, estimated duration, and cost. Training costs fall under MOOE.</w:t>
      </w:r>
    </w:p>
    <w:p>
      <w:pPr>
        <w:pStyle w:val="ListBullet"/>
      </w:pPr>
      <w:r>
        <w:rPr>
          <w:rFonts w:ascii="Inter" w:hAnsi="Inter" w:cs="Inter"/>
          <w:b w:val="0"/>
          <w:i w:val="0"/>
          <w:color w:val="2D2D2D"/>
          <w:sz w:val="22"/>
        </w:rPr>
      </w:r>
      <w:r>
        <w:rPr>
          <w:rFonts w:ascii="Inter" w:hAnsi="Inter" w:cs="Inter"/>
          <w:b/>
          <w:i w:val="0"/>
          <w:color w:val="2D2D2D"/>
          <w:sz w:val="22"/>
        </w:rPr>
        <w:t>Contract out:</w:t>
      </w:r>
      <w:r>
        <w:rPr>
          <w:rFonts w:ascii="Inter" w:hAnsi="Inter" w:cs="Inter"/>
          <w:b w:val="0"/>
          <w:i w:val="0"/>
          <w:color w:val="2D2D2D"/>
          <w:sz w:val="22"/>
        </w:rPr>
        <w:t xml:space="preserve"> For structural or vacancy gaps where a new permanent position is not feasible. Contract arrangements (job order, consultancy) are faster to establish but are capped by DBM and MFBM rules on contract staff ratios and ceilings.</w:t>
      </w:r>
    </w:p>
    <w:p>
      <w:pPr>
        <w:pStyle w:val="ListBullet"/>
      </w:pPr>
      <w:r>
        <w:rPr>
          <w:rFonts w:ascii="Inter" w:hAnsi="Inter" w:cs="Inter"/>
          <w:b w:val="0"/>
          <w:i w:val="0"/>
          <w:color w:val="2D2D2D"/>
          <w:sz w:val="22"/>
        </w:rPr>
      </w:r>
      <w:r>
        <w:rPr>
          <w:rFonts w:ascii="Inter" w:hAnsi="Inter" w:cs="Inter"/>
          <w:b/>
          <w:i w:val="0"/>
          <w:color w:val="2D2D2D"/>
          <w:sz w:val="22"/>
        </w:rPr>
        <w:t>Partner:</w:t>
      </w:r>
      <w:r>
        <w:rPr>
          <w:rFonts w:ascii="Inter" w:hAnsi="Inter" w:cs="Inter"/>
          <w:b w:val="0"/>
          <w:i w:val="0"/>
          <w:color w:val="2D2D2D"/>
          <w:sz w:val="22"/>
        </w:rPr>
        <w:t xml:space="preserve"> For gaps that a partner organization can fill — for example, a development partner that provides technical staff or a national agency that seconds personnel to your MOA for a specific program.</w:t>
      </w:r>
    </w:p>
    <w:p>
      <w:pPr>
        <w:pStyle w:val="ListBullet"/>
      </w:pPr>
      <w:r>
        <w:rPr>
          <w:rFonts w:ascii="Inter" w:hAnsi="Inter" w:cs="Inter"/>
          <w:b w:val="0"/>
          <w:i w:val="0"/>
          <w:color w:val="2D2D2D"/>
          <w:sz w:val="22"/>
        </w:rPr>
      </w:r>
      <w:r>
        <w:rPr>
          <w:rFonts w:ascii="Inter" w:hAnsi="Inter" w:cs="Inter"/>
          <w:b/>
          <w:i w:val="0"/>
          <w:color w:val="2D2D2D"/>
          <w:sz w:val="22"/>
        </w:rPr>
        <w:t>Phase implementation:</w:t>
      </w:r>
      <w:r>
        <w:rPr>
          <w:rFonts w:ascii="Inter" w:hAnsi="Inter" w:cs="Inter"/>
          <w:b w:val="0"/>
          <w:i w:val="0"/>
          <w:color w:val="2D2D2D"/>
          <w:sz w:val="22"/>
        </w:rPr>
        <w:t xml:space="preserve"> If the gap cannot be closed within the planning year, phase the PPA to begin implementation only when sufficient resources are in place.</w:t>
      </w:r>
    </w:p>
    <w:p>
      <w:pPr>
        <w:pStyle w:val="ListBullet"/>
      </w:pPr>
      <w:r>
        <w:rPr>
          <w:rFonts w:ascii="Inter" w:hAnsi="Inter" w:cs="Inter"/>
          <w:b w:val="0"/>
          <w:i w:val="0"/>
          <w:color w:val="2D2D2D"/>
          <w:sz w:val="22"/>
        </w:rPr>
      </w:r>
      <w:r>
        <w:rPr>
          <w:rFonts w:ascii="Inter" w:hAnsi="Inter" w:cs="Inter"/>
          <w:b/>
          <w:i w:val="0"/>
          <w:color w:val="2D2D2D"/>
          <w:sz w:val="22"/>
        </w:rPr>
        <w:t>Reduce scope:</w:t>
      </w:r>
      <w:r>
        <w:rPr>
          <w:rFonts w:ascii="Inter" w:hAnsi="Inter" w:cs="Inter"/>
          <w:b w:val="0"/>
          <w:i w:val="0"/>
          <w:color w:val="2D2D2D"/>
          <w:sz w:val="22"/>
        </w:rPr>
        <w:t xml:space="preserve"> If resources are simply insufficient and no mitigation strategy is feasible, reduce the PPA's output targets to what you can actually deliver.</w:t>
      </w:r>
    </w:p>
    <w:p>
      <w:pPr>
        <w:pStyle w:val="Heading3"/>
      </w:pPr>
      <w:r>
        <w:rPr>
          <w:rFonts w:ascii="Inter" w:hAnsi="Inter" w:cs="Inter"/>
          <w:b/>
          <w:i w:val="0"/>
          <w:color w:val="2C5F7C"/>
          <w:sz w:val="26"/>
        </w:rPr>
        <w:t>Step 4: List Physical Resource Requirements for Each PPA</w:t>
      </w:r>
    </w:p>
    <w:p>
      <w:pPr>
        <w:spacing w:after="120" w:line="276" w:lineRule="auto"/>
      </w:pPr>
      <w:r>
        <w:rPr>
          <w:rFonts w:ascii="Inter" w:hAnsi="Inter" w:cs="Inter"/>
          <w:b w:val="0"/>
          <w:i w:val="0"/>
          <w:color w:val="2D2D2D"/>
          <w:sz w:val="22"/>
        </w:rPr>
        <w:t xml:space="preserve">Return to each PPA. Ask: </w:t>
      </w:r>
      <w:r>
        <w:rPr>
          <w:rFonts w:ascii="Inter" w:hAnsi="Inter" w:cs="Inter"/>
          <w:b/>
          <w:i w:val="0"/>
          <w:color w:val="2D2D2D"/>
          <w:sz w:val="22"/>
        </w:rPr>
        <w:t>What physical resources does this PPA require to operate?</w:t>
      </w:r>
      <w:r>
        <w:rPr>
          <w:rFonts w:ascii="Inter" w:hAnsi="Inter" w:cs="Inter"/>
          <w:b w:val="0"/>
          <w:i w:val="0"/>
          <w:color w:val="2D2D2D"/>
          <w:sz w:val="22"/>
        </w:rPr>
      </w:r>
    </w:p>
    <w:p>
      <w:pPr>
        <w:spacing w:after="120" w:line="276" w:lineRule="auto"/>
      </w:pPr>
      <w:r>
        <w:rPr>
          <w:rFonts w:ascii="Inter" w:hAnsi="Inter" w:cs="Inter"/>
          <w:b w:val="0"/>
          <w:i w:val="0"/>
          <w:color w:val="2D2D2D"/>
          <w:sz w:val="22"/>
        </w:rPr>
        <w:t>List all physical resources by category:</w:t>
      </w:r>
    </w:p>
    <w:p>
      <w:pPr>
        <w:pStyle w:val="ListBullet"/>
      </w:pPr>
      <w:r>
        <w:rPr>
          <w:rFonts w:ascii="Inter" w:hAnsi="Inter" w:cs="Inter"/>
          <w:b w:val="0"/>
          <w:i w:val="0"/>
          <w:color w:val="2D2D2D"/>
          <w:sz w:val="22"/>
        </w:rPr>
      </w:r>
      <w:r>
        <w:rPr>
          <w:rFonts w:ascii="Inter" w:hAnsi="Inter" w:cs="Inter"/>
          <w:b/>
          <w:i w:val="0"/>
          <w:color w:val="2D2D2D"/>
          <w:sz w:val="22"/>
        </w:rPr>
        <w:t>Equipment:</w:t>
      </w:r>
      <w:r>
        <w:rPr>
          <w:rFonts w:ascii="Inter" w:hAnsi="Inter" w:cs="Inter"/>
          <w:b w:val="0"/>
          <w:i w:val="0"/>
          <w:color w:val="2D2D2D"/>
          <w:sz w:val="22"/>
        </w:rPr>
        <w:t xml:space="preserve"> Instruments, machinery, laboratory equipment, monitoring devices.</w:t>
      </w:r>
    </w:p>
    <w:p>
      <w:pPr>
        <w:pStyle w:val="ListBullet"/>
      </w:pPr>
      <w:r>
        <w:rPr>
          <w:rFonts w:ascii="Inter" w:hAnsi="Inter" w:cs="Inter"/>
          <w:b w:val="0"/>
          <w:i w:val="0"/>
          <w:color w:val="2D2D2D"/>
          <w:sz w:val="22"/>
        </w:rPr>
      </w:r>
      <w:r>
        <w:rPr>
          <w:rFonts w:ascii="Inter" w:hAnsi="Inter" w:cs="Inter"/>
          <w:b/>
          <w:i w:val="0"/>
          <w:color w:val="2D2D2D"/>
          <w:sz w:val="22"/>
        </w:rPr>
        <w:t>Facilities:</w:t>
      </w:r>
      <w:r>
        <w:rPr>
          <w:rFonts w:ascii="Inter" w:hAnsi="Inter" w:cs="Inter"/>
          <w:b w:val="0"/>
          <w:i w:val="0"/>
          <w:color w:val="2D2D2D"/>
          <w:sz w:val="22"/>
        </w:rPr>
        <w:t xml:space="preserve"> Office space, training rooms, nurseries, storage, processing areas. Note whether these are existing (already in your inventory) or must be acquired or leased.</w:t>
      </w:r>
    </w:p>
    <w:p>
      <w:pPr>
        <w:pStyle w:val="ListBullet"/>
      </w:pPr>
      <w:r>
        <w:rPr>
          <w:rFonts w:ascii="Inter" w:hAnsi="Inter" w:cs="Inter"/>
          <w:b w:val="0"/>
          <w:i w:val="0"/>
          <w:color w:val="2D2D2D"/>
          <w:sz w:val="22"/>
        </w:rPr>
      </w:r>
      <w:r>
        <w:rPr>
          <w:rFonts w:ascii="Inter" w:hAnsi="Inter" w:cs="Inter"/>
          <w:b/>
          <w:i w:val="0"/>
          <w:color w:val="2D2D2D"/>
          <w:sz w:val="22"/>
        </w:rPr>
        <w:t>Vehicles:</w:t>
      </w:r>
      <w:r>
        <w:rPr>
          <w:rFonts w:ascii="Inter" w:hAnsi="Inter" w:cs="Inter"/>
          <w:b w:val="0"/>
          <w:i w:val="0"/>
          <w:color w:val="2D2D2D"/>
          <w:sz w:val="22"/>
        </w:rPr>
        <w:t xml:space="preserve"> Field vehicles, motorcycles, boats, or other transport. Field-based PPAs are often constrained by transport more than by any other physical resource.</w:t>
      </w:r>
    </w:p>
    <w:p>
      <w:pPr>
        <w:pStyle w:val="ListBullet"/>
      </w:pPr>
      <w:r>
        <w:rPr>
          <w:rFonts w:ascii="Inter" w:hAnsi="Inter" w:cs="Inter"/>
          <w:b w:val="0"/>
          <w:i w:val="0"/>
          <w:color w:val="2D2D2D"/>
          <w:sz w:val="22"/>
        </w:rPr>
      </w:r>
      <w:r>
        <w:rPr>
          <w:rFonts w:ascii="Inter" w:hAnsi="Inter" w:cs="Inter"/>
          <w:b/>
          <w:i w:val="0"/>
          <w:color w:val="2D2D2D"/>
          <w:sz w:val="22"/>
        </w:rPr>
        <w:t>Technology:</w:t>
      </w:r>
      <w:r>
        <w:rPr>
          <w:rFonts w:ascii="Inter" w:hAnsi="Inter" w:cs="Inter"/>
          <w:b w:val="0"/>
          <w:i w:val="0"/>
          <w:color w:val="2D2D2D"/>
          <w:sz w:val="22"/>
        </w:rPr>
        <w:t xml:space="preserve"> Computers, software licenses, communication devices, GIS equipment.</w:t>
      </w:r>
    </w:p>
    <w:p>
      <w:pPr>
        <w:pStyle w:val="ListBullet"/>
      </w:pPr>
      <w:r>
        <w:rPr>
          <w:rFonts w:ascii="Inter" w:hAnsi="Inter" w:cs="Inter"/>
          <w:b w:val="0"/>
          <w:i w:val="0"/>
          <w:color w:val="2D2D2D"/>
          <w:sz w:val="22"/>
        </w:rPr>
      </w:r>
      <w:r>
        <w:rPr>
          <w:rFonts w:ascii="Inter" w:hAnsi="Inter" w:cs="Inter"/>
          <w:b/>
          <w:i w:val="0"/>
          <w:color w:val="2D2D2D"/>
          <w:sz w:val="22"/>
        </w:rPr>
        <w:t>Supplies and materials:</w:t>
      </w:r>
      <w:r>
        <w:rPr>
          <w:rFonts w:ascii="Inter" w:hAnsi="Inter" w:cs="Inter"/>
          <w:b w:val="0"/>
          <w:i w:val="0"/>
          <w:color w:val="2D2D2D"/>
          <w:sz w:val="22"/>
        </w:rPr>
        <w:t xml:space="preserve"> Consumable items used in program delivery — seeds, planting materials, medicines, educational materials, field kits.</w:t>
      </w:r>
    </w:p>
    <w:p>
      <w:pPr>
        <w:spacing w:after="120" w:line="276" w:lineRule="auto"/>
      </w:pPr>
      <w:r>
        <w:rPr>
          <w:rFonts w:ascii="Inter" w:hAnsi="Inter" w:cs="Inter"/>
          <w:b w:val="0"/>
          <w:i w:val="0"/>
          <w:color w:val="2D2D2D"/>
          <w:sz w:val="22"/>
        </w:rPr>
        <w:t>For each physical resource, note: the quantity required, whether it is already available, and whether any gap must be procured, leased, or obtained through partnership. Classify each item by expenditure class (MOOE for consumables and leases; CO for equipment and vehicles with a lifespan exceeding one year).</w:t>
      </w:r>
    </w:p>
    <w:p>
      <w:pPr>
        <w:pStyle w:val="Heading3"/>
      </w:pPr>
      <w:r>
        <w:rPr>
          <w:rFonts w:ascii="Inter" w:hAnsi="Inter" w:cs="Inter"/>
          <w:b/>
          <w:i w:val="0"/>
          <w:color w:val="2C5F7C"/>
          <w:sz w:val="26"/>
        </w:rPr>
        <w:t>Step 5: Compare Physical Resources Against Current Inventory</w:t>
      </w:r>
    </w:p>
    <w:p>
      <w:pPr>
        <w:spacing w:after="120" w:line="276" w:lineRule="auto"/>
      </w:pPr>
      <w:r>
        <w:rPr>
          <w:rFonts w:ascii="Inter" w:hAnsi="Inter" w:cs="Inter"/>
          <w:b w:val="0"/>
          <w:i w:val="0"/>
          <w:color w:val="2D2D2D"/>
          <w:sz w:val="22"/>
        </w:rPr>
        <w:t>Check your MOA's current asset inventory. Which physical resources are already on hand and serviceable? Which are on hand but obsolete, damaged, or insufficient in quantity? Which are entirely absent?</w:t>
      </w:r>
    </w:p>
    <w:p>
      <w:pPr>
        <w:spacing w:after="120" w:line="276" w:lineRule="auto"/>
      </w:pPr>
      <w:r>
        <w:rPr>
          <w:rFonts w:ascii="Inter" w:hAnsi="Inter" w:cs="Inter"/>
          <w:b w:val="0"/>
          <w:i w:val="0"/>
          <w:color w:val="2D2D2D"/>
          <w:sz w:val="22"/>
        </w:rPr>
        <w:t>Document the physical resource gap for each PPA. Prioritize gaps where absence of the resource renders the PPA impossible to implement.</w:t>
      </w:r>
    </w:p>
    <w:p>
      <w:pPr>
        <w:pStyle w:val="Heading3"/>
      </w:pPr>
      <w:r>
        <w:rPr>
          <w:rFonts w:ascii="Inter" w:hAnsi="Inter" w:cs="Inter"/>
          <w:b/>
          <w:i w:val="0"/>
          <w:color w:val="2C5F7C"/>
          <w:sz w:val="26"/>
        </w:rPr>
        <w:t>Step 6: Map Potential Partnerships</w:t>
      </w:r>
    </w:p>
    <w:p>
      <w:pPr>
        <w:spacing w:after="120" w:line="276" w:lineRule="auto"/>
      </w:pPr>
      <w:r>
        <w:rPr>
          <w:rFonts w:ascii="Inter" w:hAnsi="Inter" w:cs="Inter"/>
          <w:b w:val="0"/>
          <w:i w:val="0"/>
          <w:color w:val="2D2D2D"/>
          <w:sz w:val="22"/>
        </w:rPr>
        <w:t>For each resource gap — human or physical — that your MOA cannot address internally, identify potential partner organizations that could fill the gap. Ask:</w:t>
      </w:r>
    </w:p>
    <w:p>
      <w:pPr>
        <w:pStyle w:val="ListBullet"/>
      </w:pPr>
      <w:r>
        <w:rPr>
          <w:rFonts w:ascii="Inter" w:hAnsi="Inter" w:cs="Inter"/>
          <w:b w:val="0"/>
          <w:i w:val="0"/>
          <w:color w:val="2D2D2D"/>
          <w:sz w:val="22"/>
        </w:rPr>
        <w:t>Which national government agencies share jurisdiction or interest in this PPA?</w:t>
      </w:r>
    </w:p>
    <w:p>
      <w:pPr>
        <w:pStyle w:val="ListBullet"/>
      </w:pPr>
      <w:r>
        <w:rPr>
          <w:rFonts w:ascii="Inter" w:hAnsi="Inter" w:cs="Inter"/>
          <w:b w:val="0"/>
          <w:i w:val="0"/>
          <w:color w:val="2D2D2D"/>
          <w:sz w:val="22"/>
        </w:rPr>
        <w:t>Which development partners are currently active in this sector or geographic area in BARMM?</w:t>
      </w:r>
    </w:p>
    <w:p>
      <w:pPr>
        <w:pStyle w:val="ListBullet"/>
      </w:pPr>
      <w:r>
        <w:rPr>
          <w:rFonts w:ascii="Inter" w:hAnsi="Inter" w:cs="Inter"/>
          <w:b w:val="0"/>
          <w:i w:val="0"/>
          <w:color w:val="2D2D2D"/>
          <w:sz w:val="22"/>
        </w:rPr>
        <w:t>Which CSOs or NGOs have experience, capacity, or presence in the communities your PPA targets?</w:t>
      </w:r>
    </w:p>
    <w:p>
      <w:pPr>
        <w:pStyle w:val="ListBullet"/>
      </w:pPr>
      <w:r>
        <w:rPr>
          <w:rFonts w:ascii="Inter" w:hAnsi="Inter" w:cs="Inter"/>
          <w:b w:val="0"/>
          <w:i w:val="0"/>
          <w:color w:val="2D2D2D"/>
          <w:sz w:val="22"/>
        </w:rPr>
        <w:t>Which LGUs could serve as co-implementers, especially for geographically dispersed activities?</w:t>
      </w:r>
    </w:p>
    <w:p>
      <w:pPr>
        <w:pStyle w:val="ListBullet"/>
      </w:pPr>
      <w:r>
        <w:rPr>
          <w:rFonts w:ascii="Inter" w:hAnsi="Inter" w:cs="Inter"/>
          <w:b w:val="0"/>
          <w:i w:val="0"/>
          <w:color w:val="2D2D2D"/>
          <w:sz w:val="22"/>
        </w:rPr>
        <w:t>Which private sector actors have resources, technology, or distribution networks relevant to this PPA?</w:t>
      </w:r>
    </w:p>
    <w:p>
      <w:pPr>
        <w:spacing w:after="120" w:line="276" w:lineRule="auto"/>
      </w:pPr>
      <w:r>
        <w:rPr>
          <w:rFonts w:ascii="Inter" w:hAnsi="Inter" w:cs="Inter"/>
          <w:b w:val="0"/>
          <w:i w:val="0"/>
          <w:color w:val="2D2D2D"/>
          <w:sz w:val="22"/>
        </w:rPr>
        <w:t>For each potential partner, document what they can contribute: financial resources, technical staff, equipment, facilities, community networks, or co-implementation capacity.</w:t>
      </w:r>
    </w:p>
    <w:p>
      <w:pPr>
        <w:spacing w:after="120" w:line="276" w:lineRule="auto"/>
      </w:pPr>
      <w:r>
        <w:rPr>
          <w:rFonts w:ascii="Inter" w:hAnsi="Inter" w:cs="Inter"/>
          <w:b w:val="0"/>
          <w:i w:val="0"/>
          <w:color w:val="2D2D2D"/>
          <w:sz w:val="22"/>
        </w:rPr>
        <w:t>Be realistic about partnership timelines. A Memorandum of Agreement (MOA) takes time to negotiate and formalize. Development partner commitments often involve multi-year engagement processes. Do not build a resource plan that depends entirely on partnerships that have not yet been established or even initiated.</w:t>
      </w:r>
    </w:p>
    <w:p>
      <w:pPr>
        <w:pStyle w:val="Heading3"/>
      </w:pPr>
      <w:r>
        <w:rPr>
          <w:rFonts w:ascii="Inter" w:hAnsi="Inter" w:cs="Inter"/>
          <w:b/>
          <w:i w:val="0"/>
          <w:color w:val="2C5F7C"/>
          <w:sz w:val="26"/>
        </w:rPr>
        <w:t>Step 7: Estimate Costs for Each Resource Category</w:t>
      </w:r>
    </w:p>
    <w:p>
      <w:pPr>
        <w:spacing w:after="120" w:line="276" w:lineRule="auto"/>
      </w:pPr>
      <w:r>
        <w:rPr>
          <w:rFonts w:ascii="Inter" w:hAnsi="Inter" w:cs="Inter"/>
          <w:b w:val="0"/>
          <w:i w:val="0"/>
          <w:color w:val="2D2D2D"/>
          <w:sz w:val="22"/>
        </w:rPr>
        <w:t>For each PPA, estimate the cost of all resource requirements:</w:t>
      </w:r>
    </w:p>
    <w:p>
      <w:pPr>
        <w:pStyle w:val="ListBullet"/>
      </w:pPr>
      <w:r>
        <w:rPr>
          <w:rFonts w:ascii="Inter" w:hAnsi="Inter" w:cs="Inter"/>
          <w:b w:val="0"/>
          <w:i w:val="0"/>
          <w:color w:val="2D2D2D"/>
          <w:sz w:val="22"/>
        </w:rPr>
      </w:r>
      <w:r>
        <w:rPr>
          <w:rFonts w:ascii="Inter" w:hAnsi="Inter" w:cs="Inter"/>
          <w:b/>
          <w:i w:val="0"/>
          <w:color w:val="2D2D2D"/>
          <w:sz w:val="22"/>
        </w:rPr>
        <w:t>PS cost:</w:t>
      </w:r>
      <w:r>
        <w:rPr>
          <w:rFonts w:ascii="Inter" w:hAnsi="Inter" w:cs="Inter"/>
          <w:b w:val="0"/>
          <w:i w:val="0"/>
          <w:color w:val="2D2D2D"/>
          <w:sz w:val="22"/>
        </w:rPr>
        <w:t xml:space="preserve"> Sum of salaries, allowances, and benefits for all positions required, adjusted for time allocation. Use current DBM salary grade tables as the basis for filled positions; use proposed rates for new positions.</w:t>
      </w:r>
    </w:p>
    <w:p>
      <w:pPr>
        <w:pStyle w:val="ListBullet"/>
      </w:pPr>
      <w:r>
        <w:rPr>
          <w:rFonts w:ascii="Inter" w:hAnsi="Inter" w:cs="Inter"/>
          <w:b w:val="0"/>
          <w:i w:val="0"/>
          <w:color w:val="2D2D2D"/>
          <w:sz w:val="22"/>
        </w:rPr>
      </w:r>
      <w:r>
        <w:rPr>
          <w:rFonts w:ascii="Inter" w:hAnsi="Inter" w:cs="Inter"/>
          <w:b/>
          <w:i w:val="0"/>
          <w:color w:val="2D2D2D"/>
          <w:sz w:val="22"/>
        </w:rPr>
        <w:t>MOOE cost:</w:t>
      </w:r>
      <w:r>
        <w:rPr>
          <w:rFonts w:ascii="Inter" w:hAnsi="Inter" w:cs="Inter"/>
          <w:b w:val="0"/>
          <w:i w:val="0"/>
          <w:color w:val="2D2D2D"/>
          <w:sz w:val="22"/>
        </w:rPr>
        <w:t xml:space="preserve"> Sum of all non-personnel operating costs — supplies, travel, training, contracted services, lease payments, utilities, and communication costs attributable to the PPA.</w:t>
      </w:r>
    </w:p>
    <w:p>
      <w:pPr>
        <w:pStyle w:val="ListBullet"/>
      </w:pPr>
      <w:r>
        <w:rPr>
          <w:rFonts w:ascii="Inter" w:hAnsi="Inter" w:cs="Inter"/>
          <w:b w:val="0"/>
          <w:i w:val="0"/>
          <w:color w:val="2D2D2D"/>
          <w:sz w:val="22"/>
        </w:rPr>
      </w:r>
      <w:r>
        <w:rPr>
          <w:rFonts w:ascii="Inter" w:hAnsi="Inter" w:cs="Inter"/>
          <w:b/>
          <w:i w:val="0"/>
          <w:color w:val="2D2D2D"/>
          <w:sz w:val="22"/>
        </w:rPr>
        <w:t>CO cost:</w:t>
      </w:r>
      <w:r>
        <w:rPr>
          <w:rFonts w:ascii="Inter" w:hAnsi="Inter" w:cs="Inter"/>
          <w:b w:val="0"/>
          <w:i w:val="0"/>
          <w:color w:val="2D2D2D"/>
          <w:sz w:val="22"/>
        </w:rPr>
        <w:t xml:space="preserve"> Sum of all capital items — equipment and vehicles to be procured. Use actual market prices from recent procurement transactions where available; use published MFBM standard cost tables for common items.</w:t>
      </w:r>
    </w:p>
    <w:p>
      <w:pPr>
        <w:spacing w:after="120" w:line="276" w:lineRule="auto"/>
      </w:pPr>
      <w:r>
        <w:rPr>
          <w:rFonts w:ascii="Inter" w:hAnsi="Inter" w:cs="Inter"/>
          <w:b w:val="0"/>
          <w:i w:val="0"/>
          <w:color w:val="2D2D2D"/>
          <w:sz w:val="22"/>
        </w:rPr>
        <w:t>Record these estimates in the Resource Requirements Matrix, classified by expenditure class. The sum of all PPA resource estimates, by expenditure class, is the basis for your MOA's total budget proposal for the planning period.</w:t>
      </w:r>
    </w:p>
    <w:p>
      <w:pPr>
        <w:pStyle w:val="Heading3"/>
      </w:pPr>
      <w:r>
        <w:rPr>
          <w:rFonts w:ascii="Inter" w:hAnsi="Inter" w:cs="Inter"/>
          <w:b/>
          <w:i w:val="0"/>
          <w:color w:val="2C5F7C"/>
          <w:sz w:val="26"/>
        </w:rPr>
        <w:t>Step 8: Compare Total Resources Against Available Budget</w:t>
      </w:r>
    </w:p>
    <w:p>
      <w:pPr>
        <w:spacing w:after="120" w:line="276" w:lineRule="auto"/>
      </w:pPr>
      <w:r>
        <w:rPr>
          <w:rFonts w:ascii="Inter" w:hAnsi="Inter" w:cs="Inter"/>
          <w:b w:val="0"/>
          <w:i w:val="0"/>
          <w:color w:val="2D2D2D"/>
          <w:sz w:val="22"/>
        </w:rPr>
        <w:t>Sum all resource requirements across all PPAs. Compare the total against your MOA's anticipated budget ceiling for the planning period.</w:t>
      </w:r>
    </w:p>
    <w:p>
      <w:pPr>
        <w:spacing w:after="120" w:line="276" w:lineRule="auto"/>
      </w:pPr>
      <w:r>
        <w:rPr>
          <w:rFonts w:ascii="Inter" w:hAnsi="Inter" w:cs="Inter"/>
          <w:b w:val="0"/>
          <w:i w:val="0"/>
          <w:color w:val="2D2D2D"/>
          <w:sz w:val="22"/>
        </w:rPr>
        <w:t>If total requirements exceed the ceiling (and they usually will), you face a prioritization decision. Work with your management team to rank PPAs by:</w:t>
      </w:r>
    </w:p>
    <w:p>
      <w:pPr>
        <w:pStyle w:val="ListNumber"/>
      </w:pPr>
      <w:r>
        <w:rPr>
          <w:rFonts w:ascii="Inter" w:hAnsi="Inter" w:cs="Inter"/>
          <w:b w:val="0"/>
          <w:i w:val="0"/>
          <w:color w:val="2D2D2D"/>
          <w:sz w:val="22"/>
        </w:rPr>
      </w:r>
      <w:r>
        <w:rPr>
          <w:rFonts w:ascii="Inter" w:hAnsi="Inter" w:cs="Inter"/>
          <w:b/>
          <w:i w:val="0"/>
          <w:color w:val="2D2D2D"/>
          <w:sz w:val="22"/>
        </w:rPr>
        <w:t>Statutory mandate:</w:t>
      </w:r>
      <w:r>
        <w:rPr>
          <w:rFonts w:ascii="Inter" w:hAnsi="Inter" w:cs="Inter"/>
          <w:b w:val="0"/>
          <w:i w:val="0"/>
          <w:color w:val="2D2D2D"/>
          <w:sz w:val="22"/>
        </w:rPr>
        <w:t xml:space="preserve"> Is this PPA required by law? Mandated functions take priority.</w:t>
      </w:r>
    </w:p>
    <w:p>
      <w:pPr>
        <w:pStyle w:val="ListNumber"/>
      </w:pPr>
      <w:r>
        <w:rPr>
          <w:rFonts w:ascii="Inter" w:hAnsi="Inter" w:cs="Inter"/>
          <w:b w:val="0"/>
          <w:i w:val="0"/>
          <w:color w:val="2D2D2D"/>
          <w:sz w:val="22"/>
        </w:rPr>
      </w:r>
      <w:r>
        <w:rPr>
          <w:rFonts w:ascii="Inter" w:hAnsi="Inter" w:cs="Inter"/>
          <w:b/>
          <w:i w:val="0"/>
          <w:color w:val="2D2D2D"/>
          <w:sz w:val="22"/>
        </w:rPr>
        <w:t>BDP alignment:</w:t>
      </w:r>
      <w:r>
        <w:rPr>
          <w:rFonts w:ascii="Inter" w:hAnsi="Inter" w:cs="Inter"/>
          <w:b w:val="0"/>
          <w:i w:val="0"/>
          <w:color w:val="2D2D2D"/>
          <w:sz w:val="22"/>
        </w:rPr>
        <w:t xml:space="preserve"> Is this PPA a commitment in the Bangsamoro Development Plan?</w:t>
      </w:r>
    </w:p>
    <w:p>
      <w:pPr>
        <w:pStyle w:val="ListNumber"/>
      </w:pPr>
      <w:r>
        <w:rPr>
          <w:rFonts w:ascii="Inter" w:hAnsi="Inter" w:cs="Inter"/>
          <w:b w:val="0"/>
          <w:i w:val="0"/>
          <w:color w:val="2D2D2D"/>
          <w:sz w:val="22"/>
        </w:rPr>
      </w:r>
      <w:r>
        <w:rPr>
          <w:rFonts w:ascii="Inter" w:hAnsi="Inter" w:cs="Inter"/>
          <w:b/>
          <w:i w:val="0"/>
          <w:color w:val="2D2D2D"/>
          <w:sz w:val="22"/>
        </w:rPr>
        <w:t>Priority Agenda linkage:</w:t>
      </w:r>
      <w:r>
        <w:rPr>
          <w:rFonts w:ascii="Inter" w:hAnsi="Inter" w:cs="Inter"/>
          <w:b w:val="0"/>
          <w:i w:val="0"/>
          <w:color w:val="2D2D2D"/>
          <w:sz w:val="22"/>
        </w:rPr>
        <w:t xml:space="preserve"> Is this PPA directly tied to the Chief Minister's 12-point agenda?</w:t>
      </w:r>
    </w:p>
    <w:p>
      <w:pPr>
        <w:pStyle w:val="ListNumber"/>
      </w:pPr>
      <w:r>
        <w:rPr>
          <w:rFonts w:ascii="Inter" w:hAnsi="Inter" w:cs="Inter"/>
          <w:b w:val="0"/>
          <w:i w:val="0"/>
          <w:color w:val="2D2D2D"/>
          <w:sz w:val="22"/>
        </w:rPr>
      </w:r>
      <w:r>
        <w:rPr>
          <w:rFonts w:ascii="Inter" w:hAnsi="Inter" w:cs="Inter"/>
          <w:b/>
          <w:i w:val="0"/>
          <w:color w:val="2D2D2D"/>
          <w:sz w:val="22"/>
        </w:rPr>
        <w:t>Impact potential:</w:t>
      </w:r>
      <w:r>
        <w:rPr>
          <w:rFonts w:ascii="Inter" w:hAnsi="Inter" w:cs="Inter"/>
          <w:b w:val="0"/>
          <w:i w:val="0"/>
          <w:color w:val="2D2D2D"/>
          <w:sz w:val="22"/>
        </w:rPr>
        <w:t xml:space="preserve"> Which PPAs, if well-resourced, produce the greatest benefit for Bangsamoro communities?</w:t>
      </w:r>
    </w:p>
    <w:p>
      <w:pPr>
        <w:pStyle w:val="ListNumber"/>
      </w:pPr>
      <w:r>
        <w:rPr>
          <w:rFonts w:ascii="Inter" w:hAnsi="Inter" w:cs="Inter"/>
          <w:b w:val="0"/>
          <w:i w:val="0"/>
          <w:color w:val="2D2D2D"/>
          <w:sz w:val="22"/>
        </w:rPr>
      </w:r>
      <w:r>
        <w:rPr>
          <w:rFonts w:ascii="Inter" w:hAnsi="Inter" w:cs="Inter"/>
          <w:b/>
          <w:i w:val="0"/>
          <w:color w:val="2D2D2D"/>
          <w:sz w:val="22"/>
        </w:rPr>
        <w:t>Implementation readiness:</w:t>
      </w:r>
      <w:r>
        <w:rPr>
          <w:rFonts w:ascii="Inter" w:hAnsi="Inter" w:cs="Inter"/>
          <w:b w:val="0"/>
          <w:i w:val="0"/>
          <w:color w:val="2D2D2D"/>
          <w:sz w:val="22"/>
        </w:rPr>
        <w:t xml:space="preserve"> Which PPAs have the clearest resource base and can actually be delivered?</w:t>
      </w:r>
    </w:p>
    <w:p>
      <w:pPr>
        <w:spacing w:after="120" w:line="276" w:lineRule="auto"/>
      </w:pPr>
      <w:r>
        <w:rPr>
          <w:rFonts w:ascii="Inter" w:hAnsi="Inter" w:cs="Inter"/>
          <w:b w:val="0"/>
          <w:i w:val="0"/>
          <w:color w:val="2D2D2D"/>
          <w:sz w:val="22"/>
        </w:rPr>
        <w:t>Use this ranking to make conscious decisions about which PPAs will receive full resourcing, which will receive partial resourcing (with reduced scope), and which will be deferred to future planning years.</w:t>
      </w:r>
    </w:p>
    <w:p>
      <w:pPr>
        <w:pStyle w:val="Heading3"/>
      </w:pPr>
      <w:r>
        <w:rPr>
          <w:rFonts w:ascii="Inter" w:hAnsi="Inter" w:cs="Inter"/>
          <w:b/>
          <w:i w:val="0"/>
          <w:color w:val="2C5F7C"/>
          <w:sz w:val="26"/>
        </w:rPr>
        <w:t>Step 9: Complete the Resource Requirements Matrix</w:t>
      </w:r>
    </w:p>
    <w:p>
      <w:pPr>
        <w:spacing w:after="120" w:line="276" w:lineRule="auto"/>
      </w:pPr>
      <w:r>
        <w:rPr>
          <w:rFonts w:ascii="Inter" w:hAnsi="Inter" w:cs="Inter"/>
          <w:b w:val="0"/>
          <w:i w:val="0"/>
          <w:color w:val="2D2D2D"/>
          <w:sz w:val="22"/>
        </w:rPr>
        <w:t>Compile all the information gathered in Steps 1 through 8 into the Resource Requirements Matrix (Section 9.7). This matrix is the primary output of Point 8. It will serve as the foundation for your Annual Financial Plan (Chapter 10) and your budget proposal to the MFBM.</w:t>
      </w:r>
    </w:p>
    <w:p>
      <w:pPr>
        <w:pStyle w:val="Heading2"/>
      </w:pPr>
      <w:r>
        <w:rPr>
          <w:rFonts w:ascii="Inter" w:hAnsi="Inter" w:cs="Inter"/>
          <w:b/>
          <w:i w:val="0"/>
          <w:color w:val="1B365D"/>
          <w:sz w:val="32"/>
        </w:rPr>
        <w:t>9.4 Worked Example</w:t>
      </w:r>
    </w:p>
    <w:p>
      <w:pPr>
        <w:spacing w:after="120" w:line="276" w:lineRule="auto"/>
      </w:pPr>
      <w:r>
        <w:rPr>
          <w:rFonts w:ascii="Inter" w:hAnsi="Inter" w:cs="Inter"/>
          <w:b w:val="0"/>
          <w:i w:val="0"/>
          <w:color w:val="2D2D2D"/>
          <w:sz w:val="22"/>
        </w:rPr>
        <w:t>The Office for Other Bangsamoro Communities (OOBC) is planning resources for its flagship operations program — PPA Code P-03, titled "OBC Community Profiling and Data Management Program." The program covers recurring community profiling activities, development and deployment of the PSRRS database system, coordination with LGUs and NGAs, and advocacy campaigns targeting OBC communities in provinces outside the BARMM core territory.</w:t>
      </w:r>
    </w:p>
    <w:p>
      <w:pPr>
        <w:spacing w:after="120" w:line="276" w:lineRule="auto"/>
      </w:pPr>
      <w:r>
        <w:rPr>
          <w:rFonts w:ascii="Inter" w:hAnsi="Inter" w:cs="Inter"/>
          <w:b w:val="0"/>
          <w:i w:val="0"/>
          <w:color w:val="2D2D2D"/>
          <w:sz w:val="22"/>
        </w:rPr>
        <w:t>OOBC operates with a plantilla of approximately 25 positions, a headquarters in Cotabato City, and field presence in Davao, Sultan Kudarat, and Pagadian. Its budget is sized as an attached office under the Office of the Chief Minister — smaller than a full ministry, but with a nationwide geographic mandate.</w:t>
      </w:r>
    </w:p>
    <w:p>
      <w:pPr>
        <w:pStyle w:val="Heading3"/>
      </w:pPr>
      <w:r>
        <w:rPr>
          <w:rFonts w:ascii="Inter" w:hAnsi="Inter" w:cs="Inter"/>
          <w:b/>
          <w:i w:val="0"/>
          <w:color w:val="2C5F7C"/>
          <w:sz w:val="26"/>
        </w:rPr>
        <w:t>Human Resource Requirements</w:t>
      </w:r>
    </w:p>
    <w:p>
      <w:pPr>
        <w:spacing w:after="120" w:line="276" w:lineRule="auto"/>
      </w:pPr>
      <w:r>
        <w:rPr>
          <w:rFonts w:ascii="Inter" w:hAnsi="Inter" w:cs="Inter"/>
          <w:b w:val="0"/>
          <w:i w:val="0"/>
          <w:color w:val="2D2D2D"/>
          <w:sz w:val="22"/>
        </w:rPr>
        <w:t>The OOBC Planning Unit has identified the following positions as required across its core operational PPAs:</w:t>
      </w:r>
    </w:p>
    <w:p>
      <w:pPr>
        <w:spacing w:after="120" w:line="276" w:lineRule="auto"/>
      </w:pPr>
      <w:r>
        <w:rPr>
          <w:rFonts w:ascii="Inter" w:hAnsi="Inter" w:cs="Inter"/>
          <w:b w:val="0"/>
          <w:i w:val="0"/>
          <w:color w:val="2D2D2D"/>
          <w:sz w:val="22"/>
        </w:rPr>
      </w:r>
      <w:r>
        <w:rPr>
          <w:rFonts w:ascii="Inter" w:hAnsi="Inter" w:cs="Inter"/>
          <w:b/>
          <w:i w:val="0"/>
          <w:color w:val="2D2D2D"/>
          <w:sz w:val="22"/>
        </w:rPr>
        <w:t>Executive Director (SG-28):</w:t>
      </w:r>
      <w:r>
        <w:rPr>
          <w:rFonts w:ascii="Inter" w:hAnsi="Inter" w:cs="Inter"/>
          <w:b w:val="0"/>
          <w:i w:val="0"/>
          <w:color w:val="2D2D2D"/>
          <w:sz w:val="22"/>
        </w:rPr>
        <w:t xml:space="preserve"> 1 position, overall leadership and inter-agency coordination. This position exists in the plantilla and is filled. The Executive Director provides strategic direction for all PPAs. No structural or vacancy gap.</w:t>
      </w:r>
    </w:p>
    <w:p>
      <w:pPr>
        <w:spacing w:after="120" w:line="276" w:lineRule="auto"/>
      </w:pPr>
      <w:r>
        <w:rPr>
          <w:rFonts w:ascii="Inter" w:hAnsi="Inter" w:cs="Inter"/>
          <w:b w:val="0"/>
          <w:i w:val="0"/>
          <w:color w:val="2D2D2D"/>
          <w:sz w:val="22"/>
        </w:rPr>
      </w:r>
      <w:r>
        <w:rPr>
          <w:rFonts w:ascii="Inter" w:hAnsi="Inter" w:cs="Inter"/>
          <w:b/>
          <w:i w:val="0"/>
          <w:color w:val="2D2D2D"/>
          <w:sz w:val="22"/>
        </w:rPr>
        <w:t>Planning Officer III (SG-18):</w:t>
      </w:r>
      <w:r>
        <w:rPr>
          <w:rFonts w:ascii="Inter" w:hAnsi="Inter" w:cs="Inter"/>
          <w:b w:val="0"/>
          <w:i w:val="0"/>
          <w:color w:val="2D2D2D"/>
          <w:sz w:val="22"/>
        </w:rPr>
        <w:t xml:space="preserve"> 1 position required, 100% time allocation to P-03. Responsible for coordinating community profiling design, M&amp;E, and PSRRS integration. The position is in the plantilla and is filled. However, the incumbent lacks database management and GIS skills required for PSRRS oversight — a competency gap.</w:t>
      </w:r>
    </w:p>
    <w:p>
      <w:pPr>
        <w:spacing w:after="120" w:line="276" w:lineRule="auto"/>
      </w:pPr>
      <w:r>
        <w:rPr>
          <w:rFonts w:ascii="Inter" w:hAnsi="Inter" w:cs="Inter"/>
          <w:b w:val="0"/>
          <w:i w:val="0"/>
          <w:color w:val="2D2D2D"/>
          <w:sz w:val="22"/>
        </w:rPr>
      </w:r>
      <w:r>
        <w:rPr>
          <w:rFonts w:ascii="Inter" w:hAnsi="Inter" w:cs="Inter"/>
          <w:b/>
          <w:i w:val="0"/>
          <w:color w:val="2D2D2D"/>
          <w:sz w:val="22"/>
        </w:rPr>
        <w:t>Information Technology Officer (SG-15):</w:t>
      </w:r>
      <w:r>
        <w:rPr>
          <w:rFonts w:ascii="Inter" w:hAnsi="Inter" w:cs="Inter"/>
          <w:b w:val="0"/>
          <w:i w:val="0"/>
          <w:color w:val="2D2D2D"/>
          <w:sz w:val="22"/>
        </w:rPr>
        <w:t xml:space="preserve"> 1 position required, 100% time allocation. Core technical staff for PSRRS development, database management, and system maintenance. This position does </w:t>
      </w:r>
      <w:r>
        <w:rPr>
          <w:rFonts w:ascii="Inter" w:hAnsi="Inter" w:cs="Inter"/>
          <w:b/>
          <w:i w:val="0"/>
          <w:color w:val="2D2D2D"/>
          <w:sz w:val="22"/>
        </w:rPr>
        <w:t>not</w:t>
      </w:r>
      <w:r>
        <w:rPr>
          <w:rFonts w:ascii="Inter" w:hAnsi="Inter" w:cs="Inter"/>
          <w:b w:val="0"/>
          <w:i w:val="0"/>
          <w:color w:val="2D2D2D"/>
          <w:sz w:val="22"/>
        </w:rPr>
        <w:t xml:space="preserve"> exist in OOBC's current plantilla — a structural gap. Without this position, PSRRS development must be contracted out or handled with technical assistance from a partner.</w:t>
      </w:r>
    </w:p>
    <w:p>
      <w:pPr>
        <w:spacing w:after="120" w:line="276" w:lineRule="auto"/>
      </w:pPr>
      <w:r>
        <w:rPr>
          <w:rFonts w:ascii="Inter" w:hAnsi="Inter" w:cs="Inter"/>
          <w:b w:val="0"/>
          <w:i w:val="0"/>
          <w:color w:val="2D2D2D"/>
          <w:sz w:val="22"/>
        </w:rPr>
      </w:r>
      <w:r>
        <w:rPr>
          <w:rFonts w:ascii="Inter" w:hAnsi="Inter" w:cs="Inter"/>
          <w:b/>
          <w:i w:val="0"/>
          <w:color w:val="2D2D2D"/>
          <w:sz w:val="22"/>
        </w:rPr>
        <w:t>Field Coordinator (SG-11):</w:t>
      </w:r>
      <w:r>
        <w:rPr>
          <w:rFonts w:ascii="Inter" w:hAnsi="Inter" w:cs="Inter"/>
          <w:b w:val="0"/>
          <w:i w:val="0"/>
          <w:color w:val="2D2D2D"/>
          <w:sz w:val="22"/>
        </w:rPr>
        <w:t xml:space="preserve"> 4 positions required, 100% time allocation each, assigned to field offices in Davao, Sultan Kudarat, Pagadian, and a fourth mobile coordinator for Zamboanga and SOCCSKSARGEN coverage. OOBC's current plantilla has 2 Field Coordinator positions authorized, both filled. This represents a structural gap of 2 positions needed for expanded provincial coverage.</w:t>
      </w:r>
    </w:p>
    <w:p>
      <w:pPr>
        <w:spacing w:after="120" w:line="276" w:lineRule="auto"/>
      </w:pPr>
      <w:r>
        <w:rPr>
          <w:rFonts w:ascii="Inter" w:hAnsi="Inter" w:cs="Inter"/>
          <w:b w:val="0"/>
          <w:i w:val="0"/>
          <w:color w:val="2D2D2D"/>
          <w:sz w:val="22"/>
        </w:rPr>
      </w:r>
      <w:r>
        <w:rPr>
          <w:rFonts w:ascii="Inter" w:hAnsi="Inter" w:cs="Inter"/>
          <w:b/>
          <w:i w:val="0"/>
          <w:color w:val="2D2D2D"/>
          <w:sz w:val="22"/>
        </w:rPr>
        <w:t>Community Development Officer (SG-11):</w:t>
      </w:r>
      <w:r>
        <w:rPr>
          <w:rFonts w:ascii="Inter" w:hAnsi="Inter" w:cs="Inter"/>
          <w:b w:val="0"/>
          <w:i w:val="0"/>
          <w:color w:val="2D2D2D"/>
          <w:sz w:val="22"/>
        </w:rPr>
        <w:t xml:space="preserve"> 3 positions required, 75% time allocation each, for OBC community engagement and profiling activities. The plantilla currently shows 2 Community Development Officers, both filled. Gap: 1 position — which OOBC plans to address through a job-order arrangement while the position request is processed.</w:t>
      </w:r>
    </w:p>
    <w:p>
      <w:pPr>
        <w:spacing w:after="120" w:line="276" w:lineRule="auto"/>
      </w:pPr>
      <w:r>
        <w:rPr>
          <w:rFonts w:ascii="Inter" w:hAnsi="Inter" w:cs="Inter"/>
          <w:b w:val="0"/>
          <w:i w:val="0"/>
          <w:color w:val="2D2D2D"/>
          <w:sz w:val="22"/>
        </w:rPr>
      </w:r>
      <w:r>
        <w:rPr>
          <w:rFonts w:ascii="Inter" w:hAnsi="Inter" w:cs="Inter"/>
          <w:b/>
          <w:i w:val="0"/>
          <w:color w:val="2D2D2D"/>
          <w:sz w:val="22"/>
        </w:rPr>
        <w:t>Administrative Officer II (SG-11):</w:t>
      </w:r>
      <w:r>
        <w:rPr>
          <w:rFonts w:ascii="Inter" w:hAnsi="Inter" w:cs="Inter"/>
          <w:b w:val="0"/>
          <w:i w:val="0"/>
          <w:color w:val="2D2D2D"/>
          <w:sz w:val="22"/>
        </w:rPr>
        <w:t xml:space="preserve"> 1 position, 50% time allocation for coordination of fund releases, travel arrangements, and procurement support. The position is authorized and filled — no gap.</w:t>
      </w:r>
    </w:p>
    <w:p>
      <w:pPr>
        <w:spacing w:after="120" w:line="276" w:lineRule="auto"/>
      </w:pPr>
      <w:r>
        <w:rPr>
          <w:rFonts w:ascii="Inter" w:hAnsi="Inter" w:cs="Inter"/>
          <w:b w:val="0"/>
          <w:i w:val="0"/>
          <w:color w:val="2D2D2D"/>
          <w:sz w:val="22"/>
        </w:rPr>
      </w:r>
      <w:r>
        <w:rPr>
          <w:rFonts w:ascii="Inter" w:hAnsi="Inter" w:cs="Inter"/>
          <w:b/>
          <w:i w:val="0"/>
          <w:color w:val="2D2D2D"/>
          <w:sz w:val="22"/>
        </w:rPr>
        <w:t>Competency gap mitigation:</w:t>
      </w:r>
      <w:r>
        <w:rPr>
          <w:rFonts w:ascii="Inter" w:hAnsi="Inter" w:cs="Inter"/>
          <w:b w:val="0"/>
          <w:i w:val="0"/>
          <w:color w:val="2D2D2D"/>
          <w:sz w:val="22"/>
        </w:rPr>
        <w:t xml:space="preserve"> The Planning Officer III will attend a data management short course and a GIS orientation program offered by the Bangsamoro Institute of Technology and Emerging Sciences or a partner state university. Estimated cost: ₱18,000. Given the structural gap for the IT Officer position, OOBC will engage an IT consultant on a job-order arrangement in Year 1 for PSRRS development, while the permanent position request is included in the annual budget submission.</w:t>
      </w:r>
    </w:p>
    <w:p>
      <w:pPr>
        <w:pStyle w:val="Heading3"/>
      </w:pPr>
      <w:r>
        <w:rPr>
          <w:rFonts w:ascii="Inter" w:hAnsi="Inter" w:cs="Inter"/>
          <w:b/>
          <w:i w:val="0"/>
          <w:color w:val="2C5F7C"/>
          <w:sz w:val="26"/>
        </w:rPr>
        <w:t>Plantilla Gap Analysis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Position</w:t>
            </w:r>
          </w:p>
        </w:tc>
        <w:tc>
          <w:tcPr>
            <w:tcW w:type="dxa" w:w="1337"/>
            <w:shd w:fill="1B365D"/>
          </w:tcPr>
          <w:p>
            <w:r/>
            <w:r>
              <w:rPr>
                <w:rFonts w:ascii="Inter" w:hAnsi="Inter" w:cs="Inter"/>
                <w:b/>
                <w:i w:val="0"/>
                <w:color w:val="FFFFFF"/>
                <w:sz w:val="19"/>
              </w:rPr>
              <w:t>Required</w:t>
            </w:r>
          </w:p>
        </w:tc>
        <w:tc>
          <w:tcPr>
            <w:tcW w:type="dxa" w:w="1337"/>
            <w:shd w:fill="1B365D"/>
          </w:tcPr>
          <w:p>
            <w:r/>
            <w:r>
              <w:rPr>
                <w:rFonts w:ascii="Inter" w:hAnsi="Inter" w:cs="Inter"/>
                <w:b/>
                <w:i w:val="0"/>
                <w:color w:val="FFFFFF"/>
                <w:sz w:val="19"/>
              </w:rPr>
              <w:t>Authorized</w:t>
            </w:r>
          </w:p>
        </w:tc>
        <w:tc>
          <w:tcPr>
            <w:tcW w:type="dxa" w:w="1337"/>
            <w:shd w:fill="1B365D"/>
          </w:tcPr>
          <w:p>
            <w:r/>
            <w:r>
              <w:rPr>
                <w:rFonts w:ascii="Inter" w:hAnsi="Inter" w:cs="Inter"/>
                <w:b/>
                <w:i w:val="0"/>
                <w:color w:val="FFFFFF"/>
                <w:sz w:val="19"/>
              </w:rPr>
              <w:t>Filled</w:t>
            </w:r>
          </w:p>
        </w:tc>
        <w:tc>
          <w:tcPr>
            <w:tcW w:type="dxa" w:w="1337"/>
            <w:shd w:fill="1B365D"/>
          </w:tcPr>
          <w:p>
            <w:r/>
            <w:r>
              <w:rPr>
                <w:rFonts w:ascii="Inter" w:hAnsi="Inter" w:cs="Inter"/>
                <w:b/>
                <w:i w:val="0"/>
                <w:color w:val="FFFFFF"/>
                <w:sz w:val="19"/>
              </w:rPr>
              <w:t>Structural Gap</w:t>
            </w:r>
          </w:p>
        </w:tc>
        <w:tc>
          <w:tcPr>
            <w:tcW w:type="dxa" w:w="1337"/>
            <w:shd w:fill="1B365D"/>
          </w:tcPr>
          <w:p>
            <w:r/>
            <w:r>
              <w:rPr>
                <w:rFonts w:ascii="Inter" w:hAnsi="Inter" w:cs="Inter"/>
                <w:b/>
                <w:i w:val="0"/>
                <w:color w:val="FFFFFF"/>
                <w:sz w:val="19"/>
              </w:rPr>
              <w:t>Vacancy Gap</w:t>
            </w:r>
          </w:p>
        </w:tc>
        <w:tc>
          <w:tcPr>
            <w:tcW w:type="dxa" w:w="1337"/>
            <w:shd w:fill="1B365D"/>
          </w:tcPr>
          <w:p>
            <w:r/>
            <w:r>
              <w:rPr>
                <w:rFonts w:ascii="Inter" w:hAnsi="Inter" w:cs="Inter"/>
                <w:b/>
                <w:i w:val="0"/>
                <w:color w:val="FFFFFF"/>
                <w:sz w:val="19"/>
              </w:rPr>
              <w:t>Competency Gap</w:t>
            </w:r>
          </w:p>
        </w:tc>
      </w:tr>
      <w:tr>
        <w:tc>
          <w:tcPr>
            <w:tcW w:type="dxa" w:w="1337"/>
          </w:tcPr>
          <w:p>
            <w:r/>
            <w:r>
              <w:rPr>
                <w:rFonts w:ascii="Inter" w:hAnsi="Inter" w:cs="Inter"/>
                <w:b w:val="0"/>
                <w:i w:val="0"/>
                <w:color w:val="2D2D2D"/>
                <w:sz w:val="19"/>
              </w:rPr>
              <w:t>Executive Director (SG-28)</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None</w:t>
            </w:r>
          </w:p>
        </w:tc>
      </w:tr>
      <w:tr>
        <w:tc>
          <w:tcPr>
            <w:tcW w:type="dxa" w:w="1337"/>
            <w:shd w:fill="F0F3F6"/>
          </w:tcPr>
          <w:p>
            <w:r/>
            <w:r>
              <w:rPr>
                <w:rFonts w:ascii="Inter" w:hAnsi="Inter" w:cs="Inter"/>
                <w:b w:val="0"/>
                <w:i w:val="0"/>
                <w:color w:val="2D2D2D"/>
                <w:sz w:val="19"/>
              </w:rPr>
              <w:t>Planning Officer III (SG-18)</w:t>
            </w:r>
          </w:p>
        </w:tc>
        <w:tc>
          <w:tcPr>
            <w:tcW w:type="dxa" w:w="1337"/>
            <w:shd w:fill="F0F3F6"/>
          </w:tcPr>
          <w:p>
            <w:r/>
            <w:r>
              <w:rPr>
                <w:rFonts w:ascii="Inter" w:hAnsi="Inter" w:cs="Inter"/>
                <w:b w:val="0"/>
                <w:i w:val="0"/>
                <w:color w:val="2D2D2D"/>
                <w:sz w:val="19"/>
              </w:rPr>
              <w:t>1</w:t>
            </w:r>
          </w:p>
        </w:tc>
        <w:tc>
          <w:tcPr>
            <w:tcW w:type="dxa" w:w="1337"/>
            <w:shd w:fill="F0F3F6"/>
          </w:tcPr>
          <w:p>
            <w:r/>
            <w:r>
              <w:rPr>
                <w:rFonts w:ascii="Inter" w:hAnsi="Inter" w:cs="Inter"/>
                <w:b w:val="0"/>
                <w:i w:val="0"/>
                <w:color w:val="2D2D2D"/>
                <w:sz w:val="19"/>
              </w:rPr>
              <w:t>1</w:t>
            </w:r>
          </w:p>
        </w:tc>
        <w:tc>
          <w:tcPr>
            <w:tcW w:type="dxa" w:w="1337"/>
            <w:shd w:fill="F0F3F6"/>
          </w:tcPr>
          <w:p>
            <w:r/>
            <w:r>
              <w:rPr>
                <w:rFonts w:ascii="Inter" w:hAnsi="Inter" w:cs="Inter"/>
                <w:b w:val="0"/>
                <w:i w:val="0"/>
                <w:color w:val="2D2D2D"/>
                <w:sz w:val="19"/>
              </w:rPr>
              <w:t>1</w:t>
            </w:r>
          </w:p>
        </w:tc>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Database/GIS skills</w:t>
            </w:r>
          </w:p>
        </w:tc>
      </w:tr>
      <w:tr>
        <w:tc>
          <w:tcPr>
            <w:tcW w:type="dxa" w:w="1337"/>
          </w:tcPr>
          <w:p>
            <w:r/>
            <w:r>
              <w:rPr>
                <w:rFonts w:ascii="Inter" w:hAnsi="Inter" w:cs="Inter"/>
                <w:b w:val="0"/>
                <w:i w:val="0"/>
                <w:color w:val="2D2D2D"/>
                <w:sz w:val="19"/>
              </w:rPr>
              <w:t>IT Officer (SG-15)</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0</w:t>
            </w:r>
          </w:p>
        </w:tc>
        <w:tc>
          <w:tcPr>
            <w:tcW w:type="dxa" w:w="1337"/>
          </w:tcPr>
          <w:p>
            <w:r/>
            <w:r>
              <w:rPr>
                <w:rFonts w:ascii="Inter" w:hAnsi="Inter" w:cs="Inter"/>
                <w:b w:val="0"/>
                <w:i w:val="0"/>
                <w:color w:val="2D2D2D"/>
                <w:sz w:val="19"/>
              </w:rPr>
              <w:t>0</w:t>
            </w:r>
          </w:p>
        </w:tc>
        <w:tc>
          <w:tcPr>
            <w:tcW w:type="dxa" w:w="1337"/>
          </w:tcPr>
          <w:p>
            <w:r/>
            <w:r>
              <w:rPr>
                <w:rFonts w:ascii="Inter" w:hAnsi="Inter" w:cs="Inter"/>
                <w:b w:val="0"/>
                <w:i w:val="0"/>
                <w:color w:val="2D2D2D"/>
                <w:sz w:val="19"/>
              </w:rPr>
              <w:t>1 position</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r>
      <w:tr>
        <w:tc>
          <w:tcPr>
            <w:tcW w:type="dxa" w:w="1337"/>
            <w:shd w:fill="F0F3F6"/>
          </w:tcPr>
          <w:p>
            <w:r/>
            <w:r>
              <w:rPr>
                <w:rFonts w:ascii="Inter" w:hAnsi="Inter" w:cs="Inter"/>
                <w:b w:val="0"/>
                <w:i w:val="0"/>
                <w:color w:val="2D2D2D"/>
                <w:sz w:val="19"/>
              </w:rPr>
              <w:t>Field Coordinator (SG-11)</w:t>
            </w:r>
          </w:p>
        </w:tc>
        <w:tc>
          <w:tcPr>
            <w:tcW w:type="dxa" w:w="1337"/>
            <w:shd w:fill="F0F3F6"/>
          </w:tcPr>
          <w:p>
            <w:r/>
            <w:r>
              <w:rPr>
                <w:rFonts w:ascii="Inter" w:hAnsi="Inter" w:cs="Inter"/>
                <w:b w:val="0"/>
                <w:i w:val="0"/>
                <w:color w:val="2D2D2D"/>
                <w:sz w:val="19"/>
              </w:rPr>
              <w:t>4</w:t>
            </w:r>
          </w:p>
        </w:tc>
        <w:tc>
          <w:tcPr>
            <w:tcW w:type="dxa" w:w="1337"/>
            <w:shd w:fill="F0F3F6"/>
          </w:tcPr>
          <w:p>
            <w:r/>
            <w:r>
              <w:rPr>
                <w:rFonts w:ascii="Inter" w:hAnsi="Inter" w:cs="Inter"/>
                <w:b w:val="0"/>
                <w:i w:val="0"/>
                <w:color w:val="2D2D2D"/>
                <w:sz w:val="19"/>
              </w:rPr>
              <w:t>2</w:t>
            </w:r>
          </w:p>
        </w:tc>
        <w:tc>
          <w:tcPr>
            <w:tcW w:type="dxa" w:w="1337"/>
            <w:shd w:fill="F0F3F6"/>
          </w:tcPr>
          <w:p>
            <w:r/>
            <w:r>
              <w:rPr>
                <w:rFonts w:ascii="Inter" w:hAnsi="Inter" w:cs="Inter"/>
                <w:b w:val="0"/>
                <w:i w:val="0"/>
                <w:color w:val="2D2D2D"/>
                <w:sz w:val="19"/>
              </w:rPr>
              <w:t>2</w:t>
            </w:r>
          </w:p>
        </w:tc>
        <w:tc>
          <w:tcPr>
            <w:tcW w:type="dxa" w:w="1337"/>
            <w:shd w:fill="F0F3F6"/>
          </w:tcPr>
          <w:p>
            <w:r/>
            <w:r>
              <w:rPr>
                <w:rFonts w:ascii="Inter" w:hAnsi="Inter" w:cs="Inter"/>
                <w:b w:val="0"/>
                <w:i w:val="0"/>
                <w:color w:val="2D2D2D"/>
                <w:sz w:val="19"/>
              </w:rPr>
              <w:t>2 positions</w:t>
            </w:r>
          </w:p>
        </w:tc>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w:t>
            </w:r>
          </w:p>
        </w:tc>
      </w:tr>
      <w:tr>
        <w:tc>
          <w:tcPr>
            <w:tcW w:type="dxa" w:w="1337"/>
          </w:tcPr>
          <w:p>
            <w:r/>
            <w:r>
              <w:rPr>
                <w:rFonts w:ascii="Inter" w:hAnsi="Inter" w:cs="Inter"/>
                <w:b w:val="0"/>
                <w:i w:val="0"/>
                <w:color w:val="2D2D2D"/>
                <w:sz w:val="19"/>
              </w:rPr>
              <w:t>Community Dev. Officer (SG-11)</w:t>
            </w:r>
          </w:p>
        </w:tc>
        <w:tc>
          <w:tcPr>
            <w:tcW w:type="dxa" w:w="1337"/>
          </w:tcPr>
          <w:p>
            <w:r/>
            <w:r>
              <w:rPr>
                <w:rFonts w:ascii="Inter" w:hAnsi="Inter" w:cs="Inter"/>
                <w:b w:val="0"/>
                <w:i w:val="0"/>
                <w:color w:val="2D2D2D"/>
                <w:sz w:val="19"/>
              </w:rPr>
              <w:t>3</w:t>
            </w:r>
          </w:p>
        </w:tc>
        <w:tc>
          <w:tcPr>
            <w:tcW w:type="dxa" w:w="1337"/>
          </w:tcPr>
          <w:p>
            <w:r/>
            <w:r>
              <w:rPr>
                <w:rFonts w:ascii="Inter" w:hAnsi="Inter" w:cs="Inter"/>
                <w:b w:val="0"/>
                <w:i w:val="0"/>
                <w:color w:val="2D2D2D"/>
                <w:sz w:val="19"/>
              </w:rPr>
              <w:t>2</w:t>
            </w:r>
          </w:p>
        </w:tc>
        <w:tc>
          <w:tcPr>
            <w:tcW w:type="dxa" w:w="1337"/>
          </w:tcPr>
          <w:p>
            <w:r/>
            <w:r>
              <w:rPr>
                <w:rFonts w:ascii="Inter" w:hAnsi="Inter" w:cs="Inter"/>
                <w:b w:val="0"/>
                <w:i w:val="0"/>
                <w:color w:val="2D2D2D"/>
                <w:sz w:val="19"/>
              </w:rPr>
              <w:t>2</w:t>
            </w:r>
          </w:p>
        </w:tc>
        <w:tc>
          <w:tcPr>
            <w:tcW w:type="dxa" w:w="1337"/>
          </w:tcPr>
          <w:p>
            <w:r/>
            <w:r>
              <w:rPr>
                <w:rFonts w:ascii="Inter" w:hAnsi="Inter" w:cs="Inter"/>
                <w:b w:val="0"/>
                <w:i w:val="0"/>
                <w:color w:val="2D2D2D"/>
                <w:sz w:val="19"/>
              </w:rPr>
              <w:t>1 position</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r>
      <w:tr>
        <w:tc>
          <w:tcPr>
            <w:tcW w:type="dxa" w:w="1337"/>
            <w:shd w:fill="F0F3F6"/>
          </w:tcPr>
          <w:p>
            <w:r/>
            <w:r>
              <w:rPr>
                <w:rFonts w:ascii="Inter" w:hAnsi="Inter" w:cs="Inter"/>
                <w:b w:val="0"/>
                <w:i w:val="0"/>
                <w:color w:val="2D2D2D"/>
                <w:sz w:val="19"/>
              </w:rPr>
              <w:t>Administrative Officer II (SG-11)</w:t>
            </w:r>
          </w:p>
        </w:tc>
        <w:tc>
          <w:tcPr>
            <w:tcW w:type="dxa" w:w="1337"/>
            <w:shd w:fill="F0F3F6"/>
          </w:tcPr>
          <w:p>
            <w:r/>
            <w:r>
              <w:rPr>
                <w:rFonts w:ascii="Inter" w:hAnsi="Inter" w:cs="Inter"/>
                <w:b w:val="0"/>
                <w:i w:val="0"/>
                <w:color w:val="2D2D2D"/>
                <w:sz w:val="19"/>
              </w:rPr>
              <w:t>1</w:t>
            </w:r>
          </w:p>
        </w:tc>
        <w:tc>
          <w:tcPr>
            <w:tcW w:type="dxa" w:w="1337"/>
            <w:shd w:fill="F0F3F6"/>
          </w:tcPr>
          <w:p>
            <w:r/>
            <w:r>
              <w:rPr>
                <w:rFonts w:ascii="Inter" w:hAnsi="Inter" w:cs="Inter"/>
                <w:b w:val="0"/>
                <w:i w:val="0"/>
                <w:color w:val="2D2D2D"/>
                <w:sz w:val="19"/>
              </w:rPr>
              <w:t>1</w:t>
            </w:r>
          </w:p>
        </w:tc>
        <w:tc>
          <w:tcPr>
            <w:tcW w:type="dxa" w:w="1337"/>
            <w:shd w:fill="F0F3F6"/>
          </w:tcPr>
          <w:p>
            <w:r/>
            <w:r>
              <w:rPr>
                <w:rFonts w:ascii="Inter" w:hAnsi="Inter" w:cs="Inter"/>
                <w:b w:val="0"/>
                <w:i w:val="0"/>
                <w:color w:val="2D2D2D"/>
                <w:sz w:val="19"/>
              </w:rPr>
              <w:t>1</w:t>
            </w:r>
          </w:p>
        </w:tc>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None</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Mitigation plan for structural gaps (4 positions):</w:t>
      </w:r>
      <w:r>
        <w:rPr>
          <w:rFonts w:ascii="Inter" w:hAnsi="Inter" w:cs="Inter"/>
          <w:b w:val="0"/>
          <w:i w:val="0"/>
          <w:color w:val="2D2D2D"/>
          <w:sz w:val="22"/>
        </w:rPr>
        <w:t xml:space="preserve"> OOBC will include 1 IT Officer, 2 Field Coordinator, and 1 Community Development Officer positions in its annual budget proposal to the MFBM. For the first implementation year: PSRRS development will be covered by a job-order IT consultant; the additional Community Development Officer function will be covered through a job-order arrangement; expanded field coverage will depend on existing staff scheduling and partner coordination until new positions are filled.</w:t>
      </w:r>
    </w:p>
    <w:p>
      <w:pPr>
        <w:pStyle w:val="Heading3"/>
      </w:pPr>
      <w:r>
        <w:rPr>
          <w:rFonts w:ascii="Inter" w:hAnsi="Inter" w:cs="Inter"/>
          <w:b/>
          <w:i w:val="0"/>
          <w:color w:val="2C5F7C"/>
          <w:sz w:val="26"/>
        </w:rPr>
        <w:t>Physical Resource Requirements</w:t>
      </w:r>
    </w:p>
    <w:p>
      <w:pPr>
        <w:spacing w:after="120" w:line="276" w:lineRule="auto"/>
      </w:pPr>
      <w:r>
        <w:rPr>
          <w:rFonts w:ascii="Inter" w:hAnsi="Inter" w:cs="Inter"/>
          <w:b w:val="0"/>
          <w:i w:val="0"/>
          <w:color w:val="2D2D2D"/>
          <w:sz w:val="22"/>
        </w:rPr>
      </w:r>
      <w:r>
        <w:rPr>
          <w:rFonts w:ascii="Inter" w:hAnsi="Inter" w:cs="Inter"/>
          <w:b/>
          <w:i w:val="0"/>
          <w:color w:val="2D2D2D"/>
          <w:sz w:val="22"/>
        </w:rPr>
        <w:t>Vehicles:</w:t>
      </w:r>
      <w:r>
        <w:rPr>
          <w:rFonts w:ascii="Inter" w:hAnsi="Inter" w:cs="Inter"/>
          <w:b w:val="0"/>
          <w:i w:val="0"/>
          <w:color w:val="2D2D2D"/>
          <w:sz w:val="22"/>
        </w:rPr>
        <w:t xml:space="preserve"> 2 field vehicles (4x4) required for field coordinator deployments to Davao and Sultan Kudarat. OOBC currently has 1 operational field vehicle assigned to Cotabato City. Procurement gap: 1 additional vehicle at ₱1,800,000 (Capital Outlay). An additional 2 motorcycles for community liaison staff in Pagadian and Cotabato City: ₱70,000 each = ₱140,000 (Capital Outlay).</w:t>
      </w:r>
    </w:p>
    <w:p>
      <w:pPr>
        <w:spacing w:after="120" w:line="276" w:lineRule="auto"/>
      </w:pPr>
      <w:r>
        <w:rPr>
          <w:rFonts w:ascii="Inter" w:hAnsi="Inter" w:cs="Inter"/>
          <w:b w:val="0"/>
          <w:i w:val="0"/>
          <w:color w:val="2D2D2D"/>
          <w:sz w:val="22"/>
        </w:rPr>
      </w:r>
      <w:r>
        <w:rPr>
          <w:rFonts w:ascii="Inter" w:hAnsi="Inter" w:cs="Inter"/>
          <w:b/>
          <w:i w:val="0"/>
          <w:color w:val="2D2D2D"/>
          <w:sz w:val="22"/>
        </w:rPr>
        <w:t>Laptops and tablets for community profiling:</w:t>
      </w:r>
      <w:r>
        <w:rPr>
          <w:rFonts w:ascii="Inter" w:hAnsi="Inter" w:cs="Inter"/>
          <w:b w:val="0"/>
          <w:i w:val="0"/>
          <w:color w:val="2D2D2D"/>
          <w:sz w:val="22"/>
        </w:rPr>
        <w:t xml:space="preserve"> 6 laptops and 8 tablets required for field profiling activities and PSRRS data entry. OOBC currently has 4 laptops (2 assigned to field offices, 2 in Cotabato). Procurement gap: 2 additional laptops at ₱60,000 each = ₱120,000 (Capital Outlay); 8 tablets at ₱25,000 each = ₱200,000 (Capital Outlay).</w:t>
      </w:r>
    </w:p>
    <w:p>
      <w:pPr>
        <w:spacing w:after="120" w:line="276" w:lineRule="auto"/>
      </w:pPr>
      <w:r>
        <w:rPr>
          <w:rFonts w:ascii="Inter" w:hAnsi="Inter" w:cs="Inter"/>
          <w:b w:val="0"/>
          <w:i w:val="0"/>
          <w:color w:val="2D2D2D"/>
          <w:sz w:val="22"/>
        </w:rPr>
      </w:r>
      <w:r>
        <w:rPr>
          <w:rFonts w:ascii="Inter" w:hAnsi="Inter" w:cs="Inter"/>
          <w:b/>
          <w:i w:val="0"/>
          <w:color w:val="2D2D2D"/>
          <w:sz w:val="22"/>
        </w:rPr>
        <w:t>Server / cloud hosting for PSRRS:</w:t>
      </w:r>
      <w:r>
        <w:rPr>
          <w:rFonts w:ascii="Inter" w:hAnsi="Inter" w:cs="Inter"/>
          <w:b w:val="0"/>
          <w:i w:val="0"/>
          <w:color w:val="2D2D2D"/>
          <w:sz w:val="22"/>
        </w:rPr>
        <w:t xml:space="preserve"> The PSRRS database system requires either a dedicated server or a cloud hosting arrangement. OOBC does not currently have IT infrastructure for a hosted system. Preferred approach: cloud hosting subscription to minimize upfront capital cost. Estimated cost: ₱80,000 per year (MOOE — contracted services). If a dedicated server is required by BPDA policy: ₱350,000 one-time (Capital Outlay).</w:t>
      </w:r>
    </w:p>
    <w:p>
      <w:pPr>
        <w:spacing w:after="120" w:line="276" w:lineRule="auto"/>
      </w:pPr>
      <w:r>
        <w:rPr>
          <w:rFonts w:ascii="Inter" w:hAnsi="Inter" w:cs="Inter"/>
          <w:b w:val="0"/>
          <w:i w:val="0"/>
          <w:color w:val="2D2D2D"/>
          <w:sz w:val="22"/>
        </w:rPr>
      </w:r>
      <w:r>
        <w:rPr>
          <w:rFonts w:ascii="Inter" w:hAnsi="Inter" w:cs="Inter"/>
          <w:b/>
          <w:i w:val="0"/>
          <w:color w:val="2D2D2D"/>
          <w:sz w:val="22"/>
        </w:rPr>
        <w:t>Profiling supplies and materials:</w:t>
      </w:r>
      <w:r>
        <w:rPr>
          <w:rFonts w:ascii="Inter" w:hAnsi="Inter" w:cs="Inter"/>
          <w:b w:val="0"/>
          <w:i w:val="0"/>
          <w:color w:val="2D2D2D"/>
          <w:sz w:val="22"/>
        </w:rPr>
        <w:t xml:space="preserve"> Forms, field kits, and consumable supplies for community profiling activities — estimated at ₱120,000 per year (MOOE — supplies and materials).</w:t>
      </w:r>
    </w:p>
    <w:p>
      <w:pPr>
        <w:spacing w:after="120" w:line="276" w:lineRule="auto"/>
      </w:pPr>
      <w:r>
        <w:rPr>
          <w:rFonts w:ascii="Inter" w:hAnsi="Inter" w:cs="Inter"/>
          <w:b w:val="0"/>
          <w:i w:val="0"/>
          <w:color w:val="2D2D2D"/>
          <w:sz w:val="22"/>
        </w:rPr>
      </w:r>
      <w:r>
        <w:rPr>
          <w:rFonts w:ascii="Inter" w:hAnsi="Inter" w:cs="Inter"/>
          <w:b/>
          <w:i w:val="0"/>
          <w:color w:val="2D2D2D"/>
          <w:sz w:val="22"/>
        </w:rPr>
        <w:t>Training and workshop costs:</w:t>
      </w:r>
      <w:r>
        <w:rPr>
          <w:rFonts w:ascii="Inter" w:hAnsi="Inter" w:cs="Inter"/>
          <w:b w:val="0"/>
          <w:i w:val="0"/>
          <w:color w:val="2D2D2D"/>
          <w:sz w:val="22"/>
        </w:rPr>
        <w:t xml:space="preserve"> FGDs, coordination meetings, advocacy events — estimated at ₱400,000 per year across all locations (MOOE — training and workshop expenses and travel).</w:t>
      </w:r>
    </w:p>
    <w:p>
      <w:pPr>
        <w:pStyle w:val="Heading3"/>
      </w:pPr>
      <w:r>
        <w:rPr>
          <w:rFonts w:ascii="Inter" w:hAnsi="Inter" w:cs="Inter"/>
          <w:b/>
          <w:i w:val="0"/>
          <w:color w:val="2C5F7C"/>
          <w:sz w:val="26"/>
        </w:rPr>
        <w:t>Partnership Map</w:t>
      </w:r>
    </w:p>
    <w:p>
      <w:pPr>
        <w:spacing w:after="120" w:line="276" w:lineRule="auto"/>
      </w:pPr>
      <w:r>
        <w:rPr>
          <w:rFonts w:ascii="Inter" w:hAnsi="Inter" w:cs="Inter"/>
          <w:b w:val="0"/>
          <w:i w:val="0"/>
          <w:color w:val="2D2D2D"/>
          <w:sz w:val="22"/>
        </w:rPr>
        <w:t>OOBC has identified the following key partnerships for its operations program:</w:t>
      </w:r>
    </w:p>
    <w:p>
      <w:pPr>
        <w:spacing w:after="120" w:line="276" w:lineRule="auto"/>
      </w:pPr>
      <w:r>
        <w:rPr>
          <w:rFonts w:ascii="Inter" w:hAnsi="Inter" w:cs="Inter"/>
          <w:b w:val="0"/>
          <w:i w:val="0"/>
          <w:color w:val="2D2D2D"/>
          <w:sz w:val="22"/>
        </w:rPr>
      </w:r>
      <w:r>
        <w:rPr>
          <w:rFonts w:ascii="Inter" w:hAnsi="Inter" w:cs="Inter"/>
          <w:b/>
          <w:i w:val="0"/>
          <w:color w:val="2D2D2D"/>
          <w:sz w:val="22"/>
        </w:rPr>
        <w:t>CFSI — Community and Family Services International (Civil Society):</w:t>
      </w:r>
      <w:r>
        <w:rPr>
          <w:rFonts w:ascii="Inter" w:hAnsi="Inter" w:cs="Inter"/>
          <w:b w:val="0"/>
          <w:i w:val="0"/>
          <w:color w:val="2D2D2D"/>
          <w:sz w:val="22"/>
        </w:rPr>
        <w:t xml:space="preserve"> CFSI has an existing presence in Bangsamoro diaspora communities and can support community mobilization, profiling facilitation, and data gathering in areas where OOBC has limited staff presence. Proposed contribution: co-facilitation of FGDs and community consultations in Davao, Zamboanga, and SOCCSKSARGEN; referral coordination for vulnerable sector cases (women, youth, elders, PWDs). Status: existing informal working relationship; MOA to be formalized in Year 1.</w:t>
      </w:r>
    </w:p>
    <w:p>
      <w:pPr>
        <w:spacing w:after="120" w:line="276" w:lineRule="auto"/>
      </w:pPr>
      <w:r>
        <w:rPr>
          <w:rFonts w:ascii="Inter" w:hAnsi="Inter" w:cs="Inter"/>
          <w:b w:val="0"/>
          <w:i w:val="0"/>
          <w:color w:val="2D2D2D"/>
          <w:sz w:val="22"/>
        </w:rPr>
      </w:r>
      <w:r>
        <w:rPr>
          <w:rFonts w:ascii="Inter" w:hAnsi="Inter" w:cs="Inter"/>
          <w:b/>
          <w:i w:val="0"/>
          <w:color w:val="2D2D2D"/>
          <w:sz w:val="22"/>
        </w:rPr>
        <w:t>BDA — Bangsamoro Development Authority (G2G):</w:t>
      </w:r>
      <w:r>
        <w:rPr>
          <w:rFonts w:ascii="Inter" w:hAnsi="Inter" w:cs="Inter"/>
          <w:b w:val="0"/>
          <w:i w:val="0"/>
          <w:color w:val="2D2D2D"/>
          <w:sz w:val="22"/>
        </w:rPr>
        <w:t xml:space="preserve"> BDA coordinates development investments across BARMM and tracks community beneficiaries. Proposed contribution: data sharing on OBC communities in BDA coverage areas; joint development of profiling instruments; co-funding of community development workshops. Status: coordination meetings conducted; formal MOA under preparation.</w:t>
      </w:r>
    </w:p>
    <w:p>
      <w:pPr>
        <w:spacing w:after="120" w:line="276" w:lineRule="auto"/>
      </w:pPr>
      <w:r>
        <w:rPr>
          <w:rFonts w:ascii="Inter" w:hAnsi="Inter" w:cs="Inter"/>
          <w:b w:val="0"/>
          <w:i w:val="0"/>
          <w:color w:val="2D2D2D"/>
          <w:sz w:val="22"/>
        </w:rPr>
      </w:r>
      <w:r>
        <w:rPr>
          <w:rFonts w:ascii="Inter" w:hAnsi="Inter" w:cs="Inter"/>
          <w:b/>
          <w:i w:val="0"/>
          <w:color w:val="2D2D2D"/>
          <w:sz w:val="22"/>
        </w:rPr>
        <w:t>BLMI — Bangsamoro Labor and Migration Institute (G2G):</w:t>
      </w:r>
      <w:r>
        <w:rPr>
          <w:rFonts w:ascii="Inter" w:hAnsi="Inter" w:cs="Inter"/>
          <w:b w:val="0"/>
          <w:i w:val="0"/>
          <w:color w:val="2D2D2D"/>
          <w:sz w:val="22"/>
        </w:rPr>
        <w:t xml:space="preserve"> BLMI has migration and labor data on Bangsamoro communities outside BARMM. Proposed contribution: data sharing on OBC community locations and economic profiles; co-facilitation of labor-related information campaigns. Status: initial coordination conducted; LOI to be submitted in Year 1.</w:t>
      </w:r>
    </w:p>
    <w:p>
      <w:pPr>
        <w:spacing w:after="120" w:line="276" w:lineRule="auto"/>
      </w:pPr>
      <w:r>
        <w:rPr>
          <w:rFonts w:ascii="Inter" w:hAnsi="Inter" w:cs="Inter"/>
          <w:b w:val="0"/>
          <w:i w:val="0"/>
          <w:color w:val="2D2D2D"/>
          <w:sz w:val="22"/>
        </w:rPr>
      </w:r>
      <w:r>
        <w:rPr>
          <w:rFonts w:ascii="Inter" w:hAnsi="Inter" w:cs="Inter"/>
          <w:b/>
          <w:i w:val="0"/>
          <w:color w:val="2D2D2D"/>
          <w:sz w:val="22"/>
        </w:rPr>
        <w:t>DILG — Department of the Interior and Local Government (NGA Coordination):</w:t>
      </w:r>
      <w:r>
        <w:rPr>
          <w:rFonts w:ascii="Inter" w:hAnsi="Inter" w:cs="Inter"/>
          <w:b w:val="0"/>
          <w:i w:val="0"/>
          <w:color w:val="2D2D2D"/>
          <w:sz w:val="22"/>
        </w:rPr>
        <w:t xml:space="preserve"> DILG's regional and provincial offices can facilitate OOBC's coordination with LGUs in non-BARMM provinces. Proposed contribution: facilitation of LGU endorsements and MOA signings; inclusion of OOBC in regional coordination meetings. Status: initial engagement through OCM inter-agency mechanisms.</w:t>
      </w:r>
    </w:p>
    <w:p>
      <w:pPr>
        <w:spacing w:after="120" w:line="276" w:lineRule="auto"/>
      </w:pPr>
      <w:r>
        <w:rPr>
          <w:rFonts w:ascii="Inter" w:hAnsi="Inter" w:cs="Inter"/>
          <w:b w:val="0"/>
          <w:i w:val="0"/>
          <w:color w:val="2D2D2D"/>
          <w:sz w:val="22"/>
        </w:rPr>
      </w:r>
      <w:r>
        <w:rPr>
          <w:rFonts w:ascii="Inter" w:hAnsi="Inter" w:cs="Inter"/>
          <w:b/>
          <w:i w:val="0"/>
          <w:color w:val="2D2D2D"/>
          <w:sz w:val="22"/>
        </w:rPr>
        <w:t>MSSD, MBHTE, MAFAR (BARMM Ministries — Service Delivery Coordination):</w:t>
      </w:r>
      <w:r>
        <w:rPr>
          <w:rFonts w:ascii="Inter" w:hAnsi="Inter" w:cs="Inter"/>
          <w:b w:val="0"/>
          <w:i w:val="0"/>
          <w:color w:val="2D2D2D"/>
          <w:sz w:val="22"/>
        </w:rPr>
        <w:t xml:space="preserve"> OOBC's mandate involves connecting OBC communities to BARMM services. Coordination with the Ministry of Social Services and Development, Ministry of Basic, Higher, and Technical Education, and Ministry of Agriculture, Fisheries, and Agrarian Reform is needed for referral protocols. Proposed contribution: establishment of joint referral procedures and data-sharing protocols. Status: coordination ongoing; MOAs to be formalized through the Operations cluster.</w:t>
      </w:r>
    </w:p>
    <w:p>
      <w:pPr>
        <w:pStyle w:val="Heading3"/>
      </w:pPr>
      <w:r>
        <w:rPr>
          <w:rFonts w:ascii="Inter" w:hAnsi="Inter" w:cs="Inter"/>
          <w:b/>
          <w:i w:val="0"/>
          <w:color w:val="2C5F7C"/>
          <w:sz w:val="26"/>
        </w:rPr>
        <w:t>Cost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Resource Category</w:t>
            </w:r>
          </w:p>
        </w:tc>
        <w:tc>
          <w:tcPr>
            <w:tcW w:type="dxa" w:w="1872"/>
            <w:shd w:fill="1B365D"/>
          </w:tcPr>
          <w:p>
            <w:r/>
            <w:r>
              <w:rPr>
                <w:rFonts w:ascii="Inter" w:hAnsi="Inter" w:cs="Inter"/>
                <w:b/>
                <w:i w:val="0"/>
                <w:color w:val="FFFFFF"/>
                <w:sz w:val="19"/>
              </w:rPr>
              <w:t>Year 1</w:t>
            </w:r>
          </w:p>
        </w:tc>
        <w:tc>
          <w:tcPr>
            <w:tcW w:type="dxa" w:w="1872"/>
            <w:shd w:fill="1B365D"/>
          </w:tcPr>
          <w:p>
            <w:r/>
            <w:r>
              <w:rPr>
                <w:rFonts w:ascii="Inter" w:hAnsi="Inter" w:cs="Inter"/>
                <w:b/>
                <w:i w:val="0"/>
                <w:color w:val="FFFFFF"/>
                <w:sz w:val="19"/>
              </w:rPr>
              <w:t>Year 2</w:t>
            </w:r>
          </w:p>
        </w:tc>
        <w:tc>
          <w:tcPr>
            <w:tcW w:type="dxa" w:w="1872"/>
            <w:shd w:fill="1B365D"/>
          </w:tcPr>
          <w:p>
            <w:r/>
            <w:r>
              <w:rPr>
                <w:rFonts w:ascii="Inter" w:hAnsi="Inter" w:cs="Inter"/>
                <w:b/>
                <w:i w:val="0"/>
                <w:color w:val="FFFFFF"/>
                <w:sz w:val="19"/>
              </w:rPr>
              <w:t>Year 3</w:t>
            </w:r>
          </w:p>
        </w:tc>
        <w:tc>
          <w:tcPr>
            <w:tcW w:type="dxa" w:w="1872"/>
            <w:shd w:fill="1B365D"/>
          </w:tcPr>
          <w:p>
            <w:r/>
            <w:r>
              <w:rPr>
                <w:rFonts w:ascii="Inter" w:hAnsi="Inter" w:cs="Inter"/>
                <w:b/>
                <w:i w:val="0"/>
                <w:color w:val="FFFFFF"/>
                <w:sz w:val="19"/>
              </w:rPr>
              <w:t>Total</w:t>
            </w:r>
          </w:p>
        </w:tc>
      </w:tr>
      <w:tr>
        <w:tc>
          <w:tcPr>
            <w:tcW w:type="dxa" w:w="1872"/>
          </w:tcPr>
          <w:p>
            <w:r/>
            <w:r>
              <w:rPr>
                <w:rFonts w:ascii="Inter" w:hAnsi="Inter" w:cs="Inter"/>
                <w:b w:val="0"/>
                <w:i w:val="0"/>
                <w:color w:val="2D2D2D"/>
                <w:sz w:val="19"/>
              </w:rPr>
              <w:t>Personnel Services (estimated)</w:t>
            </w:r>
          </w:p>
        </w:tc>
        <w:tc>
          <w:tcPr>
            <w:tcW w:type="dxa" w:w="1872"/>
          </w:tcPr>
          <w:p>
            <w:r/>
            <w:r>
              <w:rPr>
                <w:rFonts w:ascii="Inter" w:hAnsi="Inter" w:cs="Inter"/>
                <w:b w:val="0"/>
                <w:i w:val="0"/>
                <w:color w:val="2D2D2D"/>
                <w:sz w:val="19"/>
              </w:rPr>
              <w:t>₱9,800,000</w:t>
            </w:r>
          </w:p>
        </w:tc>
        <w:tc>
          <w:tcPr>
            <w:tcW w:type="dxa" w:w="1872"/>
          </w:tcPr>
          <w:p>
            <w:r/>
            <w:r>
              <w:rPr>
                <w:rFonts w:ascii="Inter" w:hAnsi="Inter" w:cs="Inter"/>
                <w:b w:val="0"/>
                <w:i w:val="0"/>
                <w:color w:val="2D2D2D"/>
                <w:sz w:val="19"/>
              </w:rPr>
              <w:t>₱10,400,000</w:t>
            </w:r>
          </w:p>
        </w:tc>
        <w:tc>
          <w:tcPr>
            <w:tcW w:type="dxa" w:w="1872"/>
          </w:tcPr>
          <w:p>
            <w:r/>
            <w:r>
              <w:rPr>
                <w:rFonts w:ascii="Inter" w:hAnsi="Inter" w:cs="Inter"/>
                <w:b w:val="0"/>
                <w:i w:val="0"/>
                <w:color w:val="2D2D2D"/>
                <w:sz w:val="19"/>
              </w:rPr>
              <w:t>₱10,600,000</w:t>
            </w:r>
          </w:p>
        </w:tc>
        <w:tc>
          <w:tcPr>
            <w:tcW w:type="dxa" w:w="1872"/>
          </w:tcPr>
          <w:p>
            <w:r/>
            <w:r>
              <w:rPr>
                <w:rFonts w:ascii="Inter" w:hAnsi="Inter" w:cs="Inter"/>
                <w:b w:val="0"/>
                <w:i w:val="0"/>
                <w:color w:val="2D2D2D"/>
                <w:sz w:val="19"/>
              </w:rPr>
              <w:t>₱30,800,000</w:t>
            </w:r>
          </w:p>
        </w:tc>
      </w:tr>
      <w:tr>
        <w:tc>
          <w:tcPr>
            <w:tcW w:type="dxa" w:w="1872"/>
            <w:shd w:fill="F0F3F6"/>
          </w:tcPr>
          <w:p>
            <w:r/>
            <w:r>
              <w:rPr>
                <w:rFonts w:ascii="Inter" w:hAnsi="Inter" w:cs="Inter"/>
                <w:b w:val="0"/>
                <w:i w:val="0"/>
                <w:color w:val="2D2D2D"/>
                <w:sz w:val="19"/>
              </w:rPr>
              <w:t>MOOE (profiling, coordination, advocacy, training, travel)</w:t>
            </w:r>
          </w:p>
        </w:tc>
        <w:tc>
          <w:tcPr>
            <w:tcW w:type="dxa" w:w="1872"/>
            <w:shd w:fill="F0F3F6"/>
          </w:tcPr>
          <w:p>
            <w:r/>
            <w:r>
              <w:rPr>
                <w:rFonts w:ascii="Inter" w:hAnsi="Inter" w:cs="Inter"/>
                <w:b w:val="0"/>
                <w:i w:val="0"/>
                <w:color w:val="2D2D2D"/>
                <w:sz w:val="19"/>
              </w:rPr>
              <w:t>₱2,850,000</w:t>
            </w:r>
          </w:p>
        </w:tc>
        <w:tc>
          <w:tcPr>
            <w:tcW w:type="dxa" w:w="1872"/>
            <w:shd w:fill="F0F3F6"/>
          </w:tcPr>
          <w:p>
            <w:r/>
            <w:r>
              <w:rPr>
                <w:rFonts w:ascii="Inter" w:hAnsi="Inter" w:cs="Inter"/>
                <w:b w:val="0"/>
                <w:i w:val="0"/>
                <w:color w:val="2D2D2D"/>
                <w:sz w:val="19"/>
              </w:rPr>
              <w:t>₱2,600,000</w:t>
            </w:r>
          </w:p>
        </w:tc>
        <w:tc>
          <w:tcPr>
            <w:tcW w:type="dxa" w:w="1872"/>
            <w:shd w:fill="F0F3F6"/>
          </w:tcPr>
          <w:p>
            <w:r/>
            <w:r>
              <w:rPr>
                <w:rFonts w:ascii="Inter" w:hAnsi="Inter" w:cs="Inter"/>
                <w:b w:val="0"/>
                <w:i w:val="0"/>
                <w:color w:val="2D2D2D"/>
                <w:sz w:val="19"/>
              </w:rPr>
              <w:t>₱2,600,000</w:t>
            </w:r>
          </w:p>
        </w:tc>
        <w:tc>
          <w:tcPr>
            <w:tcW w:type="dxa" w:w="1872"/>
            <w:shd w:fill="F0F3F6"/>
          </w:tcPr>
          <w:p>
            <w:r/>
            <w:r>
              <w:rPr>
                <w:rFonts w:ascii="Inter" w:hAnsi="Inter" w:cs="Inter"/>
                <w:b w:val="0"/>
                <w:i w:val="0"/>
                <w:color w:val="2D2D2D"/>
                <w:sz w:val="19"/>
              </w:rPr>
              <w:t>₱8,050,000</w:t>
            </w:r>
          </w:p>
        </w:tc>
      </w:tr>
      <w:tr>
        <w:tc>
          <w:tcPr>
            <w:tcW w:type="dxa" w:w="1872"/>
          </w:tcPr>
          <w:p>
            <w:r/>
            <w:r>
              <w:rPr>
                <w:rFonts w:ascii="Inter" w:hAnsi="Inter" w:cs="Inter"/>
                <w:b w:val="0"/>
                <w:i w:val="0"/>
                <w:color w:val="2D2D2D"/>
                <w:sz w:val="19"/>
              </w:rPr>
              <w:t>Capital Outlays</w:t>
            </w:r>
          </w:p>
        </w:tc>
        <w:tc>
          <w:tcPr>
            <w:tcW w:type="dxa" w:w="1872"/>
          </w:tcPr>
          <w:p>
            <w:r/>
            <w:r>
              <w:rPr>
                <w:rFonts w:ascii="Inter" w:hAnsi="Inter" w:cs="Inter"/>
                <w:b w:val="0"/>
                <w:i w:val="0"/>
                <w:color w:val="2D2D2D"/>
                <w:sz w:val="19"/>
              </w:rPr>
              <w:t>₱2,610,000</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₱2,610,000</w:t>
            </w:r>
          </w:p>
        </w:tc>
      </w:tr>
      <w:tr>
        <w:tc>
          <w:tcPr>
            <w:tcW w:type="dxa" w:w="1872"/>
            <w:shd w:fill="F0F3F6"/>
          </w:tcPr>
          <w:p>
            <w:r/>
            <w:r>
              <w:rPr>
                <w:rFonts w:ascii="Inter" w:hAnsi="Inter" w:cs="Inter"/>
                <w:b w:val="0"/>
                <w:i w:val="0"/>
                <w:color w:val="2D2D2D"/>
                <w:sz w:val="19"/>
              </w:rPr>
              <w:t>**Total (OOBC appropriation)**</w:t>
            </w:r>
          </w:p>
        </w:tc>
        <w:tc>
          <w:tcPr>
            <w:tcW w:type="dxa" w:w="1872"/>
            <w:shd w:fill="F0F3F6"/>
          </w:tcPr>
          <w:p>
            <w:r/>
            <w:r>
              <w:rPr>
                <w:rFonts w:ascii="Inter" w:hAnsi="Inter" w:cs="Inter"/>
                <w:b w:val="0"/>
                <w:i w:val="0"/>
                <w:color w:val="2D2D2D"/>
                <w:sz w:val="19"/>
              </w:rPr>
              <w:t>**₱15,260,000**</w:t>
            </w:r>
          </w:p>
        </w:tc>
        <w:tc>
          <w:tcPr>
            <w:tcW w:type="dxa" w:w="1872"/>
            <w:shd w:fill="F0F3F6"/>
          </w:tcPr>
          <w:p>
            <w:r/>
            <w:r>
              <w:rPr>
                <w:rFonts w:ascii="Inter" w:hAnsi="Inter" w:cs="Inter"/>
                <w:b w:val="0"/>
                <w:i w:val="0"/>
                <w:color w:val="2D2D2D"/>
                <w:sz w:val="19"/>
              </w:rPr>
              <w:t>**₱13,000,000**</w:t>
            </w:r>
          </w:p>
        </w:tc>
        <w:tc>
          <w:tcPr>
            <w:tcW w:type="dxa" w:w="1872"/>
            <w:shd w:fill="F0F3F6"/>
          </w:tcPr>
          <w:p>
            <w:r/>
            <w:r>
              <w:rPr>
                <w:rFonts w:ascii="Inter" w:hAnsi="Inter" w:cs="Inter"/>
                <w:b w:val="0"/>
                <w:i w:val="0"/>
                <w:color w:val="2D2D2D"/>
                <w:sz w:val="19"/>
              </w:rPr>
              <w:t>**₱13,200,000**</w:t>
            </w:r>
          </w:p>
        </w:tc>
        <w:tc>
          <w:tcPr>
            <w:tcW w:type="dxa" w:w="1872"/>
            <w:shd w:fill="F0F3F6"/>
          </w:tcPr>
          <w:p>
            <w:r/>
            <w:r>
              <w:rPr>
                <w:rFonts w:ascii="Inter" w:hAnsi="Inter" w:cs="Inter"/>
                <w:b w:val="0"/>
                <w:i w:val="0"/>
                <w:color w:val="2D2D2D"/>
                <w:sz w:val="19"/>
              </w:rPr>
              <w:t>**₱41,460,000**</w:t>
            </w:r>
          </w:p>
        </w:tc>
      </w:tr>
      <w:tr>
        <w:tc>
          <w:tcPr>
            <w:tcW w:type="dxa" w:w="1872"/>
          </w:tcPr>
          <w:p>
            <w:r/>
            <w:r>
              <w:rPr>
                <w:rFonts w:ascii="Inter" w:hAnsi="Inter" w:cs="Inter"/>
                <w:b w:val="0"/>
                <w:i w:val="0"/>
                <w:color w:val="2D2D2D"/>
                <w:sz w:val="19"/>
              </w:rPr>
              <w:t>External (CFSI, BDA, LGU counterpart)</w:t>
            </w:r>
          </w:p>
        </w:tc>
        <w:tc>
          <w:tcPr>
            <w:tcW w:type="dxa" w:w="1872"/>
          </w:tcPr>
          <w:p>
            <w:r/>
            <w:r>
              <w:rPr>
                <w:rFonts w:ascii="Inter" w:hAnsi="Inter" w:cs="Inter"/>
                <w:b w:val="0"/>
                <w:i w:val="0"/>
                <w:color w:val="2D2D2D"/>
                <w:sz w:val="19"/>
              </w:rPr>
              <w:t>₱600,000</w:t>
            </w:r>
          </w:p>
        </w:tc>
        <w:tc>
          <w:tcPr>
            <w:tcW w:type="dxa" w:w="1872"/>
          </w:tcPr>
          <w:p>
            <w:r/>
            <w:r>
              <w:rPr>
                <w:rFonts w:ascii="Inter" w:hAnsi="Inter" w:cs="Inter"/>
                <w:b w:val="0"/>
                <w:i w:val="0"/>
                <w:color w:val="2D2D2D"/>
                <w:sz w:val="19"/>
              </w:rPr>
              <w:t>₱800,000</w:t>
            </w:r>
          </w:p>
        </w:tc>
        <w:tc>
          <w:tcPr>
            <w:tcW w:type="dxa" w:w="1872"/>
          </w:tcPr>
          <w:p>
            <w:r/>
            <w:r>
              <w:rPr>
                <w:rFonts w:ascii="Inter" w:hAnsi="Inter" w:cs="Inter"/>
                <w:b w:val="0"/>
                <w:i w:val="0"/>
                <w:color w:val="2D2D2D"/>
                <w:sz w:val="19"/>
              </w:rPr>
              <w:t>₱600,000</w:t>
            </w:r>
          </w:p>
        </w:tc>
        <w:tc>
          <w:tcPr>
            <w:tcW w:type="dxa" w:w="1872"/>
          </w:tcPr>
          <w:p>
            <w:r/>
            <w:r>
              <w:rPr>
                <w:rFonts w:ascii="Inter" w:hAnsi="Inter" w:cs="Inter"/>
                <w:b w:val="0"/>
                <w:i w:val="0"/>
                <w:color w:val="2D2D2D"/>
                <w:sz w:val="19"/>
              </w:rPr>
              <w:t>₱2,000,000</w:t>
            </w:r>
          </w:p>
        </w:tc>
      </w:tr>
      <w:tr>
        <w:tc>
          <w:tcPr>
            <w:tcW w:type="dxa" w:w="1872"/>
            <w:shd w:fill="F0F3F6"/>
          </w:tcPr>
          <w:p>
            <w:r/>
            <w:r>
              <w:rPr>
                <w:rFonts w:ascii="Inter" w:hAnsi="Inter" w:cs="Inter"/>
                <w:b w:val="0"/>
                <w:i w:val="0"/>
                <w:color w:val="2D2D2D"/>
                <w:sz w:val="19"/>
              </w:rPr>
              <w:t>**Total Program Resources**</w:t>
            </w:r>
          </w:p>
        </w:tc>
        <w:tc>
          <w:tcPr>
            <w:tcW w:type="dxa" w:w="1872"/>
            <w:shd w:fill="F0F3F6"/>
          </w:tcPr>
          <w:p>
            <w:r/>
            <w:r>
              <w:rPr>
                <w:rFonts w:ascii="Inter" w:hAnsi="Inter" w:cs="Inter"/>
                <w:b w:val="0"/>
                <w:i w:val="0"/>
                <w:color w:val="2D2D2D"/>
                <w:sz w:val="19"/>
              </w:rPr>
              <w:t>**₱15,860,000**</w:t>
            </w:r>
          </w:p>
        </w:tc>
        <w:tc>
          <w:tcPr>
            <w:tcW w:type="dxa" w:w="1872"/>
            <w:shd w:fill="F0F3F6"/>
          </w:tcPr>
          <w:p>
            <w:r/>
            <w:r>
              <w:rPr>
                <w:rFonts w:ascii="Inter" w:hAnsi="Inter" w:cs="Inter"/>
                <w:b w:val="0"/>
                <w:i w:val="0"/>
                <w:color w:val="2D2D2D"/>
                <w:sz w:val="19"/>
              </w:rPr>
              <w:t>**₱13,800,000**</w:t>
            </w:r>
          </w:p>
        </w:tc>
        <w:tc>
          <w:tcPr>
            <w:tcW w:type="dxa" w:w="1872"/>
            <w:shd w:fill="F0F3F6"/>
          </w:tcPr>
          <w:p>
            <w:r/>
            <w:r>
              <w:rPr>
                <w:rFonts w:ascii="Inter" w:hAnsi="Inter" w:cs="Inter"/>
                <w:b w:val="0"/>
                <w:i w:val="0"/>
                <w:color w:val="2D2D2D"/>
                <w:sz w:val="19"/>
              </w:rPr>
              <w:t>**₱13,800,000**</w:t>
            </w:r>
          </w:p>
        </w:tc>
        <w:tc>
          <w:tcPr>
            <w:tcW w:type="dxa" w:w="1872"/>
            <w:shd w:fill="F0F3F6"/>
          </w:tcPr>
          <w:p>
            <w:r/>
            <w:r>
              <w:rPr>
                <w:rFonts w:ascii="Inter" w:hAnsi="Inter" w:cs="Inter"/>
                <w:b w:val="0"/>
                <w:i w:val="0"/>
                <w:color w:val="2D2D2D"/>
                <w:sz w:val="19"/>
              </w:rPr>
              <w:t>**₱43,460,000**</w:t>
            </w:r>
          </w:p>
        </w:tc>
      </w:tr>
    </w:tbl>
    <w:p/>
    <w:p>
      <w:pPr>
        <w:spacing w:after="120" w:line="276" w:lineRule="auto"/>
      </w:pPr>
      <w:r>
        <w:rPr>
          <w:rFonts w:ascii="Inter" w:hAnsi="Inter" w:cs="Inter"/>
          <w:b w:val="0"/>
          <w:i w:val="0"/>
          <w:color w:val="2D2D2D"/>
          <w:sz w:val="22"/>
        </w:rPr>
        <w:t>*Note: Personnel Services costs cover the full plantilla of ~25 positions allocated proportionally across all programs (GAS, STO, and Operations). The figure above reflects the Operations program share. Final figures are subject to DBM salary grade tables and MFBM budget ceiling confirmation. Fund release delays — a documented challenge for OOBC — are factored into the phased implementation design: Year 1 CO procurement is front-loaded to allow for procurement lead time even if releases arrive in Q2.*</w:t>
      </w:r>
    </w:p>
    <w:p>
      <w:pPr>
        <w:pStyle w:val="Heading2"/>
      </w:pPr>
      <w:r>
        <w:rPr>
          <w:rFonts w:ascii="Inter" w:hAnsi="Inter" w:cs="Inter"/>
          <w:b/>
          <w:i w:val="0"/>
          <w:color w:val="1B365D"/>
          <w:sz w:val="32"/>
        </w:rPr>
        <w:t>9.5 For Decision-Makers</w:t>
      </w:r>
    </w:p>
    <w:p>
      <w:pPr>
        <w:spacing w:after="120" w:line="276" w:lineRule="auto"/>
      </w:pPr>
      <w:r>
        <w:rPr>
          <w:rFonts w:ascii="Inter" w:hAnsi="Inter" w:cs="Inter"/>
          <w:b w:val="0"/>
          <w:i w:val="0"/>
          <w:color w:val="2D2D2D"/>
          <w:sz w:val="22"/>
        </w:rPr>
        <w:t>Resource planning is where strategic plans become real — or fail to become real.</w:t>
      </w:r>
    </w:p>
    <w:p>
      <w:pPr>
        <w:spacing w:after="120" w:line="276" w:lineRule="auto"/>
      </w:pPr>
      <w:r>
        <w:rPr>
          <w:rFonts w:ascii="Inter" w:hAnsi="Inter" w:cs="Inter"/>
          <w:b w:val="0"/>
          <w:i w:val="0"/>
          <w:color w:val="2D2D2D"/>
          <w:sz w:val="22"/>
        </w:rPr>
        <w:t>If you are the Executive Director reviewing the Resource Requirements Matrix for the first time, you are looking at the true cost of your office's strategic plan. The gap between total resource requirements and available budget is not a planning failure. It is information. The question is how you respond to it.</w:t>
      </w:r>
    </w:p>
    <w:p>
      <w:pPr>
        <w:spacing w:after="120" w:line="276" w:lineRule="auto"/>
      </w:pPr>
      <w:r>
        <w:rPr>
          <w:rFonts w:ascii="Inter" w:hAnsi="Inter" w:cs="Inter"/>
          <w:b w:val="0"/>
          <w:i w:val="0"/>
          <w:color w:val="2D2D2D"/>
          <w:sz w:val="22"/>
        </w:rPr>
        <w:t>You have four basic options, and most realistic resource plans require some combination of all four:</w:t>
      </w:r>
    </w:p>
    <w:p>
      <w:pPr>
        <w:spacing w:after="120" w:line="276" w:lineRule="auto"/>
      </w:pPr>
      <w:r>
        <w:rPr>
          <w:rFonts w:ascii="Inter" w:hAnsi="Inter" w:cs="Inter"/>
          <w:b w:val="0"/>
          <w:i w:val="0"/>
          <w:color w:val="2D2D2D"/>
          <w:sz w:val="22"/>
        </w:rPr>
      </w:r>
      <w:r>
        <w:rPr>
          <w:rFonts w:ascii="Inter" w:hAnsi="Inter" w:cs="Inter"/>
          <w:b/>
          <w:i w:val="0"/>
          <w:color w:val="2D2D2D"/>
          <w:sz w:val="22"/>
        </w:rPr>
        <w:t>Reduce scope.</w:t>
      </w:r>
      <w:r>
        <w:rPr>
          <w:rFonts w:ascii="Inter" w:hAnsi="Inter" w:cs="Inter"/>
          <w:b w:val="0"/>
          <w:i w:val="0"/>
          <w:color w:val="2D2D2D"/>
          <w:sz w:val="22"/>
        </w:rPr>
        <w:t xml:space="preserve"> Not every PPA that your planning team has designed needs to be implemented at full scale in the first year. Some can be piloted in one or two municipalities before scale-up. Some can be postponed until resources improve. Be honest about which PPAs your MOA can credibly deliver with the resources it has, and right-size those PPAs accordingly. A plan that delivers three well-resourced PPAs is worth more than a plan that promises ten under-resourced ones.</w:t>
      </w:r>
    </w:p>
    <w:p>
      <w:pPr>
        <w:spacing w:after="120" w:line="276" w:lineRule="auto"/>
      </w:pPr>
      <w:r>
        <w:rPr>
          <w:rFonts w:ascii="Inter" w:hAnsi="Inter" w:cs="Inter"/>
          <w:b w:val="0"/>
          <w:i w:val="0"/>
          <w:color w:val="2D2D2D"/>
          <w:sz w:val="22"/>
        </w:rPr>
      </w:r>
      <w:r>
        <w:rPr>
          <w:rFonts w:ascii="Inter" w:hAnsi="Inter" w:cs="Inter"/>
          <w:b/>
          <w:i w:val="0"/>
          <w:color w:val="2D2D2D"/>
          <w:sz w:val="22"/>
        </w:rPr>
        <w:t>Seek additional funding.</w:t>
      </w:r>
      <w:r>
        <w:rPr>
          <w:rFonts w:ascii="Inter" w:hAnsi="Inter" w:cs="Inter"/>
          <w:b w:val="0"/>
          <w:i w:val="0"/>
          <w:color w:val="2D2D2D"/>
          <w:sz w:val="22"/>
        </w:rPr>
        <w:t xml:space="preserve"> The Bangsamoro Budget System allows for supplemental appropriations and Foreign-Assisted Project financing.[^7] If your MOA has PPAs with strong development impact that cannot be funded from the regular budget, explore whether development partners, the national government, or the Bangsamoro Government's special purpose funds can provide additional support. But do not count on funding you do not yet have. Mark partnership-contingent PPAs clearly in your resource plan.</w:t>
      </w:r>
    </w:p>
    <w:p>
      <w:pPr>
        <w:spacing w:after="120" w:line="276" w:lineRule="auto"/>
      </w:pPr>
      <w:r>
        <w:rPr>
          <w:rFonts w:ascii="Inter" w:hAnsi="Inter" w:cs="Inter"/>
          <w:b w:val="0"/>
          <w:i w:val="0"/>
          <w:color w:val="2D2D2D"/>
          <w:sz w:val="22"/>
        </w:rPr>
      </w:r>
      <w:r>
        <w:rPr>
          <w:rFonts w:ascii="Inter" w:hAnsi="Inter" w:cs="Inter"/>
          <w:b/>
          <w:i w:val="0"/>
          <w:color w:val="2D2D2D"/>
          <w:sz w:val="22"/>
        </w:rPr>
        <w:t>Phase implementation.</w:t>
      </w:r>
      <w:r>
        <w:rPr>
          <w:rFonts w:ascii="Inter" w:hAnsi="Inter" w:cs="Inter"/>
          <w:b w:val="0"/>
          <w:i w:val="0"/>
          <w:color w:val="2D2D2D"/>
          <w:sz w:val="22"/>
        </w:rPr>
        <w:t xml:space="preserve"> Some resource gaps — particularly structural HR gaps requiring new plantilla positions and CSC processing — take time to resolve. Design PPAs that can begin at reduced scale and expand as resources come online. A three-year reforestation program that starts with contracted staff in Year 1 and transitions to regular positions in Year 2 is a legitimate phased approach, as long as the plan makes this explicit.</w:t>
      </w:r>
    </w:p>
    <w:p>
      <w:pPr>
        <w:spacing w:after="120" w:line="276" w:lineRule="auto"/>
      </w:pPr>
      <w:r>
        <w:rPr>
          <w:rFonts w:ascii="Inter" w:hAnsi="Inter" w:cs="Inter"/>
          <w:b w:val="0"/>
          <w:i w:val="0"/>
          <w:color w:val="2D2D2D"/>
          <w:sz w:val="22"/>
        </w:rPr>
      </w:r>
      <w:r>
        <w:rPr>
          <w:rFonts w:ascii="Inter" w:hAnsi="Inter" w:cs="Inter"/>
          <w:b/>
          <w:i w:val="0"/>
          <w:color w:val="2D2D2D"/>
          <w:sz w:val="22"/>
        </w:rPr>
        <w:t>Build partnerships strategically.</w:t>
      </w:r>
      <w:r>
        <w:rPr>
          <w:rFonts w:ascii="Inter" w:hAnsi="Inter" w:cs="Inter"/>
          <w:b w:val="0"/>
          <w:i w:val="0"/>
          <w:color w:val="2D2D2D"/>
          <w:sz w:val="22"/>
        </w:rPr>
        <w:t xml:space="preserve"> Partnership resources are real resources. A development partner who provides two technical advisors and ₱3,000,000 in co-financing is not a bonus — it is a planned resource that your MOA is counting on. Treat partnership development as part of program preparation, not an afterthought. Begin engagement early, formalize agreements before implementation starts, and document contributions accurately in your resource plan.</w:t>
      </w:r>
    </w:p>
    <w:p>
      <w:pPr>
        <w:spacing w:after="120" w:line="276" w:lineRule="auto"/>
      </w:pPr>
      <w:r>
        <w:rPr>
          <w:rFonts w:ascii="Inter" w:hAnsi="Inter" w:cs="Inter"/>
          <w:b w:val="0"/>
          <w:i w:val="0"/>
          <w:color w:val="2D2D2D"/>
          <w:sz w:val="22"/>
        </w:rPr>
        <w:t>The Resource Requirements Matrix is the document you bring to these decisions. When your planning team presents it to Cabinet, the MFBM, or Parliament, it demonstrates that your MOA has done the hard analytical work of connecting your strategic ambitions to your operational reality. That credibility matters.</w:t>
      </w:r>
    </w:p>
    <w:p>
      <w:pPr>
        <w:pStyle w:val="Heading2"/>
      </w:pPr>
      <w:r>
        <w:rPr>
          <w:rFonts w:ascii="Inter" w:hAnsi="Inter" w:cs="Inter"/>
          <w:b/>
          <w:i w:val="0"/>
          <w:color w:val="1B365D"/>
          <w:sz w:val="32"/>
        </w:rPr>
        <w:t>9.6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Planning without resource constraints.</w:t>
      </w:r>
      <w:r>
        <w:rPr>
          <w:rFonts w:ascii="Inter" w:hAnsi="Inter" w:cs="Inter"/>
          <w:b w:val="0"/>
          <w:i w:val="0"/>
          <w:color w:val="2D2D2D"/>
          <w:sz w:val="22"/>
        </w:rPr>
        <w:t xml:space="preserve"> The most common failure in strategic planning is writing the plan first and thinking about resources second — or not at all. When resource planning is treated as a separate exercise, done after the PPAs are already finalized, planners feel pressure to justify the PPAs that have already been approved rather than to assess them honestly. Do resource planning alongside PPA design, not after it.</w:t>
      </w:r>
    </w:p>
    <w:p>
      <w:pPr>
        <w:spacing w:after="120" w:line="276" w:lineRule="auto"/>
      </w:pPr>
      <w:r>
        <w:rPr>
          <w:rFonts w:ascii="Inter" w:hAnsi="Inter" w:cs="Inter"/>
          <w:b w:val="0"/>
          <w:i w:val="0"/>
          <w:color w:val="2D2D2D"/>
          <w:sz w:val="22"/>
        </w:rPr>
      </w:r>
      <w:r>
        <w:rPr>
          <w:rFonts w:ascii="Inter" w:hAnsi="Inter" w:cs="Inter"/>
          <w:b/>
          <w:i w:val="0"/>
          <w:color w:val="2D2D2D"/>
          <w:sz w:val="22"/>
        </w:rPr>
        <w:t>Ignoring human resource development.</w:t>
      </w:r>
      <w:r>
        <w:rPr>
          <w:rFonts w:ascii="Inter" w:hAnsi="Inter" w:cs="Inter"/>
          <w:b w:val="0"/>
          <w:i w:val="0"/>
          <w:color w:val="2D2D2D"/>
          <w:sz w:val="22"/>
        </w:rPr>
        <w:t xml:space="preserve"> Plantilla gaps get attention because they require budget action. Competency gaps often do not — because filling them requires training investments that are easy to defer. The result is MOAs with technically present but practically under-equipped staff: foresters without GPS skills, engineers without procurement training, social workers without community facilitation experience. Budget for training. Plan for it specifically by PPA.</w:t>
      </w:r>
    </w:p>
    <w:p>
      <w:pPr>
        <w:spacing w:after="120" w:line="276" w:lineRule="auto"/>
      </w:pPr>
      <w:r>
        <w:rPr>
          <w:rFonts w:ascii="Inter" w:hAnsi="Inter" w:cs="Inter"/>
          <w:b w:val="0"/>
          <w:i w:val="0"/>
          <w:color w:val="2D2D2D"/>
          <w:sz w:val="22"/>
        </w:rPr>
      </w:r>
      <w:r>
        <w:rPr>
          <w:rFonts w:ascii="Inter" w:hAnsi="Inter" w:cs="Inter"/>
          <w:b/>
          <w:i w:val="0"/>
          <w:color w:val="2D2D2D"/>
          <w:sz w:val="22"/>
        </w:rPr>
        <w:t>Treating partnerships as hypothetical.</w:t>
      </w:r>
      <w:r>
        <w:rPr>
          <w:rFonts w:ascii="Inter" w:hAnsi="Inter" w:cs="Inter"/>
          <w:b w:val="0"/>
          <w:i w:val="0"/>
          <w:color w:val="2D2D2D"/>
          <w:sz w:val="22"/>
        </w:rPr>
        <w:t xml:space="preserve"> "We will seek support from development partners" is not a resource plan. It is a hope. Partnerships must be grounded in actual engagement: a letter of intent, an existing relationship, a previous MOA, or at minimum a concrete plan to approach a specific partner within a defined timeframe. Mark the distinction between confirmed partnership resources and anticipated ones.</w:t>
      </w:r>
    </w:p>
    <w:p>
      <w:pPr>
        <w:spacing w:after="120" w:line="276" w:lineRule="auto"/>
      </w:pPr>
      <w:r>
        <w:rPr>
          <w:rFonts w:ascii="Inter" w:hAnsi="Inter" w:cs="Inter"/>
          <w:b w:val="0"/>
          <w:i w:val="0"/>
          <w:color w:val="2D2D2D"/>
          <w:sz w:val="22"/>
        </w:rPr>
      </w:r>
      <w:r>
        <w:rPr>
          <w:rFonts w:ascii="Inter" w:hAnsi="Inter" w:cs="Inter"/>
          <w:b/>
          <w:i w:val="0"/>
          <w:color w:val="2D2D2D"/>
          <w:sz w:val="22"/>
        </w:rPr>
        <w:t>Disconnecting resource planning from the budget cycle.</w:t>
      </w:r>
      <w:r>
        <w:rPr>
          <w:rFonts w:ascii="Inter" w:hAnsi="Inter" w:cs="Inter"/>
          <w:b w:val="0"/>
          <w:i w:val="0"/>
          <w:color w:val="2D2D2D"/>
          <w:sz w:val="22"/>
        </w:rPr>
        <w:t xml:space="preserve"> Your resource plan must feed directly into your budget proposal, which is submitted to the MFBM in accordance with the annual Budget Call.[^8] If you complete your resource plan in March but your budget proposal is due in May, the two documents should be consistent. Discrepancies between what the strategic plan says you need and what the budget proposal requests undermine your credibility with oversight agencies.</w:t>
      </w:r>
    </w:p>
    <w:p>
      <w:pPr>
        <w:spacing w:after="120" w:line="276" w:lineRule="auto"/>
      </w:pPr>
      <w:r>
        <w:rPr>
          <w:rFonts w:ascii="Inter" w:hAnsi="Inter" w:cs="Inter"/>
          <w:b w:val="0"/>
          <w:i w:val="0"/>
          <w:color w:val="2D2D2D"/>
          <w:sz w:val="22"/>
        </w:rPr>
      </w:r>
      <w:r>
        <w:rPr>
          <w:rFonts w:ascii="Inter" w:hAnsi="Inter" w:cs="Inter"/>
          <w:b/>
          <w:i w:val="0"/>
          <w:color w:val="2D2D2D"/>
          <w:sz w:val="22"/>
        </w:rPr>
        <w:t>Underestimating costs.</w:t>
      </w:r>
      <w:r>
        <w:rPr>
          <w:rFonts w:ascii="Inter" w:hAnsi="Inter" w:cs="Inter"/>
          <w:b w:val="0"/>
          <w:i w:val="0"/>
          <w:color w:val="2D2D2D"/>
          <w:sz w:val="22"/>
        </w:rPr>
        <w:t xml:space="preserve"> Use actual data — recent procurement transactions, last year's actual expenditures, published standard costs — not round numbers or optimistic estimates. The MFBM evaluates budget proposals against implementation readiness, and unrealistic cost estimates raise red flags. When in doubt, use the bottom-up method and validate your estimates against comparable programs.</w:t>
      </w:r>
    </w:p>
    <w:p>
      <w:pPr>
        <w:spacing w:after="120" w:line="276" w:lineRule="auto"/>
      </w:pPr>
      <w:r>
        <w:rPr>
          <w:rFonts w:ascii="Inter" w:hAnsi="Inter" w:cs="Inter"/>
          <w:b w:val="0"/>
          <w:i w:val="0"/>
          <w:color w:val="2D2D2D"/>
          <w:sz w:val="22"/>
        </w:rPr>
      </w:r>
      <w:r>
        <w:rPr>
          <w:rFonts w:ascii="Inter" w:hAnsi="Inter" w:cs="Inter"/>
          <w:b/>
          <w:i w:val="0"/>
          <w:color w:val="2D2D2D"/>
          <w:sz w:val="22"/>
        </w:rPr>
        <w:t>Forgetting M&amp;E resources.</w:t>
      </w:r>
      <w:r>
        <w:rPr>
          <w:rFonts w:ascii="Inter" w:hAnsi="Inter" w:cs="Inter"/>
          <w:b w:val="0"/>
          <w:i w:val="0"/>
          <w:color w:val="2D2D2D"/>
          <w:sz w:val="22"/>
        </w:rPr>
        <w:t xml:space="preserve"> Monitoring and evaluation is itself a PPA — or at minimum, a set of activities that require resources. Data collection requires field staff time, transportation, and forms. Evaluation studies require contracts with evaluators. Reporting requires staff time to analyze data and write reports. M&amp;E is consistently under-budgeted in BARMM MOA strategic plans, and the result is that plans are never evaluated for effectiveness. Budget for M&amp;E explicitly.</w:t>
      </w:r>
    </w:p>
    <w:p>
      <w:pPr>
        <w:spacing w:after="120" w:line="276" w:lineRule="auto"/>
      </w:pPr>
      <w:r>
        <w:rPr>
          <w:rFonts w:ascii="Inter" w:hAnsi="Inter" w:cs="Inter"/>
          <w:b w:val="0"/>
          <w:i w:val="0"/>
          <w:color w:val="2D2D2D"/>
          <w:sz w:val="22"/>
        </w:rPr>
      </w:r>
      <w:r>
        <w:rPr>
          <w:rFonts w:ascii="Inter" w:hAnsi="Inter" w:cs="Inter"/>
          <w:b/>
          <w:i w:val="0"/>
          <w:color w:val="2D2D2D"/>
          <w:sz w:val="22"/>
        </w:rPr>
        <w:t>Planning staff time at 100%.</w:t>
      </w:r>
      <w:r>
        <w:rPr>
          <w:rFonts w:ascii="Inter" w:hAnsi="Inter" w:cs="Inter"/>
          <w:b w:val="0"/>
          <w:i w:val="0"/>
          <w:color w:val="2D2D2D"/>
          <w:sz w:val="22"/>
        </w:rPr>
        <w:t xml:space="preserve"> A position that is 100% allocated to one PPA leaves no time for the administrative and coordination functions that all positions carry. A more realistic planning assumption for most positions is 80% programmatic time, with 20% for coordination, reporting, and administrative functions. Adjust your FTE calculations accordingly.</w:t>
      </w:r>
    </w:p>
    <w:p>
      <w:pPr>
        <w:pStyle w:val="Heading2"/>
      </w:pPr>
      <w:r>
        <w:rPr>
          <w:rFonts w:ascii="Inter" w:hAnsi="Inter" w:cs="Inter"/>
          <w:b/>
          <w:i w:val="0"/>
          <w:color w:val="1B365D"/>
          <w:sz w:val="32"/>
        </w:rPr>
        <w:t>9.7 Template: Resource Requirements Matrix</w:t>
      </w:r>
    </w:p>
    <w:p>
      <w:pPr>
        <w:spacing w:after="120" w:line="276" w:lineRule="auto"/>
      </w:pPr>
      <w:r>
        <w:rPr>
          <w:rFonts w:ascii="Inter" w:hAnsi="Inter" w:cs="Inter"/>
          <w:b w:val="0"/>
          <w:i w:val="0"/>
          <w:color w:val="2D2D2D"/>
          <w:sz w:val="22"/>
        </w:rPr>
        <w:t>The Resource Requirements Matrix below is designed for landscape printing. Complete one row per PPA. Use additional rows for PPAs not shown. For PPAs with multiple HR positions, add sub-rows within the PPA row.</w:t>
      </w:r>
    </w:p>
    <w:p>
      <w:pPr>
        <w:spacing w:after="120" w:line="276" w:lineRule="auto"/>
      </w:pPr>
      <w:r>
        <w:rPr>
          <w:rFonts w:ascii="Inter" w:hAnsi="Inter" w:cs="Inter"/>
          <w:b w:val="0"/>
          <w:i w:val="0"/>
          <w:color w:val="2D2D2D"/>
          <w:sz w:val="22"/>
        </w:rPr>
      </w:r>
      <w:r>
        <w:rPr>
          <w:rFonts w:ascii="Inter" w:hAnsi="Inter" w:cs="Inter"/>
          <w:b/>
          <w:i w:val="0"/>
          <w:color w:val="2D2D2D"/>
          <w:sz w:val="22"/>
        </w:rPr>
        <w:t>RESOURCE REQUIREMENTS MATRIX</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Ministry/Office/Agency:</w:t>
      </w:r>
      <w:r>
        <w:rPr>
          <w:rFonts w:ascii="Inter" w:hAnsi="Inter" w:cs="Inter"/>
          <w:b w:val="0"/>
          <w:i w:val="0"/>
          <w:color w:val="2D2D2D"/>
          <w:sz w:val="22"/>
        </w:rPr>
        <w:t xml:space="preserve"> ___________________________________</w:t>
      </w:r>
    </w:p>
    <w:p>
      <w:pPr>
        <w:spacing w:after="120" w:line="276" w:lineRule="auto"/>
      </w:pPr>
      <w:r>
        <w:rPr>
          <w:rFonts w:ascii="Inter" w:hAnsi="Inter" w:cs="Inter"/>
          <w:b w:val="0"/>
          <w:i w:val="0"/>
          <w:color w:val="2D2D2D"/>
          <w:sz w:val="22"/>
        </w:rPr>
      </w:r>
      <w:r>
        <w:rPr>
          <w:rFonts w:ascii="Inter" w:hAnsi="Inter" w:cs="Inter"/>
          <w:b/>
          <w:i w:val="0"/>
          <w:color w:val="2D2D2D"/>
          <w:sz w:val="22"/>
        </w:rPr>
        <w:t>Planning Period:</w:t>
      </w:r>
      <w:r>
        <w:rPr>
          <w:rFonts w:ascii="Inter" w:hAnsi="Inter" w:cs="Inter"/>
          <w:b w:val="0"/>
          <w:i w:val="0"/>
          <w:color w:val="2D2D2D"/>
          <w:sz w:val="22"/>
        </w:rPr>
        <w:t xml:space="preserve"> ___________________________________</w:t>
      </w:r>
    </w:p>
    <w:p>
      <w:pPr>
        <w:spacing w:after="120" w:line="276" w:lineRule="auto"/>
      </w:pPr>
      <w:r>
        <w:rPr>
          <w:rFonts w:ascii="Inter" w:hAnsi="Inter" w:cs="Inter"/>
          <w:b w:val="0"/>
          <w:i w:val="0"/>
          <w:color w:val="2D2D2D"/>
          <w:sz w:val="22"/>
        </w:rPr>
      </w:r>
      <w:r>
        <w:rPr>
          <w:rFonts w:ascii="Inter" w:hAnsi="Inter" w:cs="Inter"/>
          <w:b/>
          <w:i w:val="0"/>
          <w:color w:val="2D2D2D"/>
          <w:sz w:val="22"/>
        </w:rPr>
        <w:t>Prepared by:</w:t>
      </w:r>
      <w:r>
        <w:rPr>
          <w:rFonts w:ascii="Inter" w:hAnsi="Inter" w:cs="Inter"/>
          <w:b w:val="0"/>
          <w:i w:val="0"/>
          <w:color w:val="2D2D2D"/>
          <w:sz w:val="22"/>
        </w:rPr>
        <w:t xml:space="preserve"> ___________________________________</w:t>
      </w:r>
    </w:p>
    <w:p>
      <w:pPr>
        <w:spacing w:after="120" w:line="276" w:lineRule="auto"/>
      </w:pPr>
      <w:r>
        <w:rPr>
          <w:rFonts w:ascii="Inter" w:hAnsi="Inter" w:cs="Inter"/>
          <w:b w:val="0"/>
          <w:i w:val="0"/>
          <w:color w:val="2D2D2D"/>
          <w:sz w:val="22"/>
        </w:rPr>
      </w:r>
      <w:r>
        <w:rPr>
          <w:rFonts w:ascii="Inter" w:hAnsi="Inter" w:cs="Inter"/>
          <w:b/>
          <w:i w:val="0"/>
          <w:color w:val="2D2D2D"/>
          <w:sz w:val="22"/>
        </w:rPr>
        <w:t>Date:</w:t>
      </w:r>
      <w:r>
        <w:rPr>
          <w:rFonts w:ascii="Inter" w:hAnsi="Inter" w:cs="Inter"/>
          <w:b w:val="0"/>
          <w:i w:val="0"/>
          <w:color w:val="2D2D2D"/>
          <w:sz w:val="22"/>
        </w:rPr>
        <w:t xml:space="preserve"> ___________________________________</w:t>
      </w:r>
    </w:p>
    <w:tbl>
      <w:tblPr>
        <w:tblStyle w:val="TableGrid"/>
        <w:tblW w:type="auto" w:w="0"/>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shd w:fill="1B365D"/>
          </w:tcPr>
          <w:p>
            <w:r/>
            <w:r>
              <w:rPr>
                <w:rFonts w:ascii="Inter" w:hAnsi="Inter" w:cs="Inter"/>
                <w:b/>
                <w:i w:val="0"/>
                <w:color w:val="FFFFFF"/>
                <w:sz w:val="19"/>
              </w:rPr>
              <w:t>PPA Code</w:t>
            </w:r>
          </w:p>
        </w:tc>
        <w:tc>
          <w:tcPr>
            <w:tcW w:type="dxa" w:w="669"/>
            <w:shd w:fill="1B365D"/>
          </w:tcPr>
          <w:p>
            <w:r/>
            <w:r>
              <w:rPr>
                <w:rFonts w:ascii="Inter" w:hAnsi="Inter" w:cs="Inter"/>
                <w:b/>
                <w:i w:val="0"/>
                <w:color w:val="FFFFFF"/>
                <w:sz w:val="19"/>
              </w:rPr>
              <w:t>PPA Name</w:t>
            </w:r>
          </w:p>
        </w:tc>
        <w:tc>
          <w:tcPr>
            <w:tcW w:type="dxa" w:w="669"/>
            <w:shd w:fill="1B365D"/>
          </w:tcPr>
          <w:p>
            <w:r/>
            <w:r>
              <w:rPr>
                <w:rFonts w:ascii="Inter" w:hAnsi="Inter" w:cs="Inter"/>
                <w:b/>
                <w:i w:val="0"/>
                <w:color w:val="FFFFFF"/>
                <w:sz w:val="19"/>
              </w:rPr>
              <w:t>HR Required (Position, Qty, FTE)</w:t>
            </w:r>
          </w:p>
        </w:tc>
        <w:tc>
          <w:tcPr>
            <w:tcW w:type="dxa" w:w="669"/>
            <w:shd w:fill="1B365D"/>
          </w:tcPr>
          <w:p>
            <w:r/>
            <w:r>
              <w:rPr>
                <w:rFonts w:ascii="Inter" w:hAnsi="Inter" w:cs="Inter"/>
                <w:b/>
                <w:i w:val="0"/>
                <w:color w:val="FFFFFF"/>
                <w:sz w:val="19"/>
              </w:rPr>
              <w:t>HR Available (from Plantilla)</w:t>
            </w:r>
          </w:p>
        </w:tc>
        <w:tc>
          <w:tcPr>
            <w:tcW w:type="dxa" w:w="669"/>
            <w:shd w:fill="1B365D"/>
          </w:tcPr>
          <w:p>
            <w:r/>
            <w:r>
              <w:rPr>
                <w:rFonts w:ascii="Inter" w:hAnsi="Inter" w:cs="Inter"/>
                <w:b/>
                <w:i w:val="0"/>
                <w:color w:val="FFFFFF"/>
                <w:sz w:val="19"/>
              </w:rPr>
              <w:t>HR Gap</w:t>
            </w:r>
          </w:p>
        </w:tc>
        <w:tc>
          <w:tcPr>
            <w:tcW w:type="dxa" w:w="669"/>
            <w:shd w:fill="1B365D"/>
          </w:tcPr>
          <w:p>
            <w:r/>
            <w:r>
              <w:rPr>
                <w:rFonts w:ascii="Inter" w:hAnsi="Inter" w:cs="Inter"/>
                <w:b/>
                <w:i w:val="0"/>
                <w:color w:val="FFFFFF"/>
                <w:sz w:val="19"/>
              </w:rPr>
              <w:t>HR Mitigation</w:t>
            </w:r>
          </w:p>
        </w:tc>
        <w:tc>
          <w:tcPr>
            <w:tcW w:type="dxa" w:w="669"/>
            <w:shd w:fill="1B365D"/>
          </w:tcPr>
          <w:p>
            <w:r/>
            <w:r>
              <w:rPr>
                <w:rFonts w:ascii="Inter" w:hAnsi="Inter" w:cs="Inter"/>
                <w:b/>
                <w:i w:val="0"/>
                <w:color w:val="FFFFFF"/>
                <w:sz w:val="19"/>
              </w:rPr>
              <w:t>Physical Resources Required</w:t>
            </w:r>
          </w:p>
        </w:tc>
        <w:tc>
          <w:tcPr>
            <w:tcW w:type="dxa" w:w="669"/>
            <w:shd w:fill="1B365D"/>
          </w:tcPr>
          <w:p>
            <w:r/>
            <w:r>
              <w:rPr>
                <w:rFonts w:ascii="Inter" w:hAnsi="Inter" w:cs="Inter"/>
                <w:b/>
                <w:i w:val="0"/>
                <w:color w:val="FFFFFF"/>
                <w:sz w:val="19"/>
              </w:rPr>
              <w:t>Physical Available</w:t>
            </w:r>
          </w:p>
        </w:tc>
        <w:tc>
          <w:tcPr>
            <w:tcW w:type="dxa" w:w="669"/>
            <w:shd w:fill="1B365D"/>
          </w:tcPr>
          <w:p>
            <w:r/>
            <w:r>
              <w:rPr>
                <w:rFonts w:ascii="Inter" w:hAnsi="Inter" w:cs="Inter"/>
                <w:b/>
                <w:i w:val="0"/>
                <w:color w:val="FFFFFF"/>
                <w:sz w:val="19"/>
              </w:rPr>
              <w:t>Physical Gap</w:t>
            </w:r>
          </w:p>
        </w:tc>
        <w:tc>
          <w:tcPr>
            <w:tcW w:type="dxa" w:w="669"/>
            <w:shd w:fill="1B365D"/>
          </w:tcPr>
          <w:p>
            <w:r/>
            <w:r>
              <w:rPr>
                <w:rFonts w:ascii="Inter" w:hAnsi="Inter" w:cs="Inter"/>
                <w:b/>
                <w:i w:val="0"/>
                <w:color w:val="FFFFFF"/>
                <w:sz w:val="19"/>
              </w:rPr>
              <w:t>Key Partnerships</w:t>
            </w:r>
          </w:p>
        </w:tc>
        <w:tc>
          <w:tcPr>
            <w:tcW w:type="dxa" w:w="669"/>
            <w:shd w:fill="1B365D"/>
          </w:tcPr>
          <w:p>
            <w:r/>
            <w:r>
              <w:rPr>
                <w:rFonts w:ascii="Inter" w:hAnsi="Inter" w:cs="Inter"/>
                <w:b/>
                <w:i w:val="0"/>
                <w:color w:val="FFFFFF"/>
                <w:sz w:val="19"/>
              </w:rPr>
              <w:t>Est. Cost — PS (PhP)</w:t>
            </w:r>
          </w:p>
        </w:tc>
        <w:tc>
          <w:tcPr>
            <w:tcW w:type="dxa" w:w="669"/>
            <w:shd w:fill="1B365D"/>
          </w:tcPr>
          <w:p>
            <w:r/>
            <w:r>
              <w:rPr>
                <w:rFonts w:ascii="Inter" w:hAnsi="Inter" w:cs="Inter"/>
                <w:b/>
                <w:i w:val="0"/>
                <w:color w:val="FFFFFF"/>
                <w:sz w:val="19"/>
              </w:rPr>
              <w:t>Est. Cost — MOOE (PhP)</w:t>
            </w:r>
          </w:p>
        </w:tc>
        <w:tc>
          <w:tcPr>
            <w:tcW w:type="dxa" w:w="669"/>
            <w:shd w:fill="1B365D"/>
          </w:tcPr>
          <w:p>
            <w:r/>
            <w:r>
              <w:rPr>
                <w:rFonts w:ascii="Inter" w:hAnsi="Inter" w:cs="Inter"/>
                <w:b/>
                <w:i w:val="0"/>
                <w:color w:val="FFFFFF"/>
                <w:sz w:val="19"/>
              </w:rPr>
              <w:t>Est. Cost — CO (PhP)</w:t>
            </w:r>
          </w:p>
        </w:tc>
        <w:tc>
          <w:tcPr>
            <w:tcW w:type="dxa" w:w="669"/>
            <w:shd w:fill="1B365D"/>
          </w:tcPr>
          <w:p>
            <w:r/>
            <w:r>
              <w:rPr>
                <w:rFonts w:ascii="Inter" w:hAnsi="Inter" w:cs="Inter"/>
                <w:b/>
                <w:i w:val="0"/>
                <w:color w:val="FFFFFF"/>
                <w:sz w:val="19"/>
              </w:rPr>
              <w:t>Funding Source</w:t>
            </w:r>
          </w:p>
        </w:tc>
      </w:tr>
      <w:tr>
        <w:tc>
          <w:tcPr>
            <w:tcW w:type="dxa" w:w="669"/>
          </w:tcPr>
          <w:p>
            <w:r/>
            <w:r>
              <w:rPr>
                <w:rFonts w:ascii="Inter" w:hAnsi="Inter" w:cs="Inter"/>
                <w:b w:val="0"/>
                <w:i w:val="0"/>
                <w:color w:val="2D2D2D"/>
                <w:sz w:val="19"/>
              </w:rPr>
              <w:t>P-03-PR-01</w:t>
            </w:r>
          </w:p>
        </w:tc>
        <w:tc>
          <w:tcPr>
            <w:tcW w:type="dxa" w:w="669"/>
          </w:tcPr>
          <w:p>
            <w:r/>
            <w:r>
              <w:rPr>
                <w:rFonts w:ascii="Inter" w:hAnsi="Inter" w:cs="Inter"/>
                <w:b w:val="0"/>
                <w:i w:val="0"/>
                <w:color w:val="2D2D2D"/>
                <w:sz w:val="19"/>
              </w:rPr>
              <w:t>PSRRS Development Project</w:t>
            </w:r>
          </w:p>
        </w:tc>
        <w:tc>
          <w:tcPr>
            <w:tcW w:type="dxa" w:w="669"/>
          </w:tcPr>
          <w:p>
            <w:r/>
            <w:r>
              <w:rPr>
                <w:rFonts w:ascii="Inter" w:hAnsi="Inter" w:cs="Inter"/>
                <w:b w:val="0"/>
                <w:i w:val="0"/>
                <w:color w:val="2D2D2D"/>
                <w:sz w:val="19"/>
              </w:rPr>
              <w:t>IT Officer (SG-15), 1 pos., 1.0 FTE; Planning Officer III (SG-18), 1 pos., 0.5 FTE</w:t>
            </w:r>
          </w:p>
        </w:tc>
        <w:tc>
          <w:tcPr>
            <w:tcW w:type="dxa" w:w="669"/>
          </w:tcPr>
          <w:p>
            <w:r/>
            <w:r>
              <w:rPr>
                <w:rFonts w:ascii="Inter" w:hAnsi="Inter" w:cs="Inter"/>
                <w:b w:val="0"/>
                <w:i w:val="0"/>
                <w:color w:val="2D2D2D"/>
                <w:sz w:val="19"/>
              </w:rPr>
              <w:t>Planning Officer III (filled, competency gap); IT Officer: none</w:t>
            </w:r>
          </w:p>
        </w:tc>
        <w:tc>
          <w:tcPr>
            <w:tcW w:type="dxa" w:w="669"/>
          </w:tcPr>
          <w:p>
            <w:r/>
            <w:r>
              <w:rPr>
                <w:rFonts w:ascii="Inter" w:hAnsi="Inter" w:cs="Inter"/>
                <w:b w:val="0"/>
                <w:i w:val="0"/>
                <w:color w:val="2D2D2D"/>
                <w:sz w:val="19"/>
              </w:rPr>
              <w:t>IT Officer: 1 structural; Planning Officer III: database/GIS competency gap</w:t>
            </w:r>
          </w:p>
        </w:tc>
        <w:tc>
          <w:tcPr>
            <w:tcW w:type="dxa" w:w="669"/>
          </w:tcPr>
          <w:p>
            <w:r/>
            <w:r>
              <w:rPr>
                <w:rFonts w:ascii="Inter" w:hAnsi="Inter" w:cs="Inter"/>
                <w:b w:val="0"/>
                <w:i w:val="0"/>
                <w:color w:val="2D2D2D"/>
                <w:sz w:val="19"/>
              </w:rPr>
              <w:t>Request 1 new IT Officer position; engage IT consultant (job-order) in Year 1; enroll Planning Officer III in data management short course (₱18,000)</w:t>
            </w:r>
          </w:p>
        </w:tc>
        <w:tc>
          <w:tcPr>
            <w:tcW w:type="dxa" w:w="669"/>
          </w:tcPr>
          <w:p>
            <w:r/>
            <w:r>
              <w:rPr>
                <w:rFonts w:ascii="Inter" w:hAnsi="Inter" w:cs="Inter"/>
                <w:b w:val="0"/>
                <w:i w:val="0"/>
                <w:color w:val="2D2D2D"/>
                <w:sz w:val="19"/>
              </w:rPr>
              <w:t>2 laptops, 8 tablets, cloud hosting subscription (or server)</w:t>
            </w:r>
          </w:p>
        </w:tc>
        <w:tc>
          <w:tcPr>
            <w:tcW w:type="dxa" w:w="669"/>
          </w:tcPr>
          <w:p>
            <w:r/>
            <w:r>
              <w:rPr>
                <w:rFonts w:ascii="Inter" w:hAnsi="Inter" w:cs="Inter"/>
                <w:b w:val="0"/>
                <w:i w:val="0"/>
                <w:color w:val="2D2D2D"/>
                <w:sz w:val="19"/>
              </w:rPr>
              <w:t>4 laptops (shared with other PPAs)</w:t>
            </w:r>
          </w:p>
        </w:tc>
        <w:tc>
          <w:tcPr>
            <w:tcW w:type="dxa" w:w="669"/>
          </w:tcPr>
          <w:p>
            <w:r/>
            <w:r>
              <w:rPr>
                <w:rFonts w:ascii="Inter" w:hAnsi="Inter" w:cs="Inter"/>
                <w:b w:val="0"/>
                <w:i w:val="0"/>
                <w:color w:val="2D2D2D"/>
                <w:sz w:val="19"/>
              </w:rPr>
              <w:t>2 laptops (CO), 8 tablets (CO), cloud hosting (MOOE)</w:t>
            </w:r>
          </w:p>
        </w:tc>
        <w:tc>
          <w:tcPr>
            <w:tcW w:type="dxa" w:w="669"/>
          </w:tcPr>
          <w:p>
            <w:r/>
            <w:r>
              <w:rPr>
                <w:rFonts w:ascii="Inter" w:hAnsi="Inter" w:cs="Inter"/>
                <w:b w:val="0"/>
                <w:i w:val="0"/>
                <w:color w:val="2D2D2D"/>
                <w:sz w:val="19"/>
              </w:rPr>
              <w:t>BDA (data sharing); DILG (LGU facilitation)</w:t>
            </w:r>
          </w:p>
        </w:tc>
        <w:tc>
          <w:tcPr>
            <w:tcW w:type="dxa" w:w="669"/>
          </w:tcPr>
          <w:p>
            <w:r/>
            <w:r>
              <w:rPr>
                <w:rFonts w:ascii="Inter" w:hAnsi="Inter" w:cs="Inter"/>
                <w:b w:val="0"/>
                <w:i w:val="0"/>
                <w:color w:val="2D2D2D"/>
                <w:sz w:val="19"/>
              </w:rPr>
              <w:t>₱1,200,000 (2 yr.)</w:t>
            </w:r>
          </w:p>
        </w:tc>
        <w:tc>
          <w:tcPr>
            <w:tcW w:type="dxa" w:w="669"/>
          </w:tcPr>
          <w:p>
            <w:r/>
            <w:r>
              <w:rPr>
                <w:rFonts w:ascii="Inter" w:hAnsi="Inter" w:cs="Inter"/>
                <w:b w:val="0"/>
                <w:i w:val="0"/>
                <w:color w:val="2D2D2D"/>
                <w:sz w:val="19"/>
              </w:rPr>
              <w:t>₱680,000 (2 yr.)</w:t>
            </w:r>
          </w:p>
        </w:tc>
        <w:tc>
          <w:tcPr>
            <w:tcW w:type="dxa" w:w="669"/>
          </w:tcPr>
          <w:p>
            <w:r/>
            <w:r>
              <w:rPr>
                <w:rFonts w:ascii="Inter" w:hAnsi="Inter" w:cs="Inter"/>
                <w:b w:val="0"/>
                <w:i w:val="0"/>
                <w:color w:val="2D2D2D"/>
                <w:sz w:val="19"/>
              </w:rPr>
              <w:t>₱670,000</w:t>
            </w:r>
          </w:p>
        </w:tc>
        <w:tc>
          <w:tcPr>
            <w:tcW w:type="dxa" w:w="669"/>
          </w:tcPr>
          <w:p>
            <w:r/>
            <w:r>
              <w:rPr>
                <w:rFonts w:ascii="Inter" w:hAnsi="Inter" w:cs="Inter"/>
                <w:b w:val="0"/>
                <w:i w:val="0"/>
                <w:color w:val="2D2D2D"/>
                <w:sz w:val="19"/>
              </w:rPr>
              <w:t>GAAB + job-order bridge</w:t>
            </w:r>
          </w:p>
        </w:tc>
      </w:tr>
      <w:tr>
        <w:tc>
          <w:tcPr>
            <w:tcW w:type="dxa" w:w="669"/>
            <w:shd w:fill="F0F3F6"/>
          </w:tcPr>
          <w:p>
            <w:r/>
            <w:r>
              <w:rPr>
                <w:rFonts w:ascii="Inter" w:hAnsi="Inter" w:cs="Inter"/>
                <w:b w:val="0"/>
                <w:i w:val="0"/>
                <w:color w:val="2D2D2D"/>
                <w:sz w:val="19"/>
              </w:rPr>
              <w:t>P-03-A-01</w:t>
            </w:r>
          </w:p>
        </w:tc>
        <w:tc>
          <w:tcPr>
            <w:tcW w:type="dxa" w:w="669"/>
            <w:shd w:fill="F0F3F6"/>
          </w:tcPr>
          <w:p>
            <w:r/>
            <w:r>
              <w:rPr>
                <w:rFonts w:ascii="Inter" w:hAnsi="Inter" w:cs="Inter"/>
                <w:b w:val="0"/>
                <w:i w:val="0"/>
                <w:color w:val="2D2D2D"/>
                <w:sz w:val="19"/>
              </w:rPr>
              <w:t>Community Profiling and Assessment</w:t>
            </w:r>
          </w:p>
        </w:tc>
        <w:tc>
          <w:tcPr>
            <w:tcW w:type="dxa" w:w="669"/>
            <w:shd w:fill="F0F3F6"/>
          </w:tcPr>
          <w:p>
            <w:r/>
            <w:r>
              <w:rPr>
                <w:rFonts w:ascii="Inter" w:hAnsi="Inter" w:cs="Inter"/>
                <w:b w:val="0"/>
                <w:i w:val="0"/>
                <w:color w:val="2D2D2D"/>
                <w:sz w:val="19"/>
              </w:rPr>
              <w:t>Field Coordinator (SG-11), 4 pos., 4.0 FTE; Community Dev. Officer (SG-11), 3 pos., 2.25 FTE</w:t>
            </w:r>
          </w:p>
        </w:tc>
        <w:tc>
          <w:tcPr>
            <w:tcW w:type="dxa" w:w="669"/>
            <w:shd w:fill="F0F3F6"/>
          </w:tcPr>
          <w:p>
            <w:r/>
            <w:r>
              <w:rPr>
                <w:rFonts w:ascii="Inter" w:hAnsi="Inter" w:cs="Inter"/>
                <w:b w:val="0"/>
                <w:i w:val="0"/>
                <w:color w:val="2D2D2D"/>
                <w:sz w:val="19"/>
              </w:rPr>
              <w:t>2 Field Coordinators (filled); 2 Community Dev. Officers (filled)</w:t>
            </w:r>
          </w:p>
        </w:tc>
        <w:tc>
          <w:tcPr>
            <w:tcW w:type="dxa" w:w="669"/>
            <w:shd w:fill="F0F3F6"/>
          </w:tcPr>
          <w:p>
            <w:r/>
            <w:r>
              <w:rPr>
                <w:rFonts w:ascii="Inter" w:hAnsi="Inter" w:cs="Inter"/>
                <w:b w:val="0"/>
                <w:i w:val="0"/>
                <w:color w:val="2D2D2D"/>
                <w:sz w:val="19"/>
              </w:rPr>
              <w:t>Field Coordinator: 2 structural; Community Dev. Officer: 1 structural</w:t>
            </w:r>
          </w:p>
        </w:tc>
        <w:tc>
          <w:tcPr>
            <w:tcW w:type="dxa" w:w="669"/>
            <w:shd w:fill="F0F3F6"/>
          </w:tcPr>
          <w:p>
            <w:r/>
            <w:r>
              <w:rPr>
                <w:rFonts w:ascii="Inter" w:hAnsi="Inter" w:cs="Inter"/>
                <w:b w:val="0"/>
                <w:i w:val="0"/>
                <w:color w:val="2D2D2D"/>
                <w:sz w:val="19"/>
              </w:rPr>
              <w:t>Request 2 Field Coordinator + 1 CDO positions; Year 1 bridge via job-order CDO and partner co-facilitation (CFSI)</w:t>
            </w:r>
          </w:p>
        </w:tc>
        <w:tc>
          <w:tcPr>
            <w:tcW w:type="dxa" w:w="669"/>
            <w:shd w:fill="F0F3F6"/>
          </w:tcPr>
          <w:p>
            <w:r/>
            <w:r>
              <w:rPr>
                <w:rFonts w:ascii="Inter" w:hAnsi="Inter" w:cs="Inter"/>
                <w:b w:val="0"/>
                <w:i w:val="0"/>
                <w:color w:val="2D2D2D"/>
                <w:sz w:val="19"/>
              </w:rPr>
              <w:t>Vehicles (shared with P-03-A-02), tablets (from P-03-PR-01), field kits, profiling forms</w:t>
            </w:r>
          </w:p>
        </w:tc>
        <w:tc>
          <w:tcPr>
            <w:tcW w:type="dxa" w:w="669"/>
            <w:shd w:fill="F0F3F6"/>
          </w:tcPr>
          <w:p>
            <w:r/>
            <w:r>
              <w:rPr>
                <w:rFonts w:ascii="Inter" w:hAnsi="Inter" w:cs="Inter"/>
                <w:b w:val="0"/>
                <w:i w:val="0"/>
                <w:color w:val="2D2D2D"/>
                <w:sz w:val="19"/>
              </w:rPr>
              <w:t>1 field vehicle; existing field kits</w:t>
            </w:r>
          </w:p>
        </w:tc>
        <w:tc>
          <w:tcPr>
            <w:tcW w:type="dxa" w:w="669"/>
            <w:shd w:fill="F0F3F6"/>
          </w:tcPr>
          <w:p>
            <w:r/>
            <w:r>
              <w:rPr>
                <w:rFonts w:ascii="Inter" w:hAnsi="Inter" w:cs="Inter"/>
                <w:b w:val="0"/>
                <w:i w:val="0"/>
                <w:color w:val="2D2D2D"/>
                <w:sz w:val="19"/>
              </w:rPr>
              <w:t>1 vehicle + 2 motorcycles (CO); consumable profiling supplies (MOOE)</w:t>
            </w:r>
          </w:p>
        </w:tc>
        <w:tc>
          <w:tcPr>
            <w:tcW w:type="dxa" w:w="669"/>
            <w:shd w:fill="F0F3F6"/>
          </w:tcPr>
          <w:p>
            <w:r/>
            <w:r>
              <w:rPr>
                <w:rFonts w:ascii="Inter" w:hAnsi="Inter" w:cs="Inter"/>
                <w:b w:val="0"/>
                <w:i w:val="0"/>
                <w:color w:val="2D2D2D"/>
                <w:sz w:val="19"/>
              </w:rPr>
              <w:t>CFSI (co-facilitation, mobilization); BDA (data sharing)</w:t>
            </w:r>
          </w:p>
        </w:tc>
        <w:tc>
          <w:tcPr>
            <w:tcW w:type="dxa" w:w="669"/>
            <w:shd w:fill="F0F3F6"/>
          </w:tcPr>
          <w:p>
            <w:r/>
            <w:r>
              <w:rPr>
                <w:rFonts w:ascii="Inter" w:hAnsi="Inter" w:cs="Inter"/>
                <w:b w:val="0"/>
                <w:i w:val="0"/>
                <w:color w:val="2D2D2D"/>
                <w:sz w:val="19"/>
              </w:rPr>
              <w:t>₱4,800,000 (3 yr.)</w:t>
            </w:r>
          </w:p>
        </w:tc>
        <w:tc>
          <w:tcPr>
            <w:tcW w:type="dxa" w:w="669"/>
            <w:shd w:fill="F0F3F6"/>
          </w:tcPr>
          <w:p>
            <w:r/>
            <w:r>
              <w:rPr>
                <w:rFonts w:ascii="Inter" w:hAnsi="Inter" w:cs="Inter"/>
                <w:b w:val="0"/>
                <w:i w:val="0"/>
                <w:color w:val="2D2D2D"/>
                <w:sz w:val="19"/>
              </w:rPr>
              <w:t>₱1,260,000 (3 yr.)</w:t>
            </w:r>
          </w:p>
        </w:tc>
        <w:tc>
          <w:tcPr>
            <w:tcW w:type="dxa" w:w="669"/>
            <w:shd w:fill="F0F3F6"/>
          </w:tcPr>
          <w:p>
            <w:r/>
            <w:r>
              <w:rPr>
                <w:rFonts w:ascii="Inter" w:hAnsi="Inter" w:cs="Inter"/>
                <w:b w:val="0"/>
                <w:i w:val="0"/>
                <w:color w:val="2D2D2D"/>
                <w:sz w:val="19"/>
              </w:rPr>
              <w:t>₱1,940,000 (Y1 only)</w:t>
            </w:r>
          </w:p>
        </w:tc>
        <w:tc>
          <w:tcPr>
            <w:tcW w:type="dxa" w:w="669"/>
            <w:shd w:fill="F0F3F6"/>
          </w:tcPr>
          <w:p>
            <w:r/>
            <w:r>
              <w:rPr>
                <w:rFonts w:ascii="Inter" w:hAnsi="Inter" w:cs="Inter"/>
                <w:b w:val="0"/>
                <w:i w:val="0"/>
                <w:color w:val="2D2D2D"/>
                <w:sz w:val="19"/>
              </w:rPr>
              <w:t>GAAB + CFSI in-kind</w:t>
            </w:r>
          </w:p>
        </w:tc>
      </w:tr>
      <w:tr>
        <w:tc>
          <w:tcPr>
            <w:tcW w:type="dxa" w:w="669"/>
          </w:tcPr>
          <w:p>
            <w:r/>
            <w:r>
              <w:rPr>
                <w:rFonts w:ascii="Inter" w:hAnsi="Inter" w:cs="Inter"/>
                <w:b w:val="0"/>
                <w:i w:val="0"/>
                <w:color w:val="2D2D2D"/>
                <w:sz w:val="19"/>
              </w:rPr>
              <w:t>P-03-A-02</w:t>
            </w:r>
          </w:p>
        </w:tc>
        <w:tc>
          <w:tcPr>
            <w:tcW w:type="dxa" w:w="669"/>
          </w:tcPr>
          <w:p>
            <w:r/>
            <w:r>
              <w:rPr>
                <w:rFonts w:ascii="Inter" w:hAnsi="Inter" w:cs="Inter"/>
                <w:b w:val="0"/>
                <w:i w:val="0"/>
                <w:color w:val="2D2D2D"/>
                <w:sz w:val="19"/>
              </w:rPr>
              <w:t>Quarterly Coordination Meetings with LGUs</w:t>
            </w:r>
          </w:p>
        </w:tc>
        <w:tc>
          <w:tcPr>
            <w:tcW w:type="dxa" w:w="669"/>
          </w:tcPr>
          <w:p>
            <w:r/>
            <w:r>
              <w:rPr>
                <w:rFonts w:ascii="Inter" w:hAnsi="Inter" w:cs="Inter"/>
                <w:b w:val="0"/>
                <w:i w:val="0"/>
                <w:color w:val="2D2D2D"/>
                <w:sz w:val="19"/>
              </w:rPr>
              <w:t>Planning Officer III (SG-18), 0.3 FTE; Field Coordinators (SG-11), shared allocation</w:t>
            </w:r>
          </w:p>
        </w:tc>
        <w:tc>
          <w:tcPr>
            <w:tcW w:type="dxa" w:w="669"/>
          </w:tcPr>
          <w:p>
            <w:r/>
            <w:r>
              <w:rPr>
                <w:rFonts w:ascii="Inter" w:hAnsi="Inter" w:cs="Inter"/>
                <w:b w:val="0"/>
                <w:i w:val="0"/>
                <w:color w:val="2D2D2D"/>
                <w:sz w:val="19"/>
              </w:rPr>
              <w:t>Planning Officer III (filled); Field Coordinators (2 filled)</w:t>
            </w:r>
          </w:p>
        </w:tc>
        <w:tc>
          <w:tcPr>
            <w:tcW w:type="dxa" w:w="669"/>
          </w:tcPr>
          <w:p>
            <w:r/>
            <w:r>
              <w:rPr>
                <w:rFonts w:ascii="Inter" w:hAnsi="Inter" w:cs="Inter"/>
                <w:b w:val="0"/>
                <w:i w:val="0"/>
                <w:color w:val="2D2D2D"/>
                <w:sz w:val="19"/>
              </w:rPr>
              <w:t>Field Coordinator: structural gaps affect coverage (see P-03-A-01)</w:t>
            </w:r>
          </w:p>
        </w:tc>
        <w:tc>
          <w:tcPr>
            <w:tcW w:type="dxa" w:w="669"/>
          </w:tcPr>
          <w:p>
            <w:r/>
            <w:r>
              <w:rPr>
                <w:rFonts w:ascii="Inter" w:hAnsi="Inter" w:cs="Inter"/>
                <w:b w:val="0"/>
                <w:i w:val="0"/>
                <w:color w:val="2D2D2D"/>
                <w:sz w:val="19"/>
              </w:rPr>
              <w:t>Same mitigation as P-03-A-01; prioritize LGU meetings in provinces where staff are present</w:t>
            </w:r>
          </w:p>
        </w:tc>
        <w:tc>
          <w:tcPr>
            <w:tcW w:type="dxa" w:w="669"/>
          </w:tcPr>
          <w:p>
            <w:r/>
            <w:r>
              <w:rPr>
                <w:rFonts w:ascii="Inter" w:hAnsi="Inter" w:cs="Inter"/>
                <w:b w:val="0"/>
                <w:i w:val="0"/>
                <w:color w:val="2D2D2D"/>
                <w:sz w:val="19"/>
              </w:rPr>
              <w:t>Meeting venue, transportation, materials</w:t>
            </w:r>
          </w:p>
        </w:tc>
        <w:tc>
          <w:tcPr>
            <w:tcW w:type="dxa" w:w="669"/>
          </w:tcPr>
          <w:p>
            <w:r/>
            <w:r>
              <w:rPr>
                <w:rFonts w:ascii="Inter" w:hAnsi="Inter" w:cs="Inter"/>
                <w:b w:val="0"/>
                <w:i w:val="0"/>
                <w:color w:val="2D2D2D"/>
                <w:sz w:val="19"/>
              </w:rPr>
              <w:t>Existing office facilities</w:t>
            </w:r>
          </w:p>
        </w:tc>
        <w:tc>
          <w:tcPr>
            <w:tcW w:type="dxa" w:w="669"/>
          </w:tcPr>
          <w:p>
            <w:r/>
            <w:r>
              <w:rPr>
                <w:rFonts w:ascii="Inter" w:hAnsi="Inter" w:cs="Inter"/>
                <w:b w:val="0"/>
                <w:i w:val="0"/>
                <w:color w:val="2D2D2D"/>
                <w:sz w:val="19"/>
              </w:rPr>
              <w:t>Travel costs and venue hire for out-of-Cotabato meetings (MOOE)</w:t>
            </w:r>
          </w:p>
        </w:tc>
        <w:tc>
          <w:tcPr>
            <w:tcW w:type="dxa" w:w="669"/>
          </w:tcPr>
          <w:p>
            <w:r/>
            <w:r>
              <w:rPr>
                <w:rFonts w:ascii="Inter" w:hAnsi="Inter" w:cs="Inter"/>
                <w:b w:val="0"/>
                <w:i w:val="0"/>
                <w:color w:val="2D2D2D"/>
                <w:sz w:val="19"/>
              </w:rPr>
              <w:t>DILG (LGU facilitation); MSSD, MBHTE, MAFAR (referral protocols)</w:t>
            </w:r>
          </w:p>
        </w:tc>
        <w:tc>
          <w:tcPr>
            <w:tcW w:type="dxa" w:w="669"/>
          </w:tcPr>
          <w:p>
            <w:r/>
            <w:r>
              <w:rPr>
                <w:rFonts w:ascii="Inter" w:hAnsi="Inter" w:cs="Inter"/>
                <w:b w:val="0"/>
                <w:i w:val="0"/>
                <w:color w:val="2D2D2D"/>
                <w:sz w:val="19"/>
              </w:rPr>
              <w:t>₱800,000 (3 yr.)</w:t>
            </w:r>
          </w:p>
        </w:tc>
        <w:tc>
          <w:tcPr>
            <w:tcW w:type="dxa" w:w="669"/>
          </w:tcPr>
          <w:p>
            <w:r/>
            <w:r>
              <w:rPr>
                <w:rFonts w:ascii="Inter" w:hAnsi="Inter" w:cs="Inter"/>
                <w:b w:val="0"/>
                <w:i w:val="0"/>
                <w:color w:val="2D2D2D"/>
                <w:sz w:val="19"/>
              </w:rPr>
              <w:t>₱1,200,000 (3 yr.)</w:t>
            </w:r>
          </w:p>
        </w:tc>
        <w:tc>
          <w:tcPr>
            <w:tcW w:type="dxa" w:w="669"/>
          </w:tcPr>
          <w:p>
            <w:r/>
            <w:r>
              <w:rPr>
                <w:rFonts w:ascii="Inter" w:hAnsi="Inter" w:cs="Inter"/>
                <w:b w:val="0"/>
                <w:i w:val="0"/>
                <w:color w:val="2D2D2D"/>
                <w:sz w:val="19"/>
              </w:rPr>
              <w:t>—</w:t>
            </w:r>
          </w:p>
        </w:tc>
        <w:tc>
          <w:tcPr>
            <w:tcW w:type="dxa" w:w="669"/>
          </w:tcPr>
          <w:p>
            <w:r/>
            <w:r>
              <w:rPr>
                <w:rFonts w:ascii="Inter" w:hAnsi="Inter" w:cs="Inter"/>
                <w:b w:val="0"/>
                <w:i w:val="0"/>
                <w:color w:val="2D2D2D"/>
                <w:sz w:val="19"/>
              </w:rPr>
              <w:t>GAAB</w:t>
            </w:r>
          </w:p>
        </w:tc>
      </w:tr>
      <w:tr>
        <w:tc>
          <w:tcPr>
            <w:tcW w:type="dxa" w:w="669"/>
            <w:shd w:fill="F0F3F6"/>
          </w:tcPr>
          <w:p>
            <w:r/>
            <w:r>
              <w:rPr>
                <w:rFonts w:ascii="Inter" w:hAnsi="Inter" w:cs="Inter"/>
                <w:b w:val="0"/>
                <w:i w:val="0"/>
                <w:color w:val="2D2D2D"/>
                <w:sz w:val="19"/>
              </w:rPr>
              <w:t>*(Add PPA rows below)*</w:t>
            </w: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r>
      <w:tr>
        <w:tc>
          <w:tcPr>
            <w:tcW w:type="dxa" w:w="669"/>
          </w:tcPr>
          <w:p>
            <w:r/>
            <w:r>
              <w:rPr>
                <w:rFonts w:ascii="Inter" w:hAnsi="Inter" w:cs="Inter"/>
                <w:b w:val="0"/>
                <w:i w:val="0"/>
                <w:color w:val="2D2D2D"/>
                <w:sz w:val="19"/>
              </w:rPr>
              <w:t>**TOTALS**</w:t>
            </w: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c>
          <w:tcPr>
            <w:tcW w:type="dxa" w:w="669"/>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Instructions for completing the matrix:</w:t>
      </w:r>
      <w:r>
        <w:rPr>
          <w:rFonts w:ascii="Inter" w:hAnsi="Inter" w:cs="Inter"/>
          <w:b w:val="0"/>
          <w:i w:val="0"/>
          <w:color w:val="2D2D2D"/>
          <w:sz w:val="22"/>
        </w:rPr>
      </w:r>
    </w:p>
    <w:p>
      <w:pPr>
        <w:pStyle w:val="ListNumber"/>
      </w:pPr>
      <w:r>
        <w:rPr>
          <w:rFonts w:ascii="Inter" w:hAnsi="Inter" w:cs="Inter"/>
          <w:b w:val="0"/>
          <w:i w:val="0"/>
          <w:color w:val="2D2D2D"/>
          <w:sz w:val="22"/>
        </w:rPr>
        <w:t>Use one row per PPA. For PPAs with complex staffing requirements, attach a separate HR detail sheet and summarize in the matrix.</w:t>
      </w:r>
    </w:p>
    <w:p>
      <w:pPr>
        <w:pStyle w:val="ListNumber"/>
      </w:pPr>
      <w:r>
        <w:rPr>
          <w:rFonts w:ascii="Inter" w:hAnsi="Inter" w:cs="Inter"/>
          <w:b w:val="0"/>
          <w:i w:val="0"/>
          <w:color w:val="2D2D2D"/>
          <w:sz w:val="22"/>
        </w:rPr>
        <w:t>In the "HR Required" column, list all positions by title, quantity, and FTE. FTE = (quantity × time allocation %). Example: 3 Foresters at 80% time = 2.4 FTE.</w:t>
      </w:r>
    </w:p>
    <w:p>
      <w:pPr>
        <w:pStyle w:val="ListNumber"/>
      </w:pPr>
      <w:r>
        <w:rPr>
          <w:rFonts w:ascii="Inter" w:hAnsi="Inter" w:cs="Inter"/>
          <w:b w:val="0"/>
          <w:i w:val="0"/>
          <w:color w:val="2D2D2D"/>
          <w:sz w:val="22"/>
        </w:rPr>
        <w:t>In the "HR Available" column, list only positions that are currently authorized AND filled AND competent for this PPA's requirements.</w:t>
      </w:r>
    </w:p>
    <w:p>
      <w:pPr>
        <w:pStyle w:val="ListNumber"/>
      </w:pPr>
      <w:r>
        <w:rPr>
          <w:rFonts w:ascii="Inter" w:hAnsi="Inter" w:cs="Inter"/>
          <w:b w:val="0"/>
          <w:i w:val="0"/>
          <w:color w:val="2D2D2D"/>
          <w:sz w:val="22"/>
        </w:rPr>
        <w:t>In the "HR Gap" column, specify whether each gap is structural (position not in plantilla), vacancy (authorized but unfilled), or competency (filled but skill gap).</w:t>
      </w:r>
    </w:p>
    <w:p>
      <w:pPr>
        <w:pStyle w:val="ListNumber"/>
      </w:pPr>
      <w:r>
        <w:rPr>
          <w:rFonts w:ascii="Inter" w:hAnsi="Inter" w:cs="Inter"/>
          <w:b w:val="0"/>
          <w:i w:val="0"/>
          <w:color w:val="2D2D2D"/>
          <w:sz w:val="22"/>
        </w:rPr>
        <w:t>Cost estimates should be for the full planning period. Break down by year in a separate detail sheet if needed.</w:t>
      </w:r>
    </w:p>
    <w:p>
      <w:pPr>
        <w:pStyle w:val="ListNumber"/>
      </w:pPr>
      <w:r>
        <w:rPr>
          <w:rFonts w:ascii="Inter" w:hAnsi="Inter" w:cs="Inter"/>
          <w:b w:val="0"/>
          <w:i w:val="0"/>
          <w:color w:val="2D2D2D"/>
          <w:sz w:val="22"/>
        </w:rPr>
        <w:t>Funding source should specify: GAAB (regular appropriations), supplemental appropriations, development partner co-financing, LGU counterpart, or other identified source.</w:t>
      </w:r>
    </w:p>
    <w:p>
      <w:pPr>
        <w:pStyle w:val="Heading2"/>
      </w:pPr>
      <w:r>
        <w:rPr>
          <w:rFonts w:ascii="Inter" w:hAnsi="Inter" w:cs="Inter"/>
          <w:b/>
          <w:i w:val="0"/>
          <w:color w:val="1B365D"/>
          <w:sz w:val="32"/>
        </w:rPr>
        <w:t>9.8 Quality Checklist</w:t>
      </w:r>
    </w:p>
    <w:p>
      <w:pPr>
        <w:spacing w:after="120" w:line="276" w:lineRule="auto"/>
      </w:pPr>
      <w:r>
        <w:rPr>
          <w:rFonts w:ascii="Inter" w:hAnsi="Inter" w:cs="Inter"/>
          <w:b w:val="0"/>
          <w:i w:val="0"/>
          <w:color w:val="2D2D2D"/>
          <w:sz w:val="22"/>
        </w:rPr>
        <w:t>Use this checklist before finalizing your Resource Requirements Matrix and submitting it as part of your strategic plan.</w:t>
      </w:r>
    </w:p>
    <w:p>
      <w:pPr>
        <w:pStyle w:val="ListBullet"/>
      </w:pPr>
      <w:r>
        <w:rPr>
          <w:rFonts w:ascii="Inter" w:hAnsi="Inter" w:cs="Inter"/>
          <w:b w:val="0"/>
          <w:i w:val="0"/>
          <w:color w:val="2D2D2D"/>
          <w:sz w:val="22"/>
        </w:rPr>
        <w:t xml:space="preserve">[ ] </w:t>
      </w:r>
      <w:r>
        <w:rPr>
          <w:rFonts w:ascii="Inter" w:hAnsi="Inter" w:cs="Inter"/>
          <w:b/>
          <w:i w:val="0"/>
          <w:color w:val="2D2D2D"/>
          <w:sz w:val="22"/>
        </w:rPr>
        <w:t>Every PPA from Chapter 8 has a corresponding row</w:t>
      </w:r>
      <w:r>
        <w:rPr>
          <w:rFonts w:ascii="Inter" w:hAnsi="Inter" w:cs="Inter"/>
          <w:b w:val="0"/>
          <w:i w:val="0"/>
          <w:color w:val="2D2D2D"/>
          <w:sz w:val="22"/>
        </w:rPr>
        <w:t xml:space="preserve"> in the Resource Requirements Matrix. No PPA has been left without a resource assessment.</w:t>
      </w:r>
    </w:p>
    <w:p>
      <w:pPr>
        <w:pStyle w:val="ListBullet"/>
      </w:pPr>
      <w:r>
        <w:rPr>
          <w:rFonts w:ascii="Inter" w:hAnsi="Inter" w:cs="Inter"/>
          <w:b w:val="0"/>
          <w:i w:val="0"/>
          <w:color w:val="2D2D2D"/>
          <w:sz w:val="22"/>
        </w:rPr>
        <w:t xml:space="preserve">[ ] </w:t>
      </w:r>
      <w:r>
        <w:rPr>
          <w:rFonts w:ascii="Inter" w:hAnsi="Inter" w:cs="Inter"/>
          <w:b/>
          <w:i w:val="0"/>
          <w:color w:val="2D2D2D"/>
          <w:sz w:val="22"/>
        </w:rPr>
        <w:t>Human resource requirements are specific:</w:t>
      </w:r>
      <w:r>
        <w:rPr>
          <w:rFonts w:ascii="Inter" w:hAnsi="Inter" w:cs="Inter"/>
          <w:b w:val="0"/>
          <w:i w:val="0"/>
          <w:color w:val="2D2D2D"/>
          <w:sz w:val="22"/>
        </w:rPr>
        <w:t xml:space="preserve"> positions are identified by title and salary grade (not just "staff" or "personnel"), quantities are realistic, and time allocations are expressed as FTE percentages rather than vague descriptions.</w:t>
      </w:r>
    </w:p>
    <w:p>
      <w:pPr>
        <w:pStyle w:val="ListBullet"/>
      </w:pPr>
      <w:r>
        <w:rPr>
          <w:rFonts w:ascii="Inter" w:hAnsi="Inter" w:cs="Inter"/>
          <w:b w:val="0"/>
          <w:i w:val="0"/>
          <w:color w:val="2D2D2D"/>
          <w:sz w:val="22"/>
        </w:rPr>
        <w:t xml:space="preserve">[ ] </w:t>
      </w:r>
      <w:r>
        <w:rPr>
          <w:rFonts w:ascii="Inter" w:hAnsi="Inter" w:cs="Inter"/>
          <w:b/>
          <w:i w:val="0"/>
          <w:color w:val="2D2D2D"/>
          <w:sz w:val="22"/>
        </w:rPr>
        <w:t>Plantilla comparison has been completed:</w:t>
      </w:r>
      <w:r>
        <w:rPr>
          <w:rFonts w:ascii="Inter" w:hAnsi="Inter" w:cs="Inter"/>
          <w:b w:val="0"/>
          <w:i w:val="0"/>
          <w:color w:val="2D2D2D"/>
          <w:sz w:val="22"/>
        </w:rPr>
        <w:t xml:space="preserve"> you have checked each required position against your current authorized plantilla and clearly identified structural gaps, vacancy gaps, and competency gaps.</w:t>
      </w:r>
    </w:p>
    <w:p>
      <w:pPr>
        <w:pStyle w:val="ListBullet"/>
      </w:pPr>
      <w:r>
        <w:rPr>
          <w:rFonts w:ascii="Inter" w:hAnsi="Inter" w:cs="Inter"/>
          <w:b w:val="0"/>
          <w:i w:val="0"/>
          <w:color w:val="2D2D2D"/>
          <w:sz w:val="22"/>
        </w:rPr>
        <w:t xml:space="preserve">[ ] </w:t>
      </w:r>
      <w:r>
        <w:rPr>
          <w:rFonts w:ascii="Inter" w:hAnsi="Inter" w:cs="Inter"/>
          <w:b/>
          <w:i w:val="0"/>
          <w:color w:val="2D2D2D"/>
          <w:sz w:val="22"/>
        </w:rPr>
        <w:t>Competency requirements are defined:</w:t>
      </w:r>
      <w:r>
        <w:rPr>
          <w:rFonts w:ascii="Inter" w:hAnsi="Inter" w:cs="Inter"/>
          <w:b w:val="0"/>
          <w:i w:val="0"/>
          <w:color w:val="2D2D2D"/>
          <w:sz w:val="22"/>
        </w:rPr>
        <w:t xml:space="preserve"> for each position, you have specified the competencies needed and whether the current incumbent (if the position is filled) meets those requirements.</w:t>
      </w:r>
    </w:p>
    <w:p>
      <w:pPr>
        <w:pStyle w:val="ListBullet"/>
      </w:pPr>
      <w:r>
        <w:rPr>
          <w:rFonts w:ascii="Inter" w:hAnsi="Inter" w:cs="Inter"/>
          <w:b w:val="0"/>
          <w:i w:val="0"/>
          <w:color w:val="2D2D2D"/>
          <w:sz w:val="22"/>
        </w:rPr>
        <w:t xml:space="preserve">[ ] </w:t>
      </w:r>
      <w:r>
        <w:rPr>
          <w:rFonts w:ascii="Inter" w:hAnsi="Inter" w:cs="Inter"/>
          <w:b/>
          <w:i w:val="0"/>
          <w:color w:val="2D2D2D"/>
          <w:sz w:val="22"/>
        </w:rPr>
        <w:t>Physical resource gaps are identified by PPA:</w:t>
      </w:r>
      <w:r>
        <w:rPr>
          <w:rFonts w:ascii="Inter" w:hAnsi="Inter" w:cs="Inter"/>
          <w:b w:val="0"/>
          <w:i w:val="0"/>
          <w:color w:val="2D2D2D"/>
          <w:sz w:val="22"/>
        </w:rPr>
        <w:t xml:space="preserve"> you have not assumed that existing assets are sufficient without checking the actual inventory against PPA-specific requirements.</w:t>
      </w:r>
    </w:p>
    <w:p>
      <w:pPr>
        <w:pStyle w:val="ListBullet"/>
      </w:pPr>
      <w:r>
        <w:rPr>
          <w:rFonts w:ascii="Inter" w:hAnsi="Inter" w:cs="Inter"/>
          <w:b w:val="0"/>
          <w:i w:val="0"/>
          <w:color w:val="2D2D2D"/>
          <w:sz w:val="22"/>
        </w:rPr>
        <w:t xml:space="preserve">[ ] </w:t>
      </w:r>
      <w:r>
        <w:rPr>
          <w:rFonts w:ascii="Inter" w:hAnsi="Inter" w:cs="Inter"/>
          <w:b/>
          <w:i w:val="0"/>
          <w:color w:val="2D2D2D"/>
          <w:sz w:val="22"/>
        </w:rPr>
        <w:t>Cost estimates are based on actual data:</w:t>
      </w:r>
      <w:r>
        <w:rPr>
          <w:rFonts w:ascii="Inter" w:hAnsi="Inter" w:cs="Inter"/>
          <w:b w:val="0"/>
          <w:i w:val="0"/>
          <w:color w:val="2D2D2D"/>
          <w:sz w:val="22"/>
        </w:rPr>
        <w:t xml:space="preserve"> salary estimates use current DBM salary grade tables; equipment and supply costs are grounded in actual procurement prices or MFBM standard cost tables — not round numbers or guesses.</w:t>
      </w:r>
    </w:p>
    <w:p>
      <w:pPr>
        <w:pStyle w:val="ListBullet"/>
      </w:pPr>
      <w:r>
        <w:rPr>
          <w:rFonts w:ascii="Inter" w:hAnsi="Inter" w:cs="Inter"/>
          <w:b w:val="0"/>
          <w:i w:val="0"/>
          <w:color w:val="2D2D2D"/>
          <w:sz w:val="22"/>
        </w:rPr>
        <w:t xml:space="preserve">[ ] </w:t>
      </w:r>
      <w:r>
        <w:rPr>
          <w:rFonts w:ascii="Inter" w:hAnsi="Inter" w:cs="Inter"/>
          <w:b/>
          <w:i w:val="0"/>
          <w:color w:val="2D2D2D"/>
          <w:sz w:val="22"/>
        </w:rPr>
        <w:t>Partnerships are specific:</w:t>
      </w:r>
      <w:r>
        <w:rPr>
          <w:rFonts w:ascii="Inter" w:hAnsi="Inter" w:cs="Inter"/>
          <w:b w:val="0"/>
          <w:i w:val="0"/>
          <w:color w:val="2D2D2D"/>
          <w:sz w:val="22"/>
        </w:rPr>
        <w:t xml:space="preserve"> each partnership identifies a named organization, the type of contribution expected, and the current status of engagement (confirmed, in negotiation, or intended). No partnership is described as "TBD" without a specific plan to initiate engagement.</w:t>
      </w:r>
    </w:p>
    <w:p>
      <w:pPr>
        <w:pStyle w:val="ListBullet"/>
      </w:pPr>
      <w:r>
        <w:rPr>
          <w:rFonts w:ascii="Inter" w:hAnsi="Inter" w:cs="Inter"/>
          <w:b w:val="0"/>
          <w:i w:val="0"/>
          <w:color w:val="2D2D2D"/>
          <w:sz w:val="22"/>
        </w:rPr>
        <w:t xml:space="preserve">[ ] </w:t>
      </w:r>
      <w:r>
        <w:rPr>
          <w:rFonts w:ascii="Inter" w:hAnsi="Inter" w:cs="Inter"/>
          <w:b/>
          <w:i w:val="0"/>
          <w:color w:val="2D2D2D"/>
          <w:sz w:val="22"/>
        </w:rPr>
        <w:t>M&amp;E has its own resource line:</w:t>
      </w:r>
      <w:r>
        <w:rPr>
          <w:rFonts w:ascii="Inter" w:hAnsi="Inter" w:cs="Inter"/>
          <w:b w:val="0"/>
          <w:i w:val="0"/>
          <w:color w:val="2D2D2D"/>
          <w:sz w:val="22"/>
        </w:rPr>
        <w:t xml:space="preserve"> monitoring and evaluation activities — data collection, reporting, and evaluation studies — have been budgeted, not left as implicit overhead costs.</w:t>
      </w:r>
    </w:p>
    <w:p>
      <w:pPr>
        <w:pStyle w:val="ListBullet"/>
      </w:pPr>
      <w:r>
        <w:rPr>
          <w:rFonts w:ascii="Inter" w:hAnsi="Inter" w:cs="Inter"/>
          <w:b w:val="0"/>
          <w:i w:val="0"/>
          <w:color w:val="2D2D2D"/>
          <w:sz w:val="22"/>
        </w:rPr>
        <w:t xml:space="preserve">[ ] </w:t>
      </w:r>
      <w:r>
        <w:rPr>
          <w:rFonts w:ascii="Inter" w:hAnsi="Inter" w:cs="Inter"/>
          <w:b/>
          <w:i w:val="0"/>
          <w:color w:val="2D2D2D"/>
          <w:sz w:val="22"/>
        </w:rPr>
        <w:t>Total resource requirements have been compared against your budget ceiling:</w:t>
      </w:r>
      <w:r>
        <w:rPr>
          <w:rFonts w:ascii="Inter" w:hAnsi="Inter" w:cs="Inter"/>
          <w:b w:val="0"/>
          <w:i w:val="0"/>
          <w:color w:val="2D2D2D"/>
          <w:sz w:val="22"/>
        </w:rPr>
        <w:t xml:space="preserve"> you have made conscious decisions about PPA prioritization, phasing, or scope reduction where resources fall short.</w:t>
      </w:r>
    </w:p>
    <w:p>
      <w:pPr>
        <w:pStyle w:val="ListBullet"/>
      </w:pPr>
      <w:r>
        <w:rPr>
          <w:rFonts w:ascii="Inter" w:hAnsi="Inter" w:cs="Inter"/>
          <w:b w:val="0"/>
          <w:i w:val="0"/>
          <w:color w:val="2D2D2D"/>
          <w:sz w:val="22"/>
        </w:rPr>
        <w:t xml:space="preserve">[ ] </w:t>
      </w:r>
      <w:r>
        <w:rPr>
          <w:rFonts w:ascii="Inter" w:hAnsi="Inter" w:cs="Inter"/>
          <w:b/>
          <w:i w:val="0"/>
          <w:color w:val="2D2D2D"/>
          <w:sz w:val="22"/>
        </w:rPr>
        <w:t>Expenditure class classification is complete:</w:t>
      </w:r>
      <w:r>
        <w:rPr>
          <w:rFonts w:ascii="Inter" w:hAnsi="Inter" w:cs="Inter"/>
          <w:b w:val="0"/>
          <w:i w:val="0"/>
          <w:color w:val="2D2D2D"/>
          <w:sz w:val="22"/>
        </w:rPr>
        <w:t xml:space="preserve"> all resource costs are correctly classified as PS, MOOE, or CO, consistent with BAA No. 84 definitions and MFBM budget classification rules.</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Bangsamoro Autonomy Act No. 84, Sec. 21(c): "The proposed P/A/Ps of M/O/As shall be reviewed based on their respective merits, using the following criteria: ... Implementation readiness, which may include an analysis of a development plan, master plan, or roadmap, and the capability of the concerned M/O/A as demonstrated by its performance in previous years."</w:t>
      </w:r>
    </w:p>
    <w:p>
      <w:pPr>
        <w:spacing w:after="120" w:line="276" w:lineRule="auto"/>
      </w:pPr>
      <w:r>
        <w:rPr>
          <w:rFonts w:ascii="Inter" w:hAnsi="Inter" w:cs="Inter"/>
          <w:b w:val="0"/>
          <w:i w:val="0"/>
          <w:color w:val="2D2D2D"/>
          <w:sz w:val="22"/>
        </w:rPr>
        <w:t>[^2]: BAA No. 84, Sec. 19(b): "The budget proposals of M/O/As shall include the following information: ... Linkage of work and financial proposals to the approved BDP and BDIP."</w:t>
      </w:r>
    </w:p>
    <w:p>
      <w:pPr>
        <w:spacing w:after="120" w:line="276" w:lineRule="auto"/>
      </w:pPr>
      <w:r>
        <w:rPr>
          <w:rFonts w:ascii="Inter" w:hAnsi="Inter" w:cs="Inter"/>
          <w:b w:val="0"/>
          <w:i w:val="0"/>
          <w:color w:val="2D2D2D"/>
          <w:sz w:val="22"/>
        </w:rPr>
        <w:t>[^3]: BAA No. 84, Sec. 4(ao): "'Personnel Services' refer to the expenditure category or expense class for the payment of salaries, wages, and other compensation ... of permanent, temporary, contractual, and casual employees of the Bangsamoro Government."</w:t>
      </w:r>
    </w:p>
    <w:p>
      <w:pPr>
        <w:spacing w:after="120" w:line="276" w:lineRule="auto"/>
      </w:pPr>
      <w:r>
        <w:rPr>
          <w:rFonts w:ascii="Inter" w:hAnsi="Inter" w:cs="Inter"/>
          <w:b w:val="0"/>
          <w:i w:val="0"/>
          <w:color w:val="2D2D2D"/>
          <w:sz w:val="22"/>
        </w:rPr>
        <w:t>[^4]: BAA No. 84, Sec. 4(o): "'Capital Outlays' refer to the expenditure category or expense class for the purchase of goods and services, the benefits of which extend beyond the fiscal year and which add to the assets of the Bangsamoro Government, including investments in the capital stock of BGOCCs." Sec. 4(ae): "'Maintenance and Other Operating Expenses' refer to the expenditure category or expense class that supports the operations of M/O/As, such as expenses for supplies and materials, transportation and travel, utilities, repairs, and related items."</w:t>
      </w:r>
    </w:p>
    <w:p>
      <w:pPr>
        <w:spacing w:after="120" w:line="276" w:lineRule="auto"/>
      </w:pPr>
      <w:r>
        <w:rPr>
          <w:rFonts w:ascii="Inter" w:hAnsi="Inter" w:cs="Inter"/>
          <w:b w:val="0"/>
          <w:i w:val="0"/>
          <w:color w:val="2D2D2D"/>
          <w:sz w:val="22"/>
        </w:rPr>
        <w:t>[^5]: BAA No. 84, Sec. 4(o): Capital Outlays; Sec. 4(ae): MOOE; Sec. 4(ao): Personnel Services; Sec. 4(u): Financial Expenses.</w:t>
      </w:r>
    </w:p>
    <w:p>
      <w:pPr>
        <w:spacing w:after="120" w:line="276" w:lineRule="auto"/>
      </w:pPr>
      <w:r>
        <w:rPr>
          <w:rFonts w:ascii="Inter" w:hAnsi="Inter" w:cs="Inter"/>
          <w:b w:val="0"/>
          <w:i w:val="0"/>
          <w:color w:val="2D2D2D"/>
          <w:sz w:val="22"/>
        </w:rPr>
        <w:t>[^6]: BAA No. 84, Sec. 18: "The MFBM, through the Bangsamoro Budget Office, shall prescribe the budget preparation process and calendar in the annual Budget Call, which shall be presented during the annual budget forum."</w:t>
      </w:r>
    </w:p>
    <w:p>
      <w:pPr>
        <w:spacing w:after="120" w:line="276" w:lineRule="auto"/>
      </w:pPr>
      <w:r>
        <w:rPr>
          <w:rFonts w:ascii="Inter" w:hAnsi="Inter" w:cs="Inter"/>
          <w:b w:val="0"/>
          <w:i w:val="0"/>
          <w:color w:val="2D2D2D"/>
          <w:sz w:val="22"/>
        </w:rPr>
        <w:t>[^7]: BAA No. 84, Sec. 32: "The Chief Minister may transmit, after the passage of the GAAB, such proposed supplemental or deficiency appropriations as are considered necessary in the judgment of the Chief Minister, together with a certification that funds are available for the purpose or with supporting corresponding sources of revenue." See also Sec. 4(t) on Foreign-Assisted Projects.</w:t>
      </w:r>
    </w:p>
    <w:p>
      <w:pPr>
        <w:spacing w:after="120" w:line="276" w:lineRule="auto"/>
      </w:pPr>
      <w:r>
        <w:rPr>
          <w:rFonts w:ascii="Inter" w:hAnsi="Inter" w:cs="Inter"/>
          <w:b w:val="0"/>
          <w:i w:val="0"/>
          <w:color w:val="2D2D2D"/>
          <w:sz w:val="22"/>
        </w:rPr>
        <w:t>[^8]: BAA No. 84, Sec. 18: The annual Budget Call prescribes the budget preparation process and calendar. MOA resource plans must be aligned with budget submission timelines set by the MFBM.</w:t>
      </w:r>
    </w:p>
    <w:p>
      <w:pPr>
        <w:pageBreakBefore/>
      </w:pPr>
    </w:p>
    <w:p>
      <w:pPr>
        <w:pStyle w:val="Heading1"/>
      </w:pPr>
      <w:r>
        <w:rPr>
          <w:rFonts w:ascii="Inter" w:hAnsi="Inter" w:cs="Inter"/>
          <w:b/>
          <w:i w:val="0"/>
          <w:color w:val="1B365D"/>
          <w:sz w:val="44"/>
        </w:rPr>
        <w:t>Chapter 10: Preparing the Annual Work Plan</w:t>
      </w:r>
    </w:p>
    <w:p>
      <w:pPr>
        <w:spacing w:after="120" w:line="276" w:lineRule="auto"/>
      </w:pPr>
      <w:r>
        <w:rPr>
          <w:rFonts w:ascii="Inter" w:hAnsi="Inter" w:cs="Inter"/>
          <w:b w:val="0"/>
          <w:i w:val="0"/>
          <w:color w:val="2D2D2D"/>
          <w:sz w:val="22"/>
        </w:rPr>
        <w:t>You now have a multi-year strategic plan: a set of PPAs organized into programs (Chapter 8), each linked to outcome indicators, assigned to responsible units, and backed by a Resource Requirements Matrix that shows what it will take to implement them (Chapter 9). That plan spans three to five years. But the Bangsamoro budget cycle runs by the fiscal year — January to December. Parliament does not appropriate multi-year budgets; it appropriates for this year. MFBM does not evaluate multi-year commitments; it evaluates what you plan to accomplish and how much you plan to spend this year.</w:t>
      </w:r>
    </w:p>
    <w:p>
      <w:pPr>
        <w:spacing w:after="120" w:line="276" w:lineRule="auto"/>
      </w:pPr>
      <w:r>
        <w:rPr>
          <w:rFonts w:ascii="Inter" w:hAnsi="Inter" w:cs="Inter"/>
          <w:b w:val="0"/>
          <w:i w:val="0"/>
          <w:color w:val="2D2D2D"/>
          <w:sz w:val="22"/>
        </w:rPr>
        <w:t>This chapter is where strategy meets the fiscal calendar.</w:t>
      </w:r>
    </w:p>
    <w:p>
      <w:pPr>
        <w:spacing w:after="120" w:line="276" w:lineRule="auto"/>
      </w:pPr>
      <w:r>
        <w:rPr>
          <w:rFonts w:ascii="Inter" w:hAnsi="Inter" w:cs="Inter"/>
          <w:b w:val="0"/>
          <w:i w:val="0"/>
          <w:color w:val="2D2D2D"/>
          <w:sz w:val="22"/>
        </w:rPr>
        <w:t>Annual planning is the process of selecting — from your full strategic plan — what your MOA will actually commit to for a single fiscal year. It produces three interdependent documents: the Annual Work Plan (AWP), which specifies what you will do; the Annual Financial Plan (AFP), which specifies what it will cost and how appropriations will be obligated; and the Annual Procurement Plan (APP), which specifies what goods, services, and infrastructure you will procure and when. Together, these three documents form the annual operationalization of your strategic plan. They are the documents that connect your long-term commitments to the line items in the Bangsamoro Appropriations Act.</w:t>
      </w:r>
    </w:p>
    <w:p>
      <w:pPr>
        <w:spacing w:after="120" w:line="276" w:lineRule="auto"/>
      </w:pPr>
      <w:r>
        <w:rPr>
          <w:rFonts w:ascii="Inter" w:hAnsi="Inter" w:cs="Inter"/>
          <w:b w:val="0"/>
          <w:i w:val="0"/>
          <w:color w:val="2D2D2D"/>
          <w:sz w:val="22"/>
        </w:rPr>
        <w:t>If your multi-year plan is your destination, the AWP-AFP-APP package is your itinerary for this year's leg of the journey.</w:t>
      </w:r>
    </w:p>
    <w:p>
      <w:pPr>
        <w:pStyle w:val="Heading2"/>
      </w:pPr>
      <w:r>
        <w:rPr>
          <w:rFonts w:ascii="Inter" w:hAnsi="Inter" w:cs="Inter"/>
          <w:b/>
          <w:i w:val="0"/>
          <w:color w:val="1B365D"/>
          <w:sz w:val="32"/>
        </w:rPr>
        <w:t>10.1 Purpose</w:t>
      </w:r>
    </w:p>
    <w:p>
      <w:pPr>
        <w:spacing w:after="120" w:line="276" w:lineRule="auto"/>
      </w:pPr>
      <w:r>
        <w:rPr>
          <w:rFonts w:ascii="Inter" w:hAnsi="Inter" w:cs="Inter"/>
          <w:b w:val="0"/>
          <w:i w:val="0"/>
          <w:color w:val="2D2D2D"/>
          <w:sz w:val="22"/>
        </w:rPr>
        <w:t>The purpose of annual planning is to translate your multi-year strategic plan into specific, time-bound, budgeted commitments for the coming fiscal year.</w:t>
      </w:r>
    </w:p>
    <w:p>
      <w:pPr>
        <w:spacing w:after="120" w:line="276" w:lineRule="auto"/>
      </w:pPr>
      <w:r>
        <w:rPr>
          <w:rFonts w:ascii="Inter" w:hAnsi="Inter" w:cs="Inter"/>
          <w:b w:val="0"/>
          <w:i w:val="0"/>
          <w:color w:val="2D2D2D"/>
          <w:sz w:val="22"/>
        </w:rPr>
        <w:t>Annual planning serves three essential functions that your multi-year plan alone cannot perform.</w:t>
      </w:r>
    </w:p>
    <w:p>
      <w:pPr>
        <w:spacing w:after="120" w:line="276" w:lineRule="auto"/>
      </w:pPr>
      <w:r>
        <w:rPr>
          <w:rFonts w:ascii="Inter" w:hAnsi="Inter" w:cs="Inter"/>
          <w:b w:val="0"/>
          <w:i w:val="0"/>
          <w:color w:val="2D2D2D"/>
          <w:sz w:val="22"/>
        </w:rPr>
      </w:r>
      <w:r>
        <w:rPr>
          <w:rFonts w:ascii="Inter" w:hAnsi="Inter" w:cs="Inter"/>
          <w:b/>
          <w:i w:val="0"/>
          <w:color w:val="2D2D2D"/>
          <w:sz w:val="22"/>
        </w:rPr>
        <w:t>First, it grounds strategy in fiscal reality.</w:t>
      </w:r>
      <w:r>
        <w:rPr>
          <w:rFonts w:ascii="Inter" w:hAnsi="Inter" w:cs="Inter"/>
          <w:b w:val="0"/>
          <w:i w:val="0"/>
          <w:color w:val="2D2D2D"/>
          <w:sz w:val="22"/>
        </w:rPr>
        <w:t xml:space="preserve"> A multi-year plan documents aspiration — what your MOA intends to achieve over a planning horizon. An annual plan documents commitment — what your MOA will actually produce with the resources it has been given this year. The budget ceiling communicated in the MFBM Budget Call is a hard constraint. Your annual plan must fit within it. This forces you to make choices you may have deferred in the multi-year plan: which PPAs are funded this year, which are phased to the next, which are reduced in scope because resources are insufficient.</w:t>
      </w:r>
    </w:p>
    <w:p>
      <w:pPr>
        <w:spacing w:after="120" w:line="276" w:lineRule="auto"/>
      </w:pPr>
      <w:r>
        <w:rPr>
          <w:rFonts w:ascii="Inter" w:hAnsi="Inter" w:cs="Inter"/>
          <w:b w:val="0"/>
          <w:i w:val="0"/>
          <w:color w:val="2D2D2D"/>
          <w:sz w:val="22"/>
        </w:rPr>
      </w:r>
      <w:r>
        <w:rPr>
          <w:rFonts w:ascii="Inter" w:hAnsi="Inter" w:cs="Inter"/>
          <w:b/>
          <w:i w:val="0"/>
          <w:color w:val="2D2D2D"/>
          <w:sz w:val="22"/>
        </w:rPr>
        <w:t>Second, it creates the link between your plan and your budget proposal.</w:t>
      </w:r>
      <w:r>
        <w:rPr>
          <w:rFonts w:ascii="Inter" w:hAnsi="Inter" w:cs="Inter"/>
          <w:b w:val="0"/>
          <w:i w:val="0"/>
          <w:color w:val="2D2D2D"/>
          <w:sz w:val="22"/>
        </w:rPr>
        <w:t xml:space="preserve"> Under BAA No. 84, the budget preparation process requires each MOA to submit a Budget Proposal that justifies appropriation requests by reference to planned PPAs and their expected outputs.[^1] The AFP is not a finance office document produced separately from your planning process. It is the cost expression of your AWP. MFBM evaluates your budget request by asking: Does this MOA know what it plans to do? Are the targets realistic? Does the cost align with the activities? An MOA that has completed a rigorous AWP-AFP-APP package can answer all three questions with evidence.</w:t>
      </w:r>
    </w:p>
    <w:p>
      <w:pPr>
        <w:spacing w:after="120" w:line="276" w:lineRule="auto"/>
      </w:pPr>
      <w:r>
        <w:rPr>
          <w:rFonts w:ascii="Inter" w:hAnsi="Inter" w:cs="Inter"/>
          <w:b w:val="0"/>
          <w:i w:val="0"/>
          <w:color w:val="2D2D2D"/>
          <w:sz w:val="22"/>
        </w:rPr>
      </w:r>
      <w:r>
        <w:rPr>
          <w:rFonts w:ascii="Inter" w:hAnsi="Inter" w:cs="Inter"/>
          <w:b/>
          <w:i w:val="0"/>
          <w:color w:val="2D2D2D"/>
          <w:sz w:val="22"/>
        </w:rPr>
        <w:t>Third, it enables accountability.</w:t>
      </w:r>
      <w:r>
        <w:rPr>
          <w:rFonts w:ascii="Inter" w:hAnsi="Inter" w:cs="Inter"/>
          <w:b w:val="0"/>
          <w:i w:val="0"/>
          <w:color w:val="2D2D2D"/>
          <w:sz w:val="22"/>
        </w:rPr>
        <w:t xml:space="preserve"> Your MOA's performance will be evaluated against this year's commitments — not against a vague multi-year trajectory. The output targets in your AWP become the baseline for mid-year reviews and year-end accomplishment reports. If your reforestation program committed to producing 500,000 seedlings this year and delivered 320,000, that 64% achievement rate has consequences for the next budget cycle. Annual planning makes commitments explicit enough that performance can be honestly assessed.</w:t>
      </w:r>
    </w:p>
    <w:p>
      <w:pPr>
        <w:pStyle w:val="Heading2"/>
      </w:pPr>
      <w:r>
        <w:rPr>
          <w:rFonts w:ascii="Inter" w:hAnsi="Inter" w:cs="Inter"/>
          <w:b/>
          <w:i w:val="0"/>
          <w:color w:val="1B365D"/>
          <w:sz w:val="32"/>
        </w:rPr>
        <w:t>10.2 Key Concepts</w:t>
      </w:r>
    </w:p>
    <w:p>
      <w:pPr>
        <w:pStyle w:val="Heading3"/>
      </w:pPr>
      <w:r>
        <w:rPr>
          <w:rFonts w:ascii="Inter" w:hAnsi="Inter" w:cs="Inter"/>
          <w:b/>
          <w:i w:val="0"/>
          <w:color w:val="2C5F7C"/>
          <w:sz w:val="26"/>
        </w:rPr>
        <w:t>The Annual Work Plan (AWP)</w:t>
      </w:r>
    </w:p>
    <w:p>
      <w:pPr>
        <w:spacing w:after="120" w:line="276" w:lineRule="auto"/>
      </w:pPr>
      <w:r>
        <w:rPr>
          <w:rFonts w:ascii="Inter" w:hAnsi="Inter" w:cs="Inter"/>
          <w:b w:val="0"/>
          <w:i w:val="0"/>
          <w:color w:val="2D2D2D"/>
          <w:sz w:val="22"/>
        </w:rPr>
        <w:t>The Annual Work Plan is the year-specific implementation schedule of your strategic plan. For each PPA that your MOA has prioritized for the coming fiscal year, the AWP documents:</w:t>
      </w:r>
    </w:p>
    <w:p>
      <w:pPr>
        <w:pStyle w:val="ListBullet"/>
      </w:pPr>
      <w:r>
        <w:rPr>
          <w:rFonts w:ascii="Inter" w:hAnsi="Inter" w:cs="Inter"/>
          <w:b w:val="0"/>
          <w:i w:val="0"/>
          <w:color w:val="2D2D2D"/>
          <w:sz w:val="22"/>
        </w:rPr>
        <w:t>The annual output target (a subset of the multi-year target, expressed in concrete, measurable terms)</w:t>
      </w:r>
    </w:p>
    <w:p>
      <w:pPr>
        <w:pStyle w:val="ListBullet"/>
      </w:pPr>
      <w:r>
        <w:rPr>
          <w:rFonts w:ascii="Inter" w:hAnsi="Inter" w:cs="Inter"/>
          <w:b w:val="0"/>
          <w:i w:val="0"/>
          <w:color w:val="2D2D2D"/>
          <w:sz w:val="22"/>
        </w:rPr>
        <w:t>Quarterly milestones that break the annual target into Q1, Q2, Q3, and Q4 deliverables</w:t>
      </w:r>
    </w:p>
    <w:p>
      <w:pPr>
        <w:pStyle w:val="ListBullet"/>
      </w:pPr>
      <w:r>
        <w:rPr>
          <w:rFonts w:ascii="Inter" w:hAnsi="Inter" w:cs="Inter"/>
          <w:b w:val="0"/>
          <w:i w:val="0"/>
          <w:color w:val="2D2D2D"/>
          <w:sz w:val="22"/>
        </w:rPr>
        <w:t>The responsible unit and lead officer for each PPA</w:t>
      </w:r>
    </w:p>
    <w:p>
      <w:pPr>
        <w:pStyle w:val="ListBullet"/>
      </w:pPr>
      <w:r>
        <w:rPr>
          <w:rFonts w:ascii="Inter" w:hAnsi="Inter" w:cs="Inter"/>
          <w:b w:val="0"/>
          <w:i w:val="0"/>
          <w:color w:val="2D2D2D"/>
          <w:sz w:val="22"/>
        </w:rPr>
        <w:t>The timeline for each major activity or deliverable</w:t>
      </w:r>
    </w:p>
    <w:p>
      <w:pPr>
        <w:spacing w:after="120" w:line="276" w:lineRule="auto"/>
      </w:pPr>
      <w:r>
        <w:rPr>
          <w:rFonts w:ascii="Inter" w:hAnsi="Inter" w:cs="Inter"/>
          <w:b w:val="0"/>
          <w:i w:val="0"/>
          <w:color w:val="2D2D2D"/>
          <w:sz w:val="22"/>
        </w:rPr>
        <w:t>The AWP is not a repetition of your multi-year plan. Your multi-year plan may show that your reforestation program will produce 2,000,000 seedlings over five years. The AWP for FY 2027 specifies that this year, you will produce 500,000 seedlings: 100,000 in Q1 (nursery preparation and seedling germination), 200,000 in Q2 (seedling production), 150,000 in Q3 (hardening and quality sorting), and 50,000 in Q4 (early distribution to field stations). That level of quarterly specificity is what the AWP provides — and what makes it possible to monitor progress and catch implementation problems early.</w:t>
      </w:r>
    </w:p>
    <w:p>
      <w:pPr>
        <w:spacing w:after="120" w:line="276" w:lineRule="auto"/>
      </w:pPr>
      <w:r>
        <w:rPr>
          <w:rFonts w:ascii="Inter" w:hAnsi="Inter" w:cs="Inter"/>
          <w:b w:val="0"/>
          <w:i w:val="0"/>
          <w:color w:val="2D2D2D"/>
          <w:sz w:val="22"/>
        </w:rPr>
        <w:t>Every PPA in your AWP must have a budget in your AFP. If you cannot fund a PPA this year, it should not appear in the AWP.</w:t>
      </w:r>
    </w:p>
    <w:p>
      <w:pPr>
        <w:pStyle w:val="Heading3"/>
      </w:pPr>
      <w:r>
        <w:rPr>
          <w:rFonts w:ascii="Inter" w:hAnsi="Inter" w:cs="Inter"/>
          <w:b/>
          <w:i w:val="0"/>
          <w:color w:val="2C5F7C"/>
          <w:sz w:val="26"/>
        </w:rPr>
        <w:t>The Annual Financial Plan (AFP)</w:t>
      </w:r>
    </w:p>
    <w:p>
      <w:pPr>
        <w:spacing w:after="120" w:line="276" w:lineRule="auto"/>
      </w:pPr>
      <w:r>
        <w:rPr>
          <w:rFonts w:ascii="Inter" w:hAnsi="Inter" w:cs="Inter"/>
          <w:b w:val="0"/>
          <w:i w:val="0"/>
          <w:color w:val="2D2D2D"/>
          <w:sz w:val="22"/>
        </w:rPr>
        <w:t>The Annual Financial Plan is the budget dimension of your AWP. It allocates your MOA's approved budget ceiling across the PPAs in your AWP, broken down by the expenditure classes prescribed under BAA No. 84: Personnel Services (PS), Maintenance and Other Operating Expenses (MOOE), and Capital Outlays (CO).[^2]</w:t>
      </w:r>
    </w:p>
    <w:p>
      <w:pPr>
        <w:spacing w:after="120" w:line="276" w:lineRule="auto"/>
      </w:pPr>
      <w:r>
        <w:rPr>
          <w:rFonts w:ascii="Inter" w:hAnsi="Inter" w:cs="Inter"/>
          <w:b w:val="0"/>
          <w:i w:val="0"/>
          <w:color w:val="2D2D2D"/>
          <w:sz w:val="22"/>
        </w:rPr>
        <w:t>The AFP answers three questions: How much will each PPA cost this year? How is that cost distributed across expense classes? And how will appropriations be obligated across the fiscal year?</w:t>
      </w:r>
    </w:p>
    <w:p>
      <w:pPr>
        <w:spacing w:after="120" w:line="276" w:lineRule="auto"/>
      </w:pPr>
      <w:r>
        <w:rPr>
          <w:rFonts w:ascii="Inter" w:hAnsi="Inter" w:cs="Inter"/>
          <w:b w:val="0"/>
          <w:i w:val="0"/>
          <w:color w:val="2D2D2D"/>
          <w:sz w:val="22"/>
        </w:rPr>
        <w:t>A critical distinction runs through the AFP: appropriation is authority to obligate, not authority to disburse. Under BAA No. 84, an obligation is a commitment by a duly authorized official that binds the Bangsamoro Government to the eventual payment of a sum of money.[^3] Entering into a contract obligates an appropriation. The actual payment — disbursement — follows later, often in a subsequent quarter or fiscal year. Your AFP must manage both: the obligation schedule (when you commit funds) and the disbursement schedule (when you actually pay). MFBM monitors obligation rates quarterly, and MOAs that consistently under-obligate in early quarters face budget cuts or restrictions in subsequent fiscal years.</w:t>
      </w:r>
    </w:p>
    <w:p>
      <w:pPr>
        <w:spacing w:after="120" w:line="276" w:lineRule="auto"/>
      </w:pPr>
      <w:r>
        <w:rPr>
          <w:rFonts w:ascii="Inter" w:hAnsi="Inter" w:cs="Inter"/>
          <w:b w:val="0"/>
          <w:i w:val="0"/>
          <w:color w:val="2D2D2D"/>
          <w:sz w:val="22"/>
        </w:rPr>
        <w:t>The AFP is prepared by the Planning Officer and Budget Officer working together — not by finance alone. It is a planning document that happens to be expressed in money.</w:t>
      </w:r>
    </w:p>
    <w:p>
      <w:pPr>
        <w:pStyle w:val="Heading3"/>
      </w:pPr>
      <w:r>
        <w:rPr>
          <w:rFonts w:ascii="Inter" w:hAnsi="Inter" w:cs="Inter"/>
          <w:b/>
          <w:i w:val="0"/>
          <w:color w:val="2C5F7C"/>
          <w:sz w:val="26"/>
        </w:rPr>
        <w:t>The Annual Procurement Plan (APP)</w:t>
      </w:r>
    </w:p>
    <w:p>
      <w:pPr>
        <w:spacing w:after="120" w:line="276" w:lineRule="auto"/>
      </w:pPr>
      <w:r>
        <w:rPr>
          <w:rFonts w:ascii="Inter" w:hAnsi="Inter" w:cs="Inter"/>
          <w:b w:val="0"/>
          <w:i w:val="0"/>
          <w:color w:val="2D2D2D"/>
          <w:sz w:val="22"/>
        </w:rPr>
        <w:t>The Annual Procurement Plan is the procurement dimension of your AWP. For each good, service, or infrastructure item that your PPAs require and that must be procured from outside the MOA, the APP documents:</w:t>
      </w:r>
    </w:p>
    <w:p>
      <w:pPr>
        <w:pStyle w:val="ListBullet"/>
      </w:pPr>
      <w:r>
        <w:rPr>
          <w:rFonts w:ascii="Inter" w:hAnsi="Inter" w:cs="Inter"/>
          <w:b w:val="0"/>
          <w:i w:val="0"/>
          <w:color w:val="2D2D2D"/>
          <w:sz w:val="22"/>
        </w:rPr>
        <w:t>What is being procured (description and specifications)</w:t>
      </w:r>
    </w:p>
    <w:p>
      <w:pPr>
        <w:pStyle w:val="ListBullet"/>
      </w:pPr>
      <w:r>
        <w:rPr>
          <w:rFonts w:ascii="Inter" w:hAnsi="Inter" w:cs="Inter"/>
          <w:b w:val="0"/>
          <w:i w:val="0"/>
          <w:color w:val="2D2D2D"/>
          <w:sz w:val="22"/>
        </w:rPr>
        <w:t>Which PPA it supports</w:t>
      </w:r>
    </w:p>
    <w:p>
      <w:pPr>
        <w:pStyle w:val="ListBullet"/>
      </w:pPr>
      <w:r>
        <w:rPr>
          <w:rFonts w:ascii="Inter" w:hAnsi="Inter" w:cs="Inter"/>
          <w:b w:val="0"/>
          <w:i w:val="0"/>
          <w:color w:val="2D2D2D"/>
          <w:sz w:val="22"/>
        </w:rPr>
        <w:t>The mode of procurement (public bidding, negotiated procurement, shopping, direct contracting, etc.)</w:t>
      </w:r>
    </w:p>
    <w:p>
      <w:pPr>
        <w:pStyle w:val="ListBullet"/>
      </w:pPr>
      <w:r>
        <w:rPr>
          <w:rFonts w:ascii="Inter" w:hAnsi="Inter" w:cs="Inter"/>
          <w:b w:val="0"/>
          <w:i w:val="0"/>
          <w:color w:val="2D2D2D"/>
          <w:sz w:val="22"/>
        </w:rPr>
        <w:t>The Approved Budget for the Contract (ABC)</w:t>
      </w:r>
    </w:p>
    <w:p>
      <w:pPr>
        <w:pStyle w:val="ListBullet"/>
      </w:pPr>
      <w:r>
        <w:rPr>
          <w:rFonts w:ascii="Inter" w:hAnsi="Inter" w:cs="Inter"/>
          <w:b w:val="0"/>
          <w:i w:val="0"/>
          <w:color w:val="2D2D2D"/>
          <w:sz w:val="22"/>
        </w:rPr>
        <w:t>The procurement schedule: posting date, opening date, award date, and delivery/completion date</w:t>
      </w:r>
    </w:p>
    <w:p>
      <w:pPr>
        <w:pStyle w:val="ListBullet"/>
      </w:pPr>
      <w:r>
        <w:rPr>
          <w:rFonts w:ascii="Inter" w:hAnsi="Inter" w:cs="Inter"/>
          <w:b w:val="0"/>
          <w:i w:val="0"/>
          <w:color w:val="2D2D2D"/>
          <w:sz w:val="22"/>
        </w:rPr>
        <w:t>The end user (which unit will use or implement what is procured)</w:t>
      </w:r>
    </w:p>
    <w:p>
      <w:pPr>
        <w:spacing w:after="120" w:line="276" w:lineRule="auto"/>
      </w:pPr>
      <w:r>
        <w:rPr>
          <w:rFonts w:ascii="Inter" w:hAnsi="Inter" w:cs="Inter"/>
          <w:b w:val="0"/>
          <w:i w:val="0"/>
          <w:color w:val="2D2D2D"/>
          <w:sz w:val="22"/>
        </w:rPr>
        <w:t>The mode of procurement is governed by the Government Procurement Reform Act (Republic Act No. 9184) and its Implementing Rules and Regulations, which apply to BARMM MOAs.[^4] The choice of mode depends on the estimated contract value and the nature of the procurement. Most MOAs default to public bidding for large procurements — but the APP is also where you plan for competitive or alternative procurement methods that may be legally available and more time-efficient for smaller items.</w:t>
      </w:r>
    </w:p>
    <w:p>
      <w:pPr>
        <w:spacing w:after="120" w:line="276" w:lineRule="auto"/>
      </w:pPr>
      <w:r>
        <w:rPr>
          <w:rFonts w:ascii="Inter" w:hAnsi="Inter" w:cs="Inter"/>
          <w:b w:val="0"/>
          <w:i w:val="0"/>
          <w:color w:val="2D2D2D"/>
          <w:sz w:val="22"/>
        </w:rPr>
        <w:t>The APP must be linked to the AWP: every activity in your AWP that requires external procurement must appear in the APP, identified by PPA code. An AWP activity without a corresponding APP entry is an implementation risk — it means you have planned an output without planning how to acquire what you need to produce it.</w:t>
      </w:r>
    </w:p>
    <w:p>
      <w:pPr>
        <w:pStyle w:val="Heading3"/>
      </w:pPr>
      <w:r>
        <w:rPr>
          <w:rFonts w:ascii="Inter" w:hAnsi="Inter" w:cs="Inter"/>
          <w:b/>
          <w:i w:val="0"/>
          <w:color w:val="2C5F7C"/>
          <w:sz w:val="26"/>
        </w:rPr>
        <w:t>The Interdependence of AWP, AFP, and APP</w:t>
      </w:r>
    </w:p>
    <w:p>
      <w:pPr>
        <w:spacing w:after="120" w:line="276" w:lineRule="auto"/>
      </w:pPr>
      <w:r>
        <w:rPr>
          <w:rFonts w:ascii="Inter" w:hAnsi="Inter" w:cs="Inter"/>
          <w:b w:val="0"/>
          <w:i w:val="0"/>
          <w:color w:val="2D2D2D"/>
          <w:sz w:val="22"/>
        </w:rPr>
        <w:t>The three documents are not independent. They form a chain:</w:t>
      </w:r>
    </w:p>
    <w:p>
      <w:pPr>
        <w:spacing w:after="120" w:line="276" w:lineRule="auto"/>
      </w:pPr>
      <w:r>
        <w:rPr>
          <w:rFonts w:ascii="Inter" w:hAnsi="Inter" w:cs="Inter"/>
          <w:b w:val="0"/>
          <w:i w:val="0"/>
          <w:color w:val="2D2D2D"/>
          <w:sz w:val="22"/>
        </w:rPr>
      </w:r>
      <w:r>
        <w:rPr>
          <w:rFonts w:ascii="Inter" w:hAnsi="Inter" w:cs="Inter"/>
          <w:b/>
          <w:i w:val="0"/>
          <w:color w:val="2D2D2D"/>
          <w:sz w:val="22"/>
        </w:rPr>
        <w:t>AWP drives AFP.</w:t>
      </w:r>
      <w:r>
        <w:rPr>
          <w:rFonts w:ascii="Inter" w:hAnsi="Inter" w:cs="Inter"/>
          <w:b w:val="0"/>
          <w:i w:val="0"/>
          <w:color w:val="2D2D2D"/>
          <w:sz w:val="22"/>
        </w:rPr>
        <w:t xml:space="preserve"> What you plan to do (AWP) determines what it costs (AFP). You cannot prepare an AFP without first knowing which PPAs are in the AWP and what their annual targets are.</w:t>
      </w:r>
    </w:p>
    <w:p>
      <w:pPr>
        <w:spacing w:after="120" w:line="276" w:lineRule="auto"/>
      </w:pPr>
      <w:r>
        <w:rPr>
          <w:rFonts w:ascii="Inter" w:hAnsi="Inter" w:cs="Inter"/>
          <w:b w:val="0"/>
          <w:i w:val="0"/>
          <w:color w:val="2D2D2D"/>
          <w:sz w:val="22"/>
        </w:rPr>
      </w:r>
      <w:r>
        <w:rPr>
          <w:rFonts w:ascii="Inter" w:hAnsi="Inter" w:cs="Inter"/>
          <w:b/>
          <w:i w:val="0"/>
          <w:color w:val="2D2D2D"/>
          <w:sz w:val="22"/>
        </w:rPr>
        <w:t>AFP constrains APP.</w:t>
      </w:r>
      <w:r>
        <w:rPr>
          <w:rFonts w:ascii="Inter" w:hAnsi="Inter" w:cs="Inter"/>
          <w:b w:val="0"/>
          <w:i w:val="0"/>
          <w:color w:val="2D2D2D"/>
          <w:sz w:val="22"/>
        </w:rPr>
        <w:t xml:space="preserve"> What you can spend (AFP) determines what you can procure (APP). Every APP item must have a budget in the AFP. The sum of all APP items under a PPA cannot exceed the PPA's AFP allocation.</w:t>
      </w:r>
    </w:p>
    <w:p>
      <w:pPr>
        <w:spacing w:after="120" w:line="276" w:lineRule="auto"/>
      </w:pPr>
      <w:r>
        <w:rPr>
          <w:rFonts w:ascii="Inter" w:hAnsi="Inter" w:cs="Inter"/>
          <w:b w:val="0"/>
          <w:i w:val="0"/>
          <w:color w:val="2D2D2D"/>
          <w:sz w:val="22"/>
        </w:rPr>
      </w:r>
      <w:r>
        <w:rPr>
          <w:rFonts w:ascii="Inter" w:hAnsi="Inter" w:cs="Inter"/>
          <w:b/>
          <w:i w:val="0"/>
          <w:color w:val="2D2D2D"/>
          <w:sz w:val="22"/>
        </w:rPr>
        <w:t>APP must align with AWP timelines.</w:t>
      </w:r>
      <w:r>
        <w:rPr>
          <w:rFonts w:ascii="Inter" w:hAnsi="Inter" w:cs="Inter"/>
          <w:b w:val="0"/>
          <w:i w:val="0"/>
          <w:color w:val="2D2D2D"/>
          <w:sz w:val="22"/>
        </w:rPr>
        <w:t xml:space="preserve"> Procurement takes time. If a PPA requires seedlings in Q2, the APP must schedule the procurement posting in Q1 — early enough that the award and delivery fall before the seedlings are needed. A quarterly milestone in the AWP that depends on procured goods must be matched against a procurement schedule in the APP that delivers those goods in time.</w:t>
      </w:r>
    </w:p>
    <w:p>
      <w:pPr>
        <w:spacing w:after="120" w:line="276" w:lineRule="auto"/>
      </w:pPr>
      <w:r>
        <w:rPr>
          <w:rFonts w:ascii="Inter" w:hAnsi="Inter" w:cs="Inter"/>
          <w:b w:val="0"/>
          <w:i w:val="0"/>
          <w:color w:val="2D2D2D"/>
          <w:sz w:val="22"/>
        </w:rPr>
        <w:t>The alignment test at the end of this chapter gives you a systematic way to verify that all three documents are consistent with each other. That test is your quality gate before submission.</w:t>
      </w:r>
    </w:p>
    <w:p>
      <w:pPr>
        <w:pStyle w:val="Heading3"/>
      </w:pPr>
      <w:r>
        <w:rPr>
          <w:rFonts w:ascii="Inter" w:hAnsi="Inter" w:cs="Inter"/>
          <w:b/>
          <w:i w:val="0"/>
          <w:color w:val="2C5F7C"/>
          <w:sz w:val="26"/>
        </w:rPr>
        <w:t>Prior-Year Performance Review</w:t>
      </w:r>
    </w:p>
    <w:p>
      <w:pPr>
        <w:spacing w:after="120" w:line="276" w:lineRule="auto"/>
      </w:pPr>
      <w:r>
        <w:rPr>
          <w:rFonts w:ascii="Inter" w:hAnsi="Inter" w:cs="Inter"/>
          <w:b w:val="0"/>
          <w:i w:val="0"/>
          <w:color w:val="2D2D2D"/>
          <w:sz w:val="22"/>
        </w:rPr>
        <w:t>Before setting annual targets, you must review what actually happened last year. For each PPA, compare actual accomplishments against the targets that were set. Where were targets exceeded? Where did implementation fall short? What were the reasons — procurement delays, budget releases arriving late, weather and field conditions, staff vacancies, technical problems?</w:t>
      </w:r>
    </w:p>
    <w:p>
      <w:pPr>
        <w:spacing w:after="120" w:line="276" w:lineRule="auto"/>
      </w:pPr>
      <w:r>
        <w:rPr>
          <w:rFonts w:ascii="Inter" w:hAnsi="Inter" w:cs="Inter"/>
          <w:b w:val="0"/>
          <w:i w:val="0"/>
          <w:color w:val="2D2D2D"/>
          <w:sz w:val="22"/>
        </w:rPr>
        <w:t>The prior-year review is not a blame exercise. It is information for this year's planning. An activity that consistently underperforms in Q4 may need to be front-loaded earlier in the year. A procurement that was delayed because specifications were incomplete should be resolved before the next APP is submitted. A target that was set unrealistically high — without reference to absorptive capacity — should be recalibrated against what the MOA has demonstrated it can actually deliver.</w:t>
      </w:r>
    </w:p>
    <w:p>
      <w:pPr>
        <w:spacing w:after="120" w:line="276" w:lineRule="auto"/>
      </w:pPr>
      <w:r>
        <w:rPr>
          <w:rFonts w:ascii="Inter" w:hAnsi="Inter" w:cs="Inter"/>
          <w:b w:val="0"/>
          <w:i w:val="0"/>
          <w:color w:val="2D2D2D"/>
          <w:sz w:val="22"/>
        </w:rPr>
        <w:t>MOAs that skip the prior-year review and copy last year's AWP without examination miss this learning opportunity and repeat the same planning errors.</w:t>
      </w:r>
    </w:p>
    <w:p>
      <w:pPr>
        <w:pStyle w:val="Heading3"/>
      </w:pPr>
      <w:r>
        <w:rPr>
          <w:rFonts w:ascii="Inter" w:hAnsi="Inter" w:cs="Inter"/>
          <w:b/>
          <w:i w:val="0"/>
          <w:color w:val="2C5F7C"/>
          <w:sz w:val="26"/>
        </w:rPr>
        <w:t>The Budget Calendar</w:t>
      </w:r>
    </w:p>
    <w:p>
      <w:pPr>
        <w:spacing w:after="120" w:line="276" w:lineRule="auto"/>
      </w:pPr>
      <w:r>
        <w:rPr>
          <w:rFonts w:ascii="Inter" w:hAnsi="Inter" w:cs="Inter"/>
          <w:b w:val="0"/>
          <w:i w:val="0"/>
          <w:color w:val="2D2D2D"/>
          <w:sz w:val="22"/>
        </w:rPr>
        <w:t>The MFBM issues a Budget Call each year, typically in the first quarter, that sets the timetable for budget preparation.[^5] The Budget Call specifies:</w:t>
      </w:r>
    </w:p>
    <w:p>
      <w:pPr>
        <w:pStyle w:val="ListBullet"/>
      </w:pPr>
      <w:r>
        <w:rPr>
          <w:rFonts w:ascii="Inter" w:hAnsi="Inter" w:cs="Inter"/>
          <w:b w:val="0"/>
          <w:i w:val="0"/>
          <w:color w:val="2D2D2D"/>
          <w:sz w:val="22"/>
        </w:rPr>
        <w:t>The budget ceiling for each MOA (the hard spending limit for the coming fiscal year)</w:t>
      </w:r>
    </w:p>
    <w:p>
      <w:pPr>
        <w:pStyle w:val="ListBullet"/>
      </w:pPr>
      <w:r>
        <w:rPr>
          <w:rFonts w:ascii="Inter" w:hAnsi="Inter" w:cs="Inter"/>
          <w:b w:val="0"/>
          <w:i w:val="0"/>
          <w:color w:val="2D2D2D"/>
          <w:sz w:val="22"/>
        </w:rPr>
        <w:t>The format and contents of the Budget Proposal submission</w:t>
      </w:r>
    </w:p>
    <w:p>
      <w:pPr>
        <w:pStyle w:val="ListBullet"/>
      </w:pPr>
      <w:r>
        <w:rPr>
          <w:rFonts w:ascii="Inter" w:hAnsi="Inter" w:cs="Inter"/>
          <w:b w:val="0"/>
          <w:i w:val="0"/>
          <w:color w:val="2D2D2D"/>
          <w:sz w:val="22"/>
        </w:rPr>
        <w:t>The submission deadline for Budget Proposals</w:t>
      </w:r>
    </w:p>
    <w:p>
      <w:pPr>
        <w:pStyle w:val="ListBullet"/>
      </w:pPr>
      <w:r>
        <w:rPr>
          <w:rFonts w:ascii="Inter" w:hAnsi="Inter" w:cs="Inter"/>
          <w:b w:val="0"/>
          <w:i w:val="0"/>
          <w:color w:val="2D2D2D"/>
          <w:sz w:val="22"/>
        </w:rPr>
        <w:t>The schedule for technical and parliamentary budget hearings</w:t>
      </w:r>
    </w:p>
    <w:p>
      <w:pPr>
        <w:pStyle w:val="ListBullet"/>
      </w:pPr>
      <w:r>
        <w:rPr>
          <w:rFonts w:ascii="Inter" w:hAnsi="Inter" w:cs="Inter"/>
          <w:b w:val="0"/>
          <w:i w:val="0"/>
          <w:color w:val="2D2D2D"/>
          <w:sz w:val="22"/>
        </w:rPr>
        <w:t>Any special priorities or policy directives for the budget year</w:t>
      </w:r>
    </w:p>
    <w:p>
      <w:pPr>
        <w:spacing w:after="120" w:line="276" w:lineRule="auto"/>
      </w:pPr>
      <w:r>
        <w:rPr>
          <w:rFonts w:ascii="Inter" w:hAnsi="Inter" w:cs="Inter"/>
          <w:b w:val="0"/>
          <w:i w:val="0"/>
          <w:color w:val="2D2D2D"/>
          <w:sz w:val="22"/>
        </w:rPr>
        <w:t>Your AWP-AFP-APP package must be completed and internally approved before the Budget Proposal submission deadline. Late submissions are not accepted — and an MOA that misses the deadline may find its budget prepared by MFBM based on the previous year's allocation, without the benefit of the current year's planning.</w:t>
      </w:r>
    </w:p>
    <w:p>
      <w:pPr>
        <w:spacing w:after="120" w:line="276" w:lineRule="auto"/>
      </w:pPr>
      <w:r>
        <w:rPr>
          <w:rFonts w:ascii="Inter" w:hAnsi="Inter" w:cs="Inter"/>
          <w:b w:val="0"/>
          <w:i w:val="0"/>
          <w:color w:val="2D2D2D"/>
          <w:sz w:val="22"/>
        </w:rPr>
        <w:t>Allow adequate lead time. Preparing the AWP-AFP-APP package requires consultation among the Planning Officer, Budget Officer, heads of units responsible for each PPA, and the Minister or Executive Director for final approval of priorities and budget allocation. That process typically takes four to six weeks of internal work. Do not begin it the week before the deadline.</w:t>
      </w:r>
    </w:p>
    <w:p>
      <w:pPr>
        <w:pStyle w:val="Heading2"/>
      </w:pPr>
      <w:r>
        <w:rPr>
          <w:rFonts w:ascii="Inter" w:hAnsi="Inter" w:cs="Inter"/>
          <w:b/>
          <w:i w:val="0"/>
          <w:color w:val="1B365D"/>
          <w:sz w:val="32"/>
        </w:rPr>
        <w:t>10.3 Step-by-Step Instructions</w:t>
      </w:r>
    </w:p>
    <w:p>
      <w:pPr>
        <w:pStyle w:val="Heading3"/>
      </w:pPr>
      <w:r>
        <w:rPr>
          <w:rFonts w:ascii="Inter" w:hAnsi="Inter" w:cs="Inter"/>
          <w:b/>
          <w:i w:val="0"/>
          <w:color w:val="2C5F7C"/>
          <w:sz w:val="26"/>
        </w:rPr>
        <w:t>Step 1: Review Prior-Year Performance</w:t>
      </w:r>
    </w:p>
    <w:p>
      <w:pPr>
        <w:spacing w:after="120" w:line="276" w:lineRule="auto"/>
      </w:pPr>
      <w:r>
        <w:rPr>
          <w:rFonts w:ascii="Inter" w:hAnsi="Inter" w:cs="Inter"/>
          <w:b w:val="0"/>
          <w:i w:val="0"/>
          <w:color w:val="2D2D2D"/>
          <w:sz w:val="22"/>
        </w:rPr>
        <w:t>Before opening a new planning document, pull out last year's AWP and your MOA's most recent physical and financial accomplishment report. For each PPA:</w:t>
      </w:r>
    </w:p>
    <w:p>
      <w:pPr>
        <w:pStyle w:val="ListBullet"/>
      </w:pPr>
      <w:r>
        <w:rPr>
          <w:rFonts w:ascii="Inter" w:hAnsi="Inter" w:cs="Inter"/>
          <w:b w:val="0"/>
          <w:i w:val="0"/>
          <w:color w:val="2D2D2D"/>
          <w:sz w:val="22"/>
        </w:rPr>
        <w:t>What was the annual target? What was the actual accomplishment? Calculate the achievement rate.</w:t>
      </w:r>
    </w:p>
    <w:p>
      <w:pPr>
        <w:pStyle w:val="ListBullet"/>
      </w:pPr>
      <w:r>
        <w:rPr>
          <w:rFonts w:ascii="Inter" w:hAnsi="Inter" w:cs="Inter"/>
          <w:b w:val="0"/>
          <w:i w:val="0"/>
          <w:color w:val="2D2D2D"/>
          <w:sz w:val="22"/>
        </w:rPr>
        <w:t>For each quarterly milestone, what was targeted and what was delivered? In which quarters did implementation fall behind? Why?</w:t>
      </w:r>
    </w:p>
    <w:p>
      <w:pPr>
        <w:pStyle w:val="ListBullet"/>
      </w:pPr>
      <w:r>
        <w:rPr>
          <w:rFonts w:ascii="Inter" w:hAnsi="Inter" w:cs="Inter"/>
          <w:b w:val="0"/>
          <w:i w:val="0"/>
          <w:color w:val="2D2D2D"/>
          <w:sz w:val="22"/>
        </w:rPr>
        <w:t>What was the obligated amount vs. the appropriated amount? What was the disbursed amount vs. the obligated? Where was budget absorption weakest?</w:t>
      </w:r>
    </w:p>
    <w:p>
      <w:pPr>
        <w:pStyle w:val="ListBullet"/>
      </w:pPr>
      <w:r>
        <w:rPr>
          <w:rFonts w:ascii="Inter" w:hAnsi="Inter" w:cs="Inter"/>
          <w:b w:val="0"/>
          <w:i w:val="0"/>
          <w:color w:val="2D2D2D"/>
          <w:sz w:val="22"/>
        </w:rPr>
        <w:t>Were there carryover items — activities that were started but not completed — that will continue into the new fiscal year?</w:t>
      </w:r>
    </w:p>
    <w:p>
      <w:pPr>
        <w:spacing w:after="120" w:line="276" w:lineRule="auto"/>
      </w:pPr>
      <w:r>
        <w:rPr>
          <w:rFonts w:ascii="Inter" w:hAnsi="Inter" w:cs="Inter"/>
          <w:b w:val="0"/>
          <w:i w:val="0"/>
          <w:color w:val="2D2D2D"/>
          <w:sz w:val="22"/>
        </w:rPr>
        <w:t>Document your findings in a simple prior-year performance summary. This becomes the planning context for this year's AWP.</w:t>
      </w:r>
    </w:p>
    <w:p>
      <w:pPr>
        <w:spacing w:after="120" w:line="276" w:lineRule="auto"/>
      </w:pPr>
      <w:r>
        <w:rPr>
          <w:rFonts w:ascii="Inter" w:hAnsi="Inter" w:cs="Inter"/>
          <w:b w:val="0"/>
          <w:i w:val="0"/>
          <w:color w:val="2D2D2D"/>
          <w:sz w:val="22"/>
        </w:rPr>
        <w:t>The key questions to answer before moving to Step 2: Which PPAs performed well and should be continued or scaled? Which underperformed because of internal bottlenecks that can be fixed? Which underperformed because of external constraints that remain? And are there lessons about quarterly distribution, procurement timing, or staffing that should reshape this year's plan?</w:t>
      </w:r>
    </w:p>
    <w:p>
      <w:pPr>
        <w:pStyle w:val="Heading3"/>
      </w:pPr>
      <w:r>
        <w:rPr>
          <w:rFonts w:ascii="Inter" w:hAnsi="Inter" w:cs="Inter"/>
          <w:b/>
          <w:i w:val="0"/>
          <w:color w:val="2C5F7C"/>
          <w:sz w:val="26"/>
        </w:rPr>
        <w:t>Step 2: Set Annual Priorities</w:t>
      </w:r>
    </w:p>
    <w:p>
      <w:pPr>
        <w:spacing w:after="120" w:line="276" w:lineRule="auto"/>
      </w:pPr>
      <w:r>
        <w:rPr>
          <w:rFonts w:ascii="Inter" w:hAnsi="Inter" w:cs="Inter"/>
          <w:b w:val="0"/>
          <w:i w:val="0"/>
          <w:color w:val="2D2D2D"/>
          <w:sz w:val="22"/>
        </w:rPr>
        <w:t>Your PPA Register (from Chapter 8) contains all the PPAs in your multi-year strategic plan. Your budget ceiling (from the MFBM Budget Call) is the hard constraint. You cannot fund everything. You must choose which PPAs are priorities for this fiscal year.</w:t>
      </w:r>
    </w:p>
    <w:p>
      <w:pPr>
        <w:spacing w:after="120" w:line="276" w:lineRule="auto"/>
      </w:pPr>
      <w:r>
        <w:rPr>
          <w:rFonts w:ascii="Inter" w:hAnsi="Inter" w:cs="Inter"/>
          <w:b w:val="0"/>
          <w:i w:val="0"/>
          <w:color w:val="2D2D2D"/>
          <w:sz w:val="22"/>
        </w:rPr>
        <w:t>Annual priorities are the PPAs that your MOA commits to fully funding and implementing in the coming year. Three to five priorities is a manageable number for most MOAs. More than that risks spreading resources too thin to implement any PPA effectively.</w:t>
      </w:r>
    </w:p>
    <w:p>
      <w:pPr>
        <w:spacing w:after="120" w:line="276" w:lineRule="auto"/>
      </w:pPr>
      <w:r>
        <w:rPr>
          <w:rFonts w:ascii="Inter" w:hAnsi="Inter" w:cs="Inter"/>
          <w:b w:val="0"/>
          <w:i w:val="0"/>
          <w:color w:val="2D2D2D"/>
          <w:sz w:val="22"/>
        </w:rPr>
        <w:t>Criteria for selecting annual priorities:</w:t>
      </w:r>
    </w:p>
    <w:p>
      <w:pPr>
        <w:pStyle w:val="ListBullet"/>
      </w:pPr>
      <w:r>
        <w:rPr>
          <w:rFonts w:ascii="Inter" w:hAnsi="Inter" w:cs="Inter"/>
          <w:b w:val="0"/>
          <w:i w:val="0"/>
          <w:color w:val="2D2D2D"/>
          <w:sz w:val="22"/>
        </w:rPr>
      </w:r>
      <w:r>
        <w:rPr>
          <w:rFonts w:ascii="Inter" w:hAnsi="Inter" w:cs="Inter"/>
          <w:b/>
          <w:i w:val="0"/>
          <w:color w:val="2D2D2D"/>
          <w:sz w:val="22"/>
        </w:rPr>
        <w:t>Strategic alignment:</w:t>
      </w:r>
      <w:r>
        <w:rPr>
          <w:rFonts w:ascii="Inter" w:hAnsi="Inter" w:cs="Inter"/>
          <w:b w:val="0"/>
          <w:i w:val="0"/>
          <w:color w:val="2D2D2D"/>
          <w:sz w:val="22"/>
        </w:rPr>
        <w:t xml:space="preserve"> Does this PPA directly advance your MOA's core mandate and the BDP goals most relevant to your sector? Priority should go to PPAs on your Theory of Change's main causal pathway.</w:t>
      </w:r>
    </w:p>
    <w:p>
      <w:pPr>
        <w:pStyle w:val="ListBullet"/>
      </w:pPr>
      <w:r>
        <w:rPr>
          <w:rFonts w:ascii="Inter" w:hAnsi="Inter" w:cs="Inter"/>
          <w:b w:val="0"/>
          <w:i w:val="0"/>
          <w:color w:val="2D2D2D"/>
          <w:sz w:val="22"/>
        </w:rPr>
      </w:r>
      <w:r>
        <w:rPr>
          <w:rFonts w:ascii="Inter" w:hAnsi="Inter" w:cs="Inter"/>
          <w:b/>
          <w:i w:val="0"/>
          <w:color w:val="2D2D2D"/>
          <w:sz w:val="22"/>
        </w:rPr>
        <w:t>Prior-year performance:</w:t>
      </w:r>
      <w:r>
        <w:rPr>
          <w:rFonts w:ascii="Inter" w:hAnsi="Inter" w:cs="Inter"/>
          <w:b w:val="0"/>
          <w:i w:val="0"/>
          <w:color w:val="2D2D2D"/>
          <w:sz w:val="22"/>
        </w:rPr>
        <w:t xml:space="preserve"> If this PPA was in last year's AWP, what was the achievement rate? A PPA that consistently underperforms needs either a root-cause fix or a scope reduction before it can credibly be a priority again.</w:t>
      </w:r>
    </w:p>
    <w:p>
      <w:pPr>
        <w:pStyle w:val="ListBullet"/>
      </w:pPr>
      <w:r>
        <w:rPr>
          <w:rFonts w:ascii="Inter" w:hAnsi="Inter" w:cs="Inter"/>
          <w:b w:val="0"/>
          <w:i w:val="0"/>
          <w:color w:val="2D2D2D"/>
          <w:sz w:val="22"/>
        </w:rPr>
      </w:r>
      <w:r>
        <w:rPr>
          <w:rFonts w:ascii="Inter" w:hAnsi="Inter" w:cs="Inter"/>
          <w:b/>
          <w:i w:val="0"/>
          <w:color w:val="2D2D2D"/>
          <w:sz w:val="22"/>
        </w:rPr>
        <w:t>Funding availability:</w:t>
      </w:r>
      <w:r>
        <w:rPr>
          <w:rFonts w:ascii="Inter" w:hAnsi="Inter" w:cs="Inter"/>
          <w:b w:val="0"/>
          <w:i w:val="0"/>
          <w:color w:val="2D2D2D"/>
          <w:sz w:val="22"/>
        </w:rPr>
        <w:t xml:space="preserve"> Can this PPA be funded within the approved budget ceiling? A PPA that requires more funding than is available is not a realistic priority — it is wishful thinking.</w:t>
      </w:r>
    </w:p>
    <w:p>
      <w:pPr>
        <w:pStyle w:val="ListBullet"/>
      </w:pPr>
      <w:r>
        <w:rPr>
          <w:rFonts w:ascii="Inter" w:hAnsi="Inter" w:cs="Inter"/>
          <w:b w:val="0"/>
          <w:i w:val="0"/>
          <w:color w:val="2D2D2D"/>
          <w:sz w:val="22"/>
        </w:rPr>
      </w:r>
      <w:r>
        <w:rPr>
          <w:rFonts w:ascii="Inter" w:hAnsi="Inter" w:cs="Inter"/>
          <w:b/>
          <w:i w:val="0"/>
          <w:color w:val="2D2D2D"/>
          <w:sz w:val="22"/>
        </w:rPr>
        <w:t>Implementation readiness:</w:t>
      </w:r>
      <w:r>
        <w:rPr>
          <w:rFonts w:ascii="Inter" w:hAnsi="Inter" w:cs="Inter"/>
          <w:b w:val="0"/>
          <w:i w:val="0"/>
          <w:color w:val="2D2D2D"/>
          <w:sz w:val="22"/>
        </w:rPr>
        <w:t xml:space="preserve"> Are the resources in place? Staff, equipment, partnerships? A PPA that cannot be implemented because of resource gaps needs those gaps addressed before it is prioritized.</w:t>
      </w:r>
    </w:p>
    <w:p>
      <w:pPr>
        <w:spacing w:after="120" w:line="276" w:lineRule="auto"/>
      </w:pPr>
      <w:r>
        <w:rPr>
          <w:rFonts w:ascii="Inter" w:hAnsi="Inter" w:cs="Inter"/>
          <w:b w:val="0"/>
          <w:i w:val="0"/>
          <w:color w:val="2D2D2D"/>
          <w:sz w:val="22"/>
        </w:rPr>
        <w:t>Document your annual priorities in writing. The Minister or Executive Director must approve the annual priorities before the AWP is finalized.</w:t>
      </w:r>
    </w:p>
    <w:p>
      <w:pPr>
        <w:pStyle w:val="Heading3"/>
      </w:pPr>
      <w:r>
        <w:rPr>
          <w:rFonts w:ascii="Inter" w:hAnsi="Inter" w:cs="Inter"/>
          <w:b/>
          <w:i w:val="0"/>
          <w:color w:val="2C5F7C"/>
          <w:sz w:val="26"/>
        </w:rPr>
        <w:t>Step 3: Set Annual Targets</w:t>
      </w:r>
    </w:p>
    <w:p>
      <w:pPr>
        <w:spacing w:after="120" w:line="276" w:lineRule="auto"/>
      </w:pPr>
      <w:r>
        <w:rPr>
          <w:rFonts w:ascii="Inter" w:hAnsi="Inter" w:cs="Inter"/>
          <w:b w:val="0"/>
          <w:i w:val="0"/>
          <w:color w:val="2D2D2D"/>
          <w:sz w:val="22"/>
        </w:rPr>
        <w:t>For each priority PPA, set an annual output target for the coming fiscal year. The annual target is your commitment for this year — the specific quantity, quality, or completion of outputs you will produce by December 31 of the fiscal year.</w:t>
      </w:r>
    </w:p>
    <w:p>
      <w:pPr>
        <w:spacing w:after="120" w:line="276" w:lineRule="auto"/>
      </w:pPr>
      <w:r>
        <w:rPr>
          <w:rFonts w:ascii="Inter" w:hAnsi="Inter" w:cs="Inter"/>
          <w:b w:val="0"/>
          <w:i w:val="0"/>
          <w:color w:val="2D2D2D"/>
          <w:sz w:val="22"/>
        </w:rPr>
        <w:t>Annual targets must be:</w:t>
      </w:r>
    </w:p>
    <w:p>
      <w:pPr>
        <w:pStyle w:val="ListBullet"/>
      </w:pPr>
      <w:r>
        <w:rPr>
          <w:rFonts w:ascii="Inter" w:hAnsi="Inter" w:cs="Inter"/>
          <w:b w:val="0"/>
          <w:i w:val="0"/>
          <w:color w:val="2D2D2D"/>
          <w:sz w:val="22"/>
        </w:rPr>
      </w:r>
      <w:r>
        <w:rPr>
          <w:rFonts w:ascii="Inter" w:hAnsi="Inter" w:cs="Inter"/>
          <w:b/>
          <w:i w:val="0"/>
          <w:color w:val="2D2D2D"/>
          <w:sz w:val="22"/>
        </w:rPr>
        <w:t>Derived from the multi-year plan.</w:t>
      </w:r>
      <w:r>
        <w:rPr>
          <w:rFonts w:ascii="Inter" w:hAnsi="Inter" w:cs="Inter"/>
          <w:b w:val="0"/>
          <w:i w:val="0"/>
          <w:color w:val="2D2D2D"/>
          <w:sz w:val="22"/>
        </w:rPr>
        <w:t xml:space="preserve"> The sum of annual targets across all years should track toward the multi-year target. If your multi-year plan sets 2,000,000 seedlings over five years and you are in Year 3, your Year 3 target should reflect what is needed to stay on track — accounting for over- or under-performance in Years 1 and 2.</w:t>
      </w:r>
    </w:p>
    <w:p>
      <w:pPr>
        <w:pStyle w:val="ListBullet"/>
      </w:pPr>
      <w:r>
        <w:rPr>
          <w:rFonts w:ascii="Inter" w:hAnsi="Inter" w:cs="Inter"/>
          <w:b w:val="0"/>
          <w:i w:val="0"/>
          <w:color w:val="2D2D2D"/>
          <w:sz w:val="22"/>
        </w:rPr>
      </w:r>
      <w:r>
        <w:rPr>
          <w:rFonts w:ascii="Inter" w:hAnsi="Inter" w:cs="Inter"/>
          <w:b/>
          <w:i w:val="0"/>
          <w:color w:val="2D2D2D"/>
          <w:sz w:val="22"/>
        </w:rPr>
        <w:t>Realistic.</w:t>
      </w:r>
      <w:r>
        <w:rPr>
          <w:rFonts w:ascii="Inter" w:hAnsi="Inter" w:cs="Inter"/>
          <w:b w:val="0"/>
          <w:i w:val="0"/>
          <w:color w:val="2D2D2D"/>
          <w:sz w:val="22"/>
        </w:rPr>
        <w:t xml:space="preserve"> Grounded in what your MOA has demonstrated it can actually deliver, with its current staff and budget.</w:t>
      </w:r>
    </w:p>
    <w:p>
      <w:pPr>
        <w:pStyle w:val="ListBullet"/>
      </w:pPr>
      <w:r>
        <w:rPr>
          <w:rFonts w:ascii="Inter" w:hAnsi="Inter" w:cs="Inter"/>
          <w:b w:val="0"/>
          <w:i w:val="0"/>
          <w:color w:val="2D2D2D"/>
          <w:sz w:val="22"/>
        </w:rPr>
      </w:r>
      <w:r>
        <w:rPr>
          <w:rFonts w:ascii="Inter" w:hAnsi="Inter" w:cs="Inter"/>
          <w:b/>
          <w:i w:val="0"/>
          <w:color w:val="2D2D2D"/>
          <w:sz w:val="22"/>
        </w:rPr>
        <w:t>Measurable.</w:t>
      </w:r>
      <w:r>
        <w:rPr>
          <w:rFonts w:ascii="Inter" w:hAnsi="Inter" w:cs="Inter"/>
          <w:b w:val="0"/>
          <w:i w:val="0"/>
          <w:color w:val="2D2D2D"/>
          <w:sz w:val="22"/>
        </w:rPr>
        <w:t xml:space="preserve"> Expressed in the same unit and indicator as your outcome indicator (seedlings produced, beneficiaries served, hectares rehabilitated, trainings conducted, health workers certified).</w:t>
      </w:r>
    </w:p>
    <w:p>
      <w:pPr>
        <w:pStyle w:val="ListBullet"/>
      </w:pPr>
      <w:r>
        <w:rPr>
          <w:rFonts w:ascii="Inter" w:hAnsi="Inter" w:cs="Inter"/>
          <w:b w:val="0"/>
          <w:i w:val="0"/>
          <w:color w:val="2D2D2D"/>
          <w:sz w:val="22"/>
        </w:rPr>
      </w:r>
      <w:r>
        <w:rPr>
          <w:rFonts w:ascii="Inter" w:hAnsi="Inter" w:cs="Inter"/>
          <w:b/>
          <w:i w:val="0"/>
          <w:color w:val="2D2D2D"/>
          <w:sz w:val="22"/>
        </w:rPr>
        <w:t>Time-bound.</w:t>
      </w:r>
      <w:r>
        <w:rPr>
          <w:rFonts w:ascii="Inter" w:hAnsi="Inter" w:cs="Inter"/>
          <w:b w:val="0"/>
          <w:i w:val="0"/>
          <w:color w:val="2D2D2D"/>
          <w:sz w:val="22"/>
        </w:rPr>
        <w:t xml:space="preserve"> The annual target must be achievable within the fiscal year.</w:t>
      </w:r>
    </w:p>
    <w:p>
      <w:pPr>
        <w:spacing w:after="120" w:line="276" w:lineRule="auto"/>
      </w:pPr>
      <w:r>
        <w:rPr>
          <w:rFonts w:ascii="Inter" w:hAnsi="Inter" w:cs="Inter"/>
          <w:b w:val="0"/>
          <w:i w:val="0"/>
          <w:color w:val="2D2D2D"/>
          <w:sz w:val="22"/>
        </w:rPr>
        <w:t>For PPAs with carryover items from the prior year, add the carryover quantity to the new year's target — but verify first that the carryover is still relevant, that the budget authority exists, and that the procurement can be completed within the new fiscal year.</w:t>
      </w:r>
    </w:p>
    <w:p>
      <w:pPr>
        <w:pStyle w:val="Heading3"/>
      </w:pPr>
      <w:r>
        <w:rPr>
          <w:rFonts w:ascii="Inter" w:hAnsi="Inter" w:cs="Inter"/>
          <w:b/>
          <w:i w:val="0"/>
          <w:color w:val="2C5F7C"/>
          <w:sz w:val="26"/>
        </w:rPr>
        <w:t>Step 4: Develop Quarterly Milestones</w:t>
      </w:r>
    </w:p>
    <w:p>
      <w:pPr>
        <w:spacing w:after="120" w:line="276" w:lineRule="auto"/>
      </w:pPr>
      <w:r>
        <w:rPr>
          <w:rFonts w:ascii="Inter" w:hAnsi="Inter" w:cs="Inter"/>
          <w:b w:val="0"/>
          <w:i w:val="0"/>
          <w:color w:val="2D2D2D"/>
          <w:sz w:val="22"/>
        </w:rPr>
        <w:t>Break each annual target into Q1, Q2, Q3, and Q4 milestones. Quarterly milestones are not just the annual target divided by four. They reflect the actual pattern of implementation: when activities are scheduled, when inputs are available, when conditions allow field work.</w:t>
      </w:r>
    </w:p>
    <w:p>
      <w:pPr>
        <w:spacing w:after="120" w:line="276" w:lineRule="auto"/>
      </w:pPr>
      <w:r>
        <w:rPr>
          <w:rFonts w:ascii="Inter" w:hAnsi="Inter" w:cs="Inter"/>
          <w:b w:val="0"/>
          <w:i w:val="0"/>
          <w:color w:val="2D2D2D"/>
          <w:sz w:val="22"/>
        </w:rPr>
        <w:t>Common distribution patterns:</w:t>
      </w:r>
    </w:p>
    <w:p>
      <w:pPr>
        <w:pStyle w:val="ListBullet"/>
      </w:pPr>
      <w:r>
        <w:rPr>
          <w:rFonts w:ascii="Inter" w:hAnsi="Inter" w:cs="Inter"/>
          <w:b w:val="0"/>
          <w:i w:val="0"/>
          <w:color w:val="2D2D2D"/>
          <w:sz w:val="22"/>
        </w:rPr>
      </w:r>
      <w:r>
        <w:rPr>
          <w:rFonts w:ascii="Inter" w:hAnsi="Inter" w:cs="Inter"/>
          <w:b/>
          <w:i w:val="0"/>
          <w:color w:val="2D2D2D"/>
          <w:sz w:val="22"/>
        </w:rPr>
        <w:t>Linear:</w:t>
      </w:r>
      <w:r>
        <w:rPr>
          <w:rFonts w:ascii="Inter" w:hAnsi="Inter" w:cs="Inter"/>
          <w:b w:val="0"/>
          <w:i w:val="0"/>
          <w:color w:val="2D2D2D"/>
          <w:sz w:val="22"/>
        </w:rPr>
        <w:t xml:space="preserve"> Equal distribution across all four quarters. Appropriate for PPAs with no seasonal variation (e.g., regular staff training, routine regulatory functions).</w:t>
      </w:r>
    </w:p>
    <w:p>
      <w:pPr>
        <w:pStyle w:val="ListBullet"/>
      </w:pPr>
      <w:r>
        <w:rPr>
          <w:rFonts w:ascii="Inter" w:hAnsi="Inter" w:cs="Inter"/>
          <w:b w:val="0"/>
          <w:i w:val="0"/>
          <w:color w:val="2D2D2D"/>
          <w:sz w:val="22"/>
        </w:rPr>
      </w:r>
      <w:r>
        <w:rPr>
          <w:rFonts w:ascii="Inter" w:hAnsi="Inter" w:cs="Inter"/>
          <w:b/>
          <w:i w:val="0"/>
          <w:color w:val="2D2D2D"/>
          <w:sz w:val="22"/>
        </w:rPr>
        <w:t>Front-loaded:</w:t>
      </w:r>
      <w:r>
        <w:rPr>
          <w:rFonts w:ascii="Inter" w:hAnsi="Inter" w:cs="Inter"/>
          <w:b w:val="0"/>
          <w:i w:val="0"/>
          <w:color w:val="2D2D2D"/>
          <w:sz w:val="22"/>
        </w:rPr>
        <w:t xml:space="preserve"> More in Q1 and Q2, less in Q3 and Q4. Appropriate when early implementation creates conditions for later activities (e.g., seedling production must happen before planting season).</w:t>
      </w:r>
    </w:p>
    <w:p>
      <w:pPr>
        <w:pStyle w:val="ListBullet"/>
      </w:pPr>
      <w:r>
        <w:rPr>
          <w:rFonts w:ascii="Inter" w:hAnsi="Inter" w:cs="Inter"/>
          <w:b w:val="0"/>
          <w:i w:val="0"/>
          <w:color w:val="2D2D2D"/>
          <w:sz w:val="22"/>
        </w:rPr>
      </w:r>
      <w:r>
        <w:rPr>
          <w:rFonts w:ascii="Inter" w:hAnsi="Inter" w:cs="Inter"/>
          <w:b/>
          <w:i w:val="0"/>
          <w:color w:val="2D2D2D"/>
          <w:sz w:val="22"/>
        </w:rPr>
        <w:t>Back-loaded:</w:t>
      </w:r>
      <w:r>
        <w:rPr>
          <w:rFonts w:ascii="Inter" w:hAnsi="Inter" w:cs="Inter"/>
          <w:b w:val="0"/>
          <w:i w:val="0"/>
          <w:color w:val="2D2D2D"/>
          <w:sz w:val="22"/>
        </w:rPr>
        <w:t xml:space="preserve"> Less in Q1 and Q2, more in Q3 and Q4. Appropriate for PPAs that require significant preparation before field activities begin. Use cautiously — back-loaded plans are the most common cause of year-end spending rushes and poor-quality outputs.</w:t>
      </w:r>
    </w:p>
    <w:p>
      <w:pPr>
        <w:pStyle w:val="ListBullet"/>
      </w:pPr>
      <w:r>
        <w:rPr>
          <w:rFonts w:ascii="Inter" w:hAnsi="Inter" w:cs="Inter"/>
          <w:b w:val="0"/>
          <w:i w:val="0"/>
          <w:color w:val="2D2D2D"/>
          <w:sz w:val="22"/>
        </w:rPr>
      </w:r>
      <w:r>
        <w:rPr>
          <w:rFonts w:ascii="Inter" w:hAnsi="Inter" w:cs="Inter"/>
          <w:b/>
          <w:i w:val="0"/>
          <w:color w:val="2D2D2D"/>
          <w:sz w:val="22"/>
        </w:rPr>
        <w:t>Seasonal:</w:t>
      </w:r>
      <w:r>
        <w:rPr>
          <w:rFonts w:ascii="Inter" w:hAnsi="Inter" w:cs="Inter"/>
          <w:b w:val="0"/>
          <w:i w:val="0"/>
          <w:color w:val="2D2D2D"/>
          <w:sz w:val="22"/>
        </w:rPr>
        <w:t xml:space="preserve"> Follows natural cycles (monsoon season, school calendar, crop cycles). Use when the activity is genuinely dependent on external timing.</w:t>
      </w:r>
    </w:p>
    <w:p>
      <w:pPr>
        <w:spacing w:after="120" w:line="276" w:lineRule="auto"/>
      </w:pPr>
      <w:r>
        <w:rPr>
          <w:rFonts w:ascii="Inter" w:hAnsi="Inter" w:cs="Inter"/>
          <w:b w:val="0"/>
          <w:i w:val="0"/>
          <w:color w:val="2D2D2D"/>
          <w:sz w:val="22"/>
        </w:rPr>
        <w:t>For each quarterly milestone, identify the key activity or deliverable that demonstrates progress: not just "seedlings produced (Q1: 100,000)" but "nursery beds prepared, seed collection completed, germination trays set up, 100,000 seedlings germinated (Q1)."</w:t>
      </w:r>
    </w:p>
    <w:p>
      <w:pPr>
        <w:spacing w:after="120" w:line="276" w:lineRule="auto"/>
      </w:pPr>
      <w:r>
        <w:rPr>
          <w:rFonts w:ascii="Inter" w:hAnsi="Inter" w:cs="Inter"/>
          <w:b w:val="0"/>
          <w:i w:val="0"/>
          <w:color w:val="2D2D2D"/>
          <w:sz w:val="22"/>
        </w:rPr>
        <w:t>Your quarterly milestones are the basis for mid-year review. If Q1 and Q2 milestones are not met, that is an early warning that the annual target is at risk — and mid-year adjustments (budget realignment, scope revision, or accelerated procurement) are still possible. If you only discover underperformance in Q4, it is too late to correct.</w:t>
      </w:r>
    </w:p>
    <w:p>
      <w:pPr>
        <w:pStyle w:val="Heading3"/>
      </w:pPr>
      <w:r>
        <w:rPr>
          <w:rFonts w:ascii="Inter" w:hAnsi="Inter" w:cs="Inter"/>
          <w:b/>
          <w:i w:val="0"/>
          <w:color w:val="2C5F7C"/>
          <w:sz w:val="26"/>
        </w:rPr>
        <w:t>Step 5: Assign Responsibilities</w:t>
      </w:r>
    </w:p>
    <w:p>
      <w:pPr>
        <w:spacing w:after="120" w:line="276" w:lineRule="auto"/>
      </w:pPr>
      <w:r>
        <w:rPr>
          <w:rFonts w:ascii="Inter" w:hAnsi="Inter" w:cs="Inter"/>
          <w:b w:val="0"/>
          <w:i w:val="0"/>
          <w:color w:val="2D2D2D"/>
          <w:sz w:val="22"/>
        </w:rPr>
        <w:t>For each PPA in the AWP, designate the responsible unit and the lead officer. The lead officer is the person accountable for delivering the annual target by December 31. This is not the Minister — it is the division chief, section head, or technical officer who will do the work and report on progress.</w:t>
      </w:r>
    </w:p>
    <w:p>
      <w:pPr>
        <w:spacing w:after="120" w:line="276" w:lineRule="auto"/>
      </w:pPr>
      <w:r>
        <w:rPr>
          <w:rFonts w:ascii="Inter" w:hAnsi="Inter" w:cs="Inter"/>
          <w:b w:val="0"/>
          <w:i w:val="0"/>
          <w:color w:val="2D2D2D"/>
          <w:sz w:val="22"/>
        </w:rPr>
        <w:t>Assign the lead officer explicitly: "Community Profiling Team Leader, Programs Division, OOBC." Not "OOBC" as a whole, and not "the field offices" as a collective. Vague assignment produces vague accountability.</w:t>
      </w:r>
    </w:p>
    <w:p>
      <w:pPr>
        <w:spacing w:after="120" w:line="276" w:lineRule="auto"/>
      </w:pPr>
      <w:r>
        <w:rPr>
          <w:rFonts w:ascii="Inter" w:hAnsi="Inter" w:cs="Inter"/>
          <w:b w:val="0"/>
          <w:i w:val="0"/>
          <w:color w:val="2D2D2D"/>
          <w:sz w:val="22"/>
        </w:rPr>
        <w:t>If a PPA involves multiple units — for example, a community health program that requires the technical staff from the Health Services Division and the logistical support of the Administrative Division — designate a lead unit and a lead officer for overall accountability, and document the supporting units separately.</w:t>
      </w:r>
    </w:p>
    <w:p>
      <w:pPr>
        <w:pStyle w:val="Heading3"/>
      </w:pPr>
      <w:r>
        <w:rPr>
          <w:rFonts w:ascii="Inter" w:hAnsi="Inter" w:cs="Inter"/>
          <w:b/>
          <w:i w:val="0"/>
          <w:color w:val="2C5F7C"/>
          <w:sz w:val="26"/>
        </w:rPr>
        <w:t>Step 6: Prepare the AWP Document</w:t>
      </w:r>
    </w:p>
    <w:p>
      <w:pPr>
        <w:spacing w:after="120" w:line="276" w:lineRule="auto"/>
      </w:pPr>
      <w:r>
        <w:rPr>
          <w:rFonts w:ascii="Inter" w:hAnsi="Inter" w:cs="Inter"/>
          <w:b w:val="0"/>
          <w:i w:val="0"/>
          <w:color w:val="2D2D2D"/>
          <w:sz w:val="22"/>
        </w:rPr>
        <w:t>Compile the output of Steps 1-5 into the AWP table. Use the template in Section 10.7. Each row in the AWP represents one PPA. Fill in: PPA Code, PPA Name, Annual Target, Q1-Q2-Q3-Q4 milestones, Responsible Unit, and Budget.</w:t>
      </w:r>
    </w:p>
    <w:p>
      <w:pPr>
        <w:spacing w:after="120" w:line="276" w:lineRule="auto"/>
      </w:pPr>
      <w:r>
        <w:rPr>
          <w:rFonts w:ascii="Inter" w:hAnsi="Inter" w:cs="Inter"/>
          <w:b w:val="0"/>
          <w:i w:val="0"/>
          <w:color w:val="2D2D2D"/>
          <w:sz w:val="22"/>
        </w:rPr>
        <w:t>Write a brief AWP narrative — one to three paragraphs — that states the overall planning context, the three to five annual priorities, and any major risks or assumptions that informed the target-setting. This narrative becomes part of your Budget Proposal submission.</w:t>
      </w:r>
    </w:p>
    <w:p>
      <w:pPr>
        <w:pStyle w:val="Heading3"/>
      </w:pPr>
      <w:r>
        <w:rPr>
          <w:rFonts w:ascii="Inter" w:hAnsi="Inter" w:cs="Inter"/>
          <w:b/>
          <w:i w:val="0"/>
          <w:color w:val="2C5F7C"/>
          <w:sz w:val="26"/>
        </w:rPr>
        <w:t>Step 7: Allocate Budget by PPA</w:t>
      </w:r>
    </w:p>
    <w:p>
      <w:pPr>
        <w:spacing w:after="120" w:line="276" w:lineRule="auto"/>
      </w:pPr>
      <w:r>
        <w:rPr>
          <w:rFonts w:ascii="Inter" w:hAnsi="Inter" w:cs="Inter"/>
          <w:b w:val="0"/>
          <w:i w:val="0"/>
          <w:color w:val="2D2D2D"/>
          <w:sz w:val="22"/>
        </w:rPr>
        <w:t>Using the Resource Requirements Matrix from Chapter 9 as your starting point, distribute the approved budget ceiling across the PPAs in your AWP by expense class (PS, MOOE, CO).</w:t>
      </w:r>
    </w:p>
    <w:p>
      <w:pPr>
        <w:spacing w:after="120" w:line="276" w:lineRule="auto"/>
      </w:pPr>
      <w:r>
        <w:rPr>
          <w:rFonts w:ascii="Inter" w:hAnsi="Inter" w:cs="Inter"/>
          <w:b w:val="0"/>
          <w:i w:val="0"/>
          <w:color w:val="2D2D2D"/>
          <w:sz w:val="22"/>
        </w:rPr>
        <w:t>Key rules for budget allocation:</w:t>
      </w:r>
    </w:p>
    <w:p>
      <w:pPr>
        <w:pStyle w:val="ListBullet"/>
      </w:pPr>
      <w:r>
        <w:rPr>
          <w:rFonts w:ascii="Inter" w:hAnsi="Inter" w:cs="Inter"/>
          <w:b w:val="0"/>
          <w:i w:val="0"/>
          <w:color w:val="2D2D2D"/>
          <w:sz w:val="22"/>
        </w:rPr>
      </w:r>
      <w:r>
        <w:rPr>
          <w:rFonts w:ascii="Inter" w:hAnsi="Inter" w:cs="Inter"/>
          <w:b/>
          <w:i w:val="0"/>
          <w:color w:val="2D2D2D"/>
          <w:sz w:val="22"/>
        </w:rPr>
        <w:t>PS is not discretionary at the PPA level.</w:t>
      </w:r>
      <w:r>
        <w:rPr>
          <w:rFonts w:ascii="Inter" w:hAnsi="Inter" w:cs="Inter"/>
          <w:b w:val="0"/>
          <w:i w:val="0"/>
          <w:color w:val="2D2D2D"/>
          <w:sz w:val="22"/>
        </w:rPr>
        <w:t xml:space="preserve"> Personnel costs are driven by your plantilla — who is assigned to implement the PPA, at what salary grade, for how many months. PS costs are calculated, not negotiated.</w:t>
      </w:r>
    </w:p>
    <w:p>
      <w:pPr>
        <w:pStyle w:val="ListBullet"/>
      </w:pPr>
      <w:r>
        <w:rPr>
          <w:rFonts w:ascii="Inter" w:hAnsi="Inter" w:cs="Inter"/>
          <w:b w:val="0"/>
          <w:i w:val="0"/>
          <w:color w:val="2D2D2D"/>
          <w:sz w:val="22"/>
        </w:rPr>
      </w:r>
      <w:r>
        <w:rPr>
          <w:rFonts w:ascii="Inter" w:hAnsi="Inter" w:cs="Inter"/>
          <w:b/>
          <w:i w:val="0"/>
          <w:color w:val="2D2D2D"/>
          <w:sz w:val="22"/>
        </w:rPr>
        <w:t>MOOE covers operating costs:</w:t>
      </w:r>
      <w:r>
        <w:rPr>
          <w:rFonts w:ascii="Inter" w:hAnsi="Inter" w:cs="Inter"/>
          <w:b w:val="0"/>
          <w:i w:val="0"/>
          <w:color w:val="2D2D2D"/>
          <w:sz w:val="22"/>
        </w:rPr>
        <w:t xml:space="preserve"> supplies, fuel, transportation, communications, training materials, per diems for field staff, repairs, utilities, and other costs of doing the work.</w:t>
      </w:r>
    </w:p>
    <w:p>
      <w:pPr>
        <w:pStyle w:val="ListBullet"/>
      </w:pPr>
      <w:r>
        <w:rPr>
          <w:rFonts w:ascii="Inter" w:hAnsi="Inter" w:cs="Inter"/>
          <w:b w:val="0"/>
          <w:i w:val="0"/>
          <w:color w:val="2D2D2D"/>
          <w:sz w:val="22"/>
        </w:rPr>
      </w:r>
      <w:r>
        <w:rPr>
          <w:rFonts w:ascii="Inter" w:hAnsi="Inter" w:cs="Inter"/>
          <w:b/>
          <w:i w:val="0"/>
          <w:color w:val="2D2D2D"/>
          <w:sz w:val="22"/>
        </w:rPr>
        <w:t>CO covers capital purchases:</w:t>
      </w:r>
      <w:r>
        <w:rPr>
          <w:rFonts w:ascii="Inter" w:hAnsi="Inter" w:cs="Inter"/>
          <w:b w:val="0"/>
          <w:i w:val="0"/>
          <w:color w:val="2D2D2D"/>
          <w:sz w:val="22"/>
        </w:rPr>
        <w:t xml:space="preserve"> equipment, vehicles, construction, and other assets with a useful life of more than one year.</w:t>
      </w:r>
    </w:p>
    <w:p>
      <w:pPr>
        <w:pStyle w:val="ListBullet"/>
      </w:pPr>
      <w:r>
        <w:rPr>
          <w:rFonts w:ascii="Inter" w:hAnsi="Inter" w:cs="Inter"/>
          <w:b w:val="0"/>
          <w:i w:val="0"/>
          <w:color w:val="2D2D2D"/>
          <w:sz w:val="22"/>
        </w:rPr>
      </w:r>
      <w:r>
        <w:rPr>
          <w:rFonts w:ascii="Inter" w:hAnsi="Inter" w:cs="Inter"/>
          <w:b/>
          <w:i w:val="0"/>
          <w:color w:val="2D2D2D"/>
          <w:sz w:val="22"/>
        </w:rPr>
        <w:t>Allocations must sum to the approved ceiling.</w:t>
      </w:r>
      <w:r>
        <w:rPr>
          <w:rFonts w:ascii="Inter" w:hAnsi="Inter" w:cs="Inter"/>
          <w:b w:val="0"/>
          <w:i w:val="0"/>
          <w:color w:val="2D2D2D"/>
          <w:sz w:val="22"/>
        </w:rPr>
        <w:t xml:space="preserve"> If your resource requirements exceed the ceiling, you must either reduce the scope of PPAs, eliminate lower-priority PPAs from the AWP, or identify alternative funding sources (e.g., partnership contributions) that reduce your MOA's budget exposure.</w:t>
      </w:r>
    </w:p>
    <w:p>
      <w:pPr>
        <w:spacing w:after="120" w:line="276" w:lineRule="auto"/>
      </w:pPr>
      <w:r>
        <w:rPr>
          <w:rFonts w:ascii="Inter" w:hAnsi="Inter" w:cs="Inter"/>
          <w:b w:val="0"/>
          <w:i w:val="0"/>
          <w:color w:val="2D2D2D"/>
          <w:sz w:val="22"/>
        </w:rPr>
        <w:t>The "70% scenario" question — if you can only fund 70% of your plan, which PPAs do you prioritize? — should be answered before submitting. Ministries that do not pre-prioritize within the AFP find themselves paralyzed when MFBM requires cuts during budget deliberations.</w:t>
      </w:r>
    </w:p>
    <w:p>
      <w:pPr>
        <w:pStyle w:val="Heading3"/>
      </w:pPr>
      <w:r>
        <w:rPr>
          <w:rFonts w:ascii="Inter" w:hAnsi="Inter" w:cs="Inter"/>
          <w:b/>
          <w:i w:val="0"/>
          <w:color w:val="2C5F7C"/>
          <w:sz w:val="26"/>
        </w:rPr>
        <w:t>Step 8: Prepare the AFP Aligned with BAA 84</w:t>
      </w:r>
    </w:p>
    <w:p>
      <w:pPr>
        <w:spacing w:after="120" w:line="276" w:lineRule="auto"/>
      </w:pPr>
      <w:r>
        <w:rPr>
          <w:rFonts w:ascii="Inter" w:hAnsi="Inter" w:cs="Inter"/>
          <w:b w:val="0"/>
          <w:i w:val="0"/>
          <w:color w:val="2D2D2D"/>
          <w:sz w:val="22"/>
        </w:rPr>
        <w:t>Complete the AFP table (see template in Section 10.7). For each PPA, enter PS, MOOE, CO amounts, total budget, and funding source. Include the relevant BAA 84 reference in the last column.</w:t>
      </w:r>
    </w:p>
    <w:p>
      <w:pPr>
        <w:spacing w:after="120" w:line="276" w:lineRule="auto"/>
      </w:pPr>
      <w:r>
        <w:rPr>
          <w:rFonts w:ascii="Inter" w:hAnsi="Inter" w:cs="Inter"/>
          <w:b w:val="0"/>
          <w:i w:val="0"/>
          <w:color w:val="2D2D2D"/>
          <w:sz w:val="22"/>
        </w:rPr>
        <w:t>In addition to the PPA-level breakdown, prepare the obligation schedule: for each quarter, what percentage of the total budget will you obligate? MFBM sets quarterly obligation targets — typically 20% by end of Q1, 50% by end of Q2, 80% by end of Q3, and 100% by end of Q4. Your obligation schedule must demonstrate credible plans for obligating appropriations on time.[^6]</w:t>
      </w:r>
    </w:p>
    <w:p>
      <w:pPr>
        <w:spacing w:after="120" w:line="276" w:lineRule="auto"/>
      </w:pPr>
      <w:r>
        <w:rPr>
          <w:rFonts w:ascii="Inter" w:hAnsi="Inter" w:cs="Inter"/>
          <w:b w:val="0"/>
          <w:i w:val="0"/>
          <w:color w:val="2D2D2D"/>
          <w:sz w:val="22"/>
        </w:rPr>
        <w:t>Obligation targets are not aspirational. MOAs that consistently under-obligate in Q1 and Q2 — then attempt to obligate 50-60% of their budget in Q4 — signal implementation failure. Late obligations lead to poor-quality outputs (rushed procurement, inadequate specifications), undisbursed funds at year-end, and automatic budget cuts in the following cycle.</w:t>
      </w:r>
    </w:p>
    <w:p>
      <w:pPr>
        <w:spacing w:after="120" w:line="276" w:lineRule="auto"/>
      </w:pPr>
      <w:r>
        <w:rPr>
          <w:rFonts w:ascii="Inter" w:hAnsi="Inter" w:cs="Inter"/>
          <w:b w:val="0"/>
          <w:i w:val="0"/>
          <w:color w:val="2D2D2D"/>
          <w:sz w:val="22"/>
        </w:rPr>
        <w:t>The AFP must be reviewed and certified by the Budget Officer before submission. The Budget Officer confirms that the total AFP does not exceed the approved ceiling and that expense class allocations are consistent with BAA 84 classifications.</w:t>
      </w:r>
    </w:p>
    <w:p>
      <w:pPr>
        <w:pStyle w:val="Heading3"/>
      </w:pPr>
      <w:r>
        <w:rPr>
          <w:rFonts w:ascii="Inter" w:hAnsi="Inter" w:cs="Inter"/>
          <w:b/>
          <w:i w:val="0"/>
          <w:color w:val="2C5F7C"/>
          <w:sz w:val="26"/>
        </w:rPr>
        <w:t>Step 9: Identify Procurement Requirements</w:t>
      </w:r>
    </w:p>
    <w:p>
      <w:pPr>
        <w:spacing w:after="120" w:line="276" w:lineRule="auto"/>
      </w:pPr>
      <w:r>
        <w:rPr>
          <w:rFonts w:ascii="Inter" w:hAnsi="Inter" w:cs="Inter"/>
          <w:b w:val="0"/>
          <w:i w:val="0"/>
          <w:color w:val="2D2D2D"/>
          <w:sz w:val="22"/>
        </w:rPr>
        <w:t>Review your AWP PPA by PPA. For each PPA, ask: Does implementing this PPA require the purchase of goods, services, or infrastructure from outside the MOA? If yes, each item must appear in the APP.</w:t>
      </w:r>
    </w:p>
    <w:p>
      <w:pPr>
        <w:spacing w:after="120" w:line="276" w:lineRule="auto"/>
      </w:pPr>
      <w:r>
        <w:rPr>
          <w:rFonts w:ascii="Inter" w:hAnsi="Inter" w:cs="Inter"/>
          <w:b w:val="0"/>
          <w:i w:val="0"/>
          <w:color w:val="2D2D2D"/>
          <w:sz w:val="22"/>
        </w:rPr>
        <w:t>Common procurement requirements by PPA type:</w:t>
      </w:r>
    </w:p>
    <w:p>
      <w:pPr>
        <w:pStyle w:val="ListBullet"/>
      </w:pPr>
      <w:r>
        <w:rPr>
          <w:rFonts w:ascii="Inter" w:hAnsi="Inter" w:cs="Inter"/>
          <w:b w:val="0"/>
          <w:i w:val="0"/>
          <w:color w:val="2D2D2D"/>
          <w:sz w:val="22"/>
        </w:rPr>
      </w:r>
      <w:r>
        <w:rPr>
          <w:rFonts w:ascii="Inter" w:hAnsi="Inter" w:cs="Inter"/>
          <w:b/>
          <w:i w:val="0"/>
          <w:color w:val="2D2D2D"/>
          <w:sz w:val="22"/>
        </w:rPr>
        <w:t>Infrastructure projects:</w:t>
      </w:r>
      <w:r>
        <w:rPr>
          <w:rFonts w:ascii="Inter" w:hAnsi="Inter" w:cs="Inter"/>
          <w:b w:val="0"/>
          <w:i w:val="0"/>
          <w:color w:val="2D2D2D"/>
          <w:sz w:val="22"/>
        </w:rPr>
        <w:t xml:space="preserve"> Civil works contracts, construction materials, engineering design services, project management services.</w:t>
      </w:r>
    </w:p>
    <w:p>
      <w:pPr>
        <w:pStyle w:val="ListBullet"/>
      </w:pPr>
      <w:r>
        <w:rPr>
          <w:rFonts w:ascii="Inter" w:hAnsi="Inter" w:cs="Inter"/>
          <w:b w:val="0"/>
          <w:i w:val="0"/>
          <w:color w:val="2D2D2D"/>
          <w:sz w:val="22"/>
        </w:rPr>
      </w:r>
      <w:r>
        <w:rPr>
          <w:rFonts w:ascii="Inter" w:hAnsi="Inter" w:cs="Inter"/>
          <w:b/>
          <w:i w:val="0"/>
          <w:color w:val="2D2D2D"/>
          <w:sz w:val="22"/>
        </w:rPr>
        <w:t>Training programs:</w:t>
      </w:r>
      <w:r>
        <w:rPr>
          <w:rFonts w:ascii="Inter" w:hAnsi="Inter" w:cs="Inter"/>
          <w:b w:val="0"/>
          <w:i w:val="0"/>
          <w:color w:val="2D2D2D"/>
          <w:sz w:val="22"/>
        </w:rPr>
        <w:t xml:space="preserve"> Training venue rental, catering, training materials (printing), resource person fees (professional services).</w:t>
      </w:r>
    </w:p>
    <w:p>
      <w:pPr>
        <w:pStyle w:val="ListBullet"/>
      </w:pPr>
      <w:r>
        <w:rPr>
          <w:rFonts w:ascii="Inter" w:hAnsi="Inter" w:cs="Inter"/>
          <w:b w:val="0"/>
          <w:i w:val="0"/>
          <w:color w:val="2D2D2D"/>
          <w:sz w:val="22"/>
        </w:rPr>
      </w:r>
      <w:r>
        <w:rPr>
          <w:rFonts w:ascii="Inter" w:hAnsi="Inter" w:cs="Inter"/>
          <w:b/>
          <w:i w:val="0"/>
          <w:color w:val="2D2D2D"/>
          <w:sz w:val="22"/>
        </w:rPr>
        <w:t>Field programs:</w:t>
      </w:r>
      <w:r>
        <w:rPr>
          <w:rFonts w:ascii="Inter" w:hAnsi="Inter" w:cs="Inter"/>
          <w:b w:val="0"/>
          <w:i w:val="0"/>
          <w:color w:val="2D2D2D"/>
          <w:sz w:val="22"/>
        </w:rPr>
        <w:t xml:space="preserve"> Equipment (drones, field measurement tools, vehicles), supplies (seedlings, fertilizers, medicines, agrochemicals), transportation services.</w:t>
      </w:r>
    </w:p>
    <w:p>
      <w:pPr>
        <w:pStyle w:val="ListBullet"/>
      </w:pPr>
      <w:r>
        <w:rPr>
          <w:rFonts w:ascii="Inter" w:hAnsi="Inter" w:cs="Inter"/>
          <w:b w:val="0"/>
          <w:i w:val="0"/>
          <w:color w:val="2D2D2D"/>
          <w:sz w:val="22"/>
        </w:rPr>
      </w:r>
      <w:r>
        <w:rPr>
          <w:rFonts w:ascii="Inter" w:hAnsi="Inter" w:cs="Inter"/>
          <w:b/>
          <w:i w:val="0"/>
          <w:color w:val="2D2D2D"/>
          <w:sz w:val="22"/>
        </w:rPr>
        <w:t>Regulatory functions:</w:t>
      </w:r>
      <w:r>
        <w:rPr>
          <w:rFonts w:ascii="Inter" w:hAnsi="Inter" w:cs="Inter"/>
          <w:b w:val="0"/>
          <w:i w:val="0"/>
          <w:color w:val="2D2D2D"/>
          <w:sz w:val="22"/>
        </w:rPr>
        <w:t xml:space="preserve"> ICT supplies and equipment, printing and publication services.</w:t>
      </w:r>
    </w:p>
    <w:p>
      <w:pPr>
        <w:spacing w:after="120" w:line="276" w:lineRule="auto"/>
      </w:pPr>
      <w:r>
        <w:rPr>
          <w:rFonts w:ascii="Inter" w:hAnsi="Inter" w:cs="Inter"/>
          <w:b w:val="0"/>
          <w:i w:val="0"/>
          <w:color w:val="2D2D2D"/>
          <w:sz w:val="22"/>
        </w:rPr>
        <w:t>For each procurement item, you need: a description sufficient to write technical specifications, a rough cost estimate (the basis for the ABC), and a target delivery or completion date aligned with the AWP quarterly milestone the item supports.</w:t>
      </w:r>
    </w:p>
    <w:p>
      <w:pPr>
        <w:pStyle w:val="Heading3"/>
      </w:pPr>
      <w:r>
        <w:rPr>
          <w:rFonts w:ascii="Inter" w:hAnsi="Inter" w:cs="Inter"/>
          <w:b/>
          <w:i w:val="0"/>
          <w:color w:val="2C5F7C"/>
          <w:sz w:val="26"/>
        </w:rPr>
        <w:t>Step 10: Prepare the APP</w:t>
      </w:r>
    </w:p>
    <w:p>
      <w:pPr>
        <w:spacing w:after="120" w:line="276" w:lineRule="auto"/>
      </w:pPr>
      <w:r>
        <w:rPr>
          <w:rFonts w:ascii="Inter" w:hAnsi="Inter" w:cs="Inter"/>
          <w:b w:val="0"/>
          <w:i w:val="0"/>
          <w:color w:val="2D2D2D"/>
          <w:sz w:val="22"/>
        </w:rPr>
        <w:t>Complete the APP table (see template in Section 10.7). For each procurement item, enter: description, PPA code, mode of procurement, estimated cost, posting date, opening date, award date, and delivery/completion date.</w:t>
      </w:r>
    </w:p>
    <w:p>
      <w:pPr>
        <w:spacing w:after="120" w:line="276" w:lineRule="auto"/>
      </w:pPr>
      <w:r>
        <w:rPr>
          <w:rFonts w:ascii="Inter" w:hAnsi="Inter" w:cs="Inter"/>
          <w:b w:val="0"/>
          <w:i w:val="0"/>
          <w:color w:val="2D2D2D"/>
          <w:sz w:val="22"/>
        </w:rPr>
        <w:t>The procurement schedule is critical. Work backward from the date the item is needed (from the AWP quarterly milestone) to calculate when procurement posting must begin. Standard competitive bidding (public bidding) requires a minimum of 30 calendar days for posting, plus time for bid evaluation, post-qualification, approval of resolution of award, and contract signing — a minimum of 60-90 days from posting to award. If your item is needed in Q2 (by end of June), posting must begin no later than early Q1 (January or February).</w:t>
      </w:r>
    </w:p>
    <w:p>
      <w:pPr>
        <w:spacing w:after="120" w:line="276" w:lineRule="auto"/>
      </w:pPr>
      <w:r>
        <w:rPr>
          <w:rFonts w:ascii="Inter" w:hAnsi="Inter" w:cs="Inter"/>
          <w:b w:val="0"/>
          <w:i w:val="0"/>
          <w:color w:val="2D2D2D"/>
          <w:sz w:val="22"/>
        </w:rPr>
        <w:t>Procurements scheduled for Q4 are the most dangerous. Year-end procurement is subject to system-wide slowdowns, holiday periods, and supplier availability constraints. Any procurement that cannot be completed by November 30 realistically carries into the next fiscal year — at which point the funds lapse and must be re-appropriated.</w:t>
      </w:r>
    </w:p>
    <w:p>
      <w:pPr>
        <w:spacing w:after="120" w:line="276" w:lineRule="auto"/>
      </w:pPr>
      <w:r>
        <w:rPr>
          <w:rFonts w:ascii="Inter" w:hAnsi="Inter" w:cs="Inter"/>
          <w:b w:val="0"/>
          <w:i w:val="0"/>
          <w:color w:val="2D2D2D"/>
          <w:sz w:val="22"/>
        </w:rPr>
        <w:t>The end user must be specified for each APP item. Procurement items without a designated end user — "the ministry generally" — cannot proceed through the procurement process, because the Bids and Awards Committee (BAC) requires an end user to sign the acceptance and inspection report upon delivery.</w:t>
      </w:r>
    </w:p>
    <w:p>
      <w:pPr>
        <w:pStyle w:val="Heading3"/>
      </w:pPr>
      <w:r>
        <w:rPr>
          <w:rFonts w:ascii="Inter" w:hAnsi="Inter" w:cs="Inter"/>
          <w:b/>
          <w:i w:val="0"/>
          <w:color w:val="2C5F7C"/>
          <w:sz w:val="26"/>
        </w:rPr>
        <w:t>Step 11: Verify AWP-AFP-APP Alignment</w:t>
      </w:r>
    </w:p>
    <w:p>
      <w:pPr>
        <w:spacing w:after="120" w:line="276" w:lineRule="auto"/>
      </w:pPr>
      <w:r>
        <w:rPr>
          <w:rFonts w:ascii="Inter" w:hAnsi="Inter" w:cs="Inter"/>
          <w:b w:val="0"/>
          <w:i w:val="0"/>
          <w:color w:val="2D2D2D"/>
          <w:sz w:val="22"/>
        </w:rPr>
        <w:t>Before submitting, run the alignment check:</w:t>
      </w:r>
    </w:p>
    <w:p>
      <w:pPr>
        <w:spacing w:after="120" w:line="276" w:lineRule="auto"/>
      </w:pPr>
      <w:r>
        <w:rPr>
          <w:rFonts w:ascii="Inter" w:hAnsi="Inter" w:cs="Inter"/>
          <w:b w:val="0"/>
          <w:i w:val="0"/>
          <w:color w:val="2D2D2D"/>
          <w:sz w:val="22"/>
        </w:rPr>
      </w:r>
      <w:r>
        <w:rPr>
          <w:rFonts w:ascii="Inter" w:hAnsi="Inter" w:cs="Inter"/>
          <w:b/>
          <w:i w:val="0"/>
          <w:color w:val="2D2D2D"/>
          <w:sz w:val="22"/>
        </w:rPr>
        <w:t>AWP ↔ AFP check:</w:t>
      </w:r>
      <w:r>
        <w:rPr>
          <w:rFonts w:ascii="Inter" w:hAnsi="Inter" w:cs="Inter"/>
          <w:b w:val="0"/>
          <w:i w:val="0"/>
          <w:color w:val="2D2D2D"/>
          <w:sz w:val="22"/>
        </w:rPr>
        <w:t xml:space="preserve"> Every PPA in the AWP must have a budget line in the AFP. Every AFP line must correspond to a PPA in the AWP. There should be no funded activities without a plan, and no planned activities without a budget.</w:t>
      </w:r>
    </w:p>
    <w:p>
      <w:pPr>
        <w:spacing w:after="120" w:line="276" w:lineRule="auto"/>
      </w:pPr>
      <w:r>
        <w:rPr>
          <w:rFonts w:ascii="Inter" w:hAnsi="Inter" w:cs="Inter"/>
          <w:b w:val="0"/>
          <w:i w:val="0"/>
          <w:color w:val="2D2D2D"/>
          <w:sz w:val="22"/>
        </w:rPr>
      </w:r>
      <w:r>
        <w:rPr>
          <w:rFonts w:ascii="Inter" w:hAnsi="Inter" w:cs="Inter"/>
          <w:b/>
          <w:i w:val="0"/>
          <w:color w:val="2D2D2D"/>
          <w:sz w:val="22"/>
        </w:rPr>
        <w:t>AFP ↔ APP check:</w:t>
      </w:r>
      <w:r>
        <w:rPr>
          <w:rFonts w:ascii="Inter" w:hAnsi="Inter" w:cs="Inter"/>
          <w:b w:val="0"/>
          <w:i w:val="0"/>
          <w:color w:val="2D2D2D"/>
          <w:sz w:val="22"/>
        </w:rPr>
        <w:t xml:space="preserve"> The total estimated cost of all APP items under a PPA cannot exceed the MOOE + CO allocation for that PPA in the AFP. PS costs are not procured — they are hired. If your APP items exceed your AFP allocation, you are planning to spend more than you have budgeted. Resolve the discrepancy before submission.</w:t>
      </w:r>
    </w:p>
    <w:p>
      <w:pPr>
        <w:spacing w:after="120" w:line="276" w:lineRule="auto"/>
      </w:pPr>
      <w:r>
        <w:rPr>
          <w:rFonts w:ascii="Inter" w:hAnsi="Inter" w:cs="Inter"/>
          <w:b w:val="0"/>
          <w:i w:val="0"/>
          <w:color w:val="2D2D2D"/>
          <w:sz w:val="22"/>
        </w:rPr>
      </w:r>
      <w:r>
        <w:rPr>
          <w:rFonts w:ascii="Inter" w:hAnsi="Inter" w:cs="Inter"/>
          <w:b/>
          <w:i w:val="0"/>
          <w:color w:val="2D2D2D"/>
          <w:sz w:val="22"/>
        </w:rPr>
        <w:t>APP ↔ AWP timeline check:</w:t>
      </w:r>
      <w:r>
        <w:rPr>
          <w:rFonts w:ascii="Inter" w:hAnsi="Inter" w:cs="Inter"/>
          <w:b w:val="0"/>
          <w:i w:val="0"/>
          <w:color w:val="2D2D2D"/>
          <w:sz w:val="22"/>
        </w:rPr>
        <w:t xml:space="preserve"> For each procurement item in the APP, trace it to the AWP quarterly milestone it supports. The APP delivery date must fall before or concurrent with the AWP milestone date. If the procurement schedule shows delivery in Q3 but the AWP milestone requires the item in Q2, you have an implementation risk that must be resolved — either by accelerating procurement, adjusting the milestone, or identifying an alternative source.</w:t>
      </w:r>
    </w:p>
    <w:p>
      <w:pPr>
        <w:spacing w:after="120" w:line="276" w:lineRule="auto"/>
      </w:pPr>
      <w:r>
        <w:rPr>
          <w:rFonts w:ascii="Inter" w:hAnsi="Inter" w:cs="Inter"/>
          <w:b w:val="0"/>
          <w:i w:val="0"/>
          <w:color w:val="2D2D2D"/>
          <w:sz w:val="22"/>
        </w:rPr>
        <w:t>Document this alignment check as a one-page matrix that your Budget Officer and Planning Officer both sign off on. It is not a bureaucratic exercise. It is the final sanity check that your annual plan holds together as an integrated whole.</w:t>
      </w:r>
    </w:p>
    <w:p>
      <w:pPr>
        <w:pStyle w:val="Heading2"/>
      </w:pPr>
      <w:r>
        <w:rPr>
          <w:rFonts w:ascii="Inter" w:hAnsi="Inter" w:cs="Inter"/>
          <w:b/>
          <w:i w:val="0"/>
          <w:color w:val="1B365D"/>
          <w:sz w:val="32"/>
        </w:rPr>
        <w:t>10.4 Worked Example</w:t>
      </w:r>
    </w:p>
    <w:p>
      <w:pPr>
        <w:pStyle w:val="Heading3"/>
      </w:pPr>
      <w:r>
        <w:rPr>
          <w:rFonts w:ascii="Inter" w:hAnsi="Inter" w:cs="Inter"/>
          <w:b/>
          <w:i w:val="0"/>
          <w:color w:val="2C5F7C"/>
          <w:sz w:val="26"/>
        </w:rPr>
        <w:t>OOBC Community Outreach Programs: FY 2027 Annual Planning</w:t>
      </w:r>
    </w:p>
    <w:p>
      <w:pPr>
        <w:spacing w:after="120" w:line="276" w:lineRule="auto"/>
      </w:pPr>
      <w:r>
        <w:rPr>
          <w:rFonts w:ascii="Inter" w:hAnsi="Inter" w:cs="Inter"/>
          <w:b w:val="0"/>
          <w:i w:val="0"/>
          <w:color w:val="2D2D2D"/>
          <w:sz w:val="22"/>
        </w:rPr>
        <w:t>The Office for Other Bangsamoro Communities (OOBC) is in the second year of its 3-year strategic plan. OOBC's mandate under BOL Article VI, Section 12 is to ensure equitable access for Bangsamoro communities living outside BARMM's core territory. During FY 2025, OOBC facilitated 41 formal requests from OBC communities, expanded outreach to Caraga Region, Region 10, and Palawan, and strengthened policy integration by submitting three policy recommendations to the Office of the Chief Minister. However, the absence of a comprehensive community database continued to hamper targeting, and coordination with LGUs outside BARMM remained largely informal.</w:t>
      </w:r>
    </w:p>
    <w:p>
      <w:pPr>
        <w:spacing w:after="120" w:line="276" w:lineRule="auto"/>
      </w:pPr>
      <w:r>
        <w:rPr>
          <w:rFonts w:ascii="Inter" w:hAnsi="Inter" w:cs="Inter"/>
          <w:b w:val="0"/>
          <w:i w:val="0"/>
          <w:color w:val="2D2D2D"/>
          <w:sz w:val="22"/>
        </w:rPr>
      </w:r>
      <w:r>
        <w:rPr>
          <w:rFonts w:ascii="Inter" w:hAnsi="Inter" w:cs="Inter"/>
          <w:b/>
          <w:i w:val="0"/>
          <w:color w:val="2D2D2D"/>
          <w:sz w:val="22"/>
        </w:rPr>
        <w:t>Prior-Year Performance Review (FY 2026)</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PPA</w:t>
            </w:r>
          </w:p>
        </w:tc>
        <w:tc>
          <w:tcPr>
            <w:tcW w:type="dxa" w:w="1872"/>
            <w:shd w:fill="1B365D"/>
          </w:tcPr>
          <w:p>
            <w:r/>
            <w:r>
              <w:rPr>
                <w:rFonts w:ascii="Inter" w:hAnsi="Inter" w:cs="Inter"/>
                <w:b/>
                <w:i w:val="0"/>
                <w:color w:val="FFFFFF"/>
                <w:sz w:val="19"/>
              </w:rPr>
              <w:t>Annual Target</w:t>
            </w:r>
          </w:p>
        </w:tc>
        <w:tc>
          <w:tcPr>
            <w:tcW w:type="dxa" w:w="1872"/>
            <w:shd w:fill="1B365D"/>
          </w:tcPr>
          <w:p>
            <w:r/>
            <w:r>
              <w:rPr>
                <w:rFonts w:ascii="Inter" w:hAnsi="Inter" w:cs="Inter"/>
                <w:b/>
                <w:i w:val="0"/>
                <w:color w:val="FFFFFF"/>
                <w:sz w:val="19"/>
              </w:rPr>
              <w:t>Actual</w:t>
            </w:r>
          </w:p>
        </w:tc>
        <w:tc>
          <w:tcPr>
            <w:tcW w:type="dxa" w:w="1872"/>
            <w:shd w:fill="1B365D"/>
          </w:tcPr>
          <w:p>
            <w:r/>
            <w:r>
              <w:rPr>
                <w:rFonts w:ascii="Inter" w:hAnsi="Inter" w:cs="Inter"/>
                <w:b/>
                <w:i w:val="0"/>
                <w:color w:val="FFFFFF"/>
                <w:sz w:val="19"/>
              </w:rPr>
              <w:t>Achievement Rate</w:t>
            </w:r>
          </w:p>
        </w:tc>
        <w:tc>
          <w:tcPr>
            <w:tcW w:type="dxa" w:w="1872"/>
            <w:shd w:fill="1B365D"/>
          </w:tcPr>
          <w:p>
            <w:r/>
            <w:r>
              <w:rPr>
                <w:rFonts w:ascii="Inter" w:hAnsi="Inter" w:cs="Inter"/>
                <w:b/>
                <w:i w:val="0"/>
                <w:color w:val="FFFFFF"/>
                <w:sz w:val="19"/>
              </w:rPr>
              <w:t>Key Issue</w:t>
            </w:r>
          </w:p>
        </w:tc>
      </w:tr>
      <w:tr>
        <w:tc>
          <w:tcPr>
            <w:tcW w:type="dxa" w:w="1872"/>
          </w:tcPr>
          <w:p>
            <w:r/>
            <w:r>
              <w:rPr>
                <w:rFonts w:ascii="Inter" w:hAnsi="Inter" w:cs="Inter"/>
                <w:b w:val="0"/>
                <w:i w:val="0"/>
                <w:color w:val="2D2D2D"/>
                <w:sz w:val="19"/>
              </w:rPr>
              <w:t>OBC Community Profiling</w:t>
            </w:r>
          </w:p>
        </w:tc>
        <w:tc>
          <w:tcPr>
            <w:tcW w:type="dxa" w:w="1872"/>
          </w:tcPr>
          <w:p>
            <w:r/>
            <w:r>
              <w:rPr>
                <w:rFonts w:ascii="Inter" w:hAnsi="Inter" w:cs="Inter"/>
                <w:b w:val="0"/>
                <w:i w:val="0"/>
                <w:color w:val="2D2D2D"/>
                <w:sz w:val="19"/>
              </w:rPr>
              <w:t>5 provinces profiled</w:t>
            </w:r>
          </w:p>
        </w:tc>
        <w:tc>
          <w:tcPr>
            <w:tcW w:type="dxa" w:w="1872"/>
          </w:tcPr>
          <w:p>
            <w:r/>
            <w:r>
              <w:rPr>
                <w:rFonts w:ascii="Inter" w:hAnsi="Inter" w:cs="Inter"/>
                <w:b w:val="0"/>
                <w:i w:val="0"/>
                <w:color w:val="2D2D2D"/>
                <w:sz w:val="19"/>
              </w:rPr>
              <w:t>4 provinces</w:t>
            </w:r>
          </w:p>
        </w:tc>
        <w:tc>
          <w:tcPr>
            <w:tcW w:type="dxa" w:w="1872"/>
          </w:tcPr>
          <w:p>
            <w:r/>
            <w:r>
              <w:rPr>
                <w:rFonts w:ascii="Inter" w:hAnsi="Inter" w:cs="Inter"/>
                <w:b w:val="0"/>
                <w:i w:val="0"/>
                <w:color w:val="2D2D2D"/>
                <w:sz w:val="19"/>
              </w:rPr>
              <w:t>80%</w:t>
            </w:r>
          </w:p>
        </w:tc>
        <w:tc>
          <w:tcPr>
            <w:tcW w:type="dxa" w:w="1872"/>
          </w:tcPr>
          <w:p>
            <w:r/>
            <w:r>
              <w:rPr>
                <w:rFonts w:ascii="Inter" w:hAnsi="Inter" w:cs="Inter"/>
                <w:b w:val="0"/>
                <w:i w:val="0"/>
                <w:color w:val="2D2D2D"/>
                <w:sz w:val="19"/>
              </w:rPr>
              <w:t>Profiling in Davao del Norte delayed due to coordination gaps with provincial LGU</w:t>
            </w:r>
          </w:p>
        </w:tc>
      </w:tr>
      <w:tr>
        <w:tc>
          <w:tcPr>
            <w:tcW w:type="dxa" w:w="1872"/>
            <w:shd w:fill="F0F3F6"/>
          </w:tcPr>
          <w:p>
            <w:r/>
            <w:r>
              <w:rPr>
                <w:rFonts w:ascii="Inter" w:hAnsi="Inter" w:cs="Inter"/>
                <w:b w:val="0"/>
                <w:i w:val="0"/>
                <w:color w:val="2D2D2D"/>
                <w:sz w:val="19"/>
              </w:rPr>
              <w:t>LGU/NGA Coordination Meetings</w:t>
            </w:r>
          </w:p>
        </w:tc>
        <w:tc>
          <w:tcPr>
            <w:tcW w:type="dxa" w:w="1872"/>
            <w:shd w:fill="F0F3F6"/>
          </w:tcPr>
          <w:p>
            <w:r/>
            <w:r>
              <w:rPr>
                <w:rFonts w:ascii="Inter" w:hAnsi="Inter" w:cs="Inter"/>
                <w:b w:val="0"/>
                <w:i w:val="0"/>
                <w:color w:val="2D2D2D"/>
                <w:sz w:val="19"/>
              </w:rPr>
              <w:t>12 one-on-one coordination meetings with BMOAs</w:t>
            </w:r>
          </w:p>
        </w:tc>
        <w:tc>
          <w:tcPr>
            <w:tcW w:type="dxa" w:w="1872"/>
            <w:shd w:fill="F0F3F6"/>
          </w:tcPr>
          <w:p>
            <w:r/>
            <w:r>
              <w:rPr>
                <w:rFonts w:ascii="Inter" w:hAnsi="Inter" w:cs="Inter"/>
                <w:b w:val="0"/>
                <w:i w:val="0"/>
                <w:color w:val="2D2D2D"/>
                <w:sz w:val="19"/>
              </w:rPr>
              <w:t>10 meetings</w:t>
            </w:r>
          </w:p>
        </w:tc>
        <w:tc>
          <w:tcPr>
            <w:tcW w:type="dxa" w:w="1872"/>
            <w:shd w:fill="F0F3F6"/>
          </w:tcPr>
          <w:p>
            <w:r/>
            <w:r>
              <w:rPr>
                <w:rFonts w:ascii="Inter" w:hAnsi="Inter" w:cs="Inter"/>
                <w:b w:val="0"/>
                <w:i w:val="0"/>
                <w:color w:val="2D2D2D"/>
                <w:sz w:val="19"/>
              </w:rPr>
              <w:t>83%</w:t>
            </w:r>
          </w:p>
        </w:tc>
        <w:tc>
          <w:tcPr>
            <w:tcW w:type="dxa" w:w="1872"/>
            <w:shd w:fill="F0F3F6"/>
          </w:tcPr>
          <w:p>
            <w:r/>
            <w:r>
              <w:rPr>
                <w:rFonts w:ascii="Inter" w:hAnsi="Inter" w:cs="Inter"/>
                <w:b w:val="0"/>
                <w:i w:val="0"/>
                <w:color w:val="2D2D2D"/>
                <w:sz w:val="19"/>
              </w:rPr>
              <w:t>Two target agencies had scheduling conflicts in Q4</w:t>
            </w:r>
          </w:p>
        </w:tc>
      </w:tr>
      <w:tr>
        <w:tc>
          <w:tcPr>
            <w:tcW w:type="dxa" w:w="1872"/>
          </w:tcPr>
          <w:p>
            <w:r/>
            <w:r>
              <w:rPr>
                <w:rFonts w:ascii="Inter" w:hAnsi="Inter" w:cs="Inter"/>
                <w:b w:val="0"/>
                <w:i w:val="0"/>
                <w:color w:val="2D2D2D"/>
                <w:sz w:val="19"/>
              </w:rPr>
              <w:t>FGDs on OBC Service Access</w:t>
            </w:r>
          </w:p>
        </w:tc>
        <w:tc>
          <w:tcPr>
            <w:tcW w:type="dxa" w:w="1872"/>
          </w:tcPr>
          <w:p>
            <w:r/>
            <w:r>
              <w:rPr>
                <w:rFonts w:ascii="Inter" w:hAnsi="Inter" w:cs="Inter"/>
                <w:b w:val="0"/>
                <w:i w:val="0"/>
                <w:color w:val="2D2D2D"/>
                <w:sz w:val="19"/>
              </w:rPr>
              <w:t>6 FGDs conducted</w:t>
            </w:r>
          </w:p>
        </w:tc>
        <w:tc>
          <w:tcPr>
            <w:tcW w:type="dxa" w:w="1872"/>
          </w:tcPr>
          <w:p>
            <w:r/>
            <w:r>
              <w:rPr>
                <w:rFonts w:ascii="Inter" w:hAnsi="Inter" w:cs="Inter"/>
                <w:b w:val="0"/>
                <w:i w:val="0"/>
                <w:color w:val="2D2D2D"/>
                <w:sz w:val="19"/>
              </w:rPr>
              <w:t>6 FGDs</w:t>
            </w:r>
          </w:p>
        </w:tc>
        <w:tc>
          <w:tcPr>
            <w:tcW w:type="dxa" w:w="1872"/>
          </w:tcPr>
          <w:p>
            <w:r/>
            <w:r>
              <w:rPr>
                <w:rFonts w:ascii="Inter" w:hAnsi="Inter" w:cs="Inter"/>
                <w:b w:val="0"/>
                <w:i w:val="0"/>
                <w:color w:val="2D2D2D"/>
                <w:sz w:val="19"/>
              </w:rPr>
              <w:t>100%</w:t>
            </w:r>
          </w:p>
        </w:tc>
        <w:tc>
          <w:tcPr>
            <w:tcW w:type="dxa" w:w="1872"/>
          </w:tcPr>
          <w:p>
            <w:r/>
            <w:r>
              <w:rPr>
                <w:rFonts w:ascii="Inter" w:hAnsi="Inter" w:cs="Inter"/>
                <w:b w:val="0"/>
                <w:i w:val="0"/>
                <w:color w:val="2D2D2D"/>
                <w:sz w:val="19"/>
              </w:rPr>
              <w:t>On target; strong community participation in all sessions</w:t>
            </w:r>
          </w:p>
        </w:tc>
      </w:tr>
    </w:tbl>
    <w:p/>
    <w:p>
      <w:pPr>
        <w:spacing w:after="120" w:line="276" w:lineRule="auto"/>
      </w:pPr>
      <w:r>
        <w:rPr>
          <w:rFonts w:ascii="Inter" w:hAnsi="Inter" w:cs="Inter"/>
          <w:b w:val="0"/>
          <w:i w:val="0"/>
          <w:color w:val="2D2D2D"/>
          <w:sz w:val="22"/>
        </w:rPr>
        <w:t>Lessons from FY 2026: Community profiling requires advance coordination agreements with LGUs before field teams are deployed — OOBC should formalize MOUs with target LGUs in the quarter prior to profiling. Coordination meetings with BMOAs and NGAs should be scheduled in Q1 and Q2 to avoid year-end congestion. FGD participation was highest when local Bangsamoro civil society organizations were engaged as co-conveners.</w:t>
      </w:r>
    </w:p>
    <w:p>
      <w:pPr>
        <w:spacing w:after="120" w:line="276" w:lineRule="auto"/>
      </w:pPr>
      <w:r>
        <w:rPr>
          <w:rFonts w:ascii="Inter" w:hAnsi="Inter" w:cs="Inter"/>
          <w:b w:val="0"/>
          <w:i w:val="0"/>
          <w:color w:val="2D2D2D"/>
          <w:sz w:val="22"/>
        </w:rPr>
      </w:r>
      <w:r>
        <w:rPr>
          <w:rFonts w:ascii="Inter" w:hAnsi="Inter" w:cs="Inter"/>
          <w:b/>
          <w:i w:val="0"/>
          <w:color w:val="2D2D2D"/>
          <w:sz w:val="22"/>
        </w:rPr>
        <w:t>FY 2027 Annual Targets and Quarterly Milestones</w:t>
      </w:r>
      <w:r>
        <w:rPr>
          <w:rFonts w:ascii="Inter" w:hAnsi="Inter" w:cs="Inter"/>
          <w:b w:val="0"/>
          <w:i w:val="0"/>
          <w:color w:val="2D2D2D"/>
          <w:sz w:val="22"/>
        </w:rPr>
      </w:r>
    </w:p>
    <w:p>
      <w:pPr>
        <w:spacing w:after="120" w:line="276" w:lineRule="auto"/>
      </w:pPr>
      <w:r>
        <w:rPr>
          <w:rFonts w:ascii="Inter" w:hAnsi="Inter" w:cs="Inter"/>
          <w:b w:val="0"/>
          <w:i w:val="0"/>
          <w:color w:val="2D2D2D"/>
          <w:sz w:val="22"/>
        </w:rPr>
        <w:t>OOBC's FY 2027 budget ceiling communication from MFBM sets a ceiling of PhP 22,000,000 for the Office's total operations. Given the strategic plan targets and lessons from FY 2026, OOBC sets its FY 2027 priorities as: completing the OBC community profiling to cover all target provinces, formalizing coordination agreements with 5 additional LGUs and 3 NGAs, and conducting targeted FGDs on service access and vulnerable sector needs.</w:t>
      </w:r>
    </w:p>
    <w:p>
      <w:pPr>
        <w:spacing w:after="120" w:line="276" w:lineRule="auto"/>
      </w:pPr>
      <w:r>
        <w:rPr>
          <w:rFonts w:ascii="Inter" w:hAnsi="Inter" w:cs="Inter"/>
          <w:b w:val="0"/>
          <w:i w:val="0"/>
          <w:color w:val="2D2D2D"/>
          <w:sz w:val="22"/>
        </w:rPr>
      </w:r>
      <w:r>
        <w:rPr>
          <w:rFonts w:ascii="Inter" w:hAnsi="Inter" w:cs="Inter"/>
          <w:b/>
          <w:i w:val="0"/>
          <w:color w:val="2D2D2D"/>
          <w:sz w:val="22"/>
        </w:rPr>
        <w:t>AWP Excerpt (FY 2027)</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B365D"/>
          </w:tcPr>
          <w:p>
            <w:r/>
            <w:r>
              <w:rPr>
                <w:rFonts w:ascii="Inter" w:hAnsi="Inter" w:cs="Inter"/>
                <w:b/>
                <w:i w:val="0"/>
                <w:color w:val="FFFFFF"/>
                <w:sz w:val="19"/>
              </w:rPr>
              <w:t>PPA Code</w:t>
            </w:r>
          </w:p>
        </w:tc>
        <w:tc>
          <w:tcPr>
            <w:tcW w:type="dxa" w:w="1040"/>
            <w:shd w:fill="1B365D"/>
          </w:tcPr>
          <w:p>
            <w:r/>
            <w:r>
              <w:rPr>
                <w:rFonts w:ascii="Inter" w:hAnsi="Inter" w:cs="Inter"/>
                <w:b/>
                <w:i w:val="0"/>
                <w:color w:val="FFFFFF"/>
                <w:sz w:val="19"/>
              </w:rPr>
              <w:t>PPA Name</w:t>
            </w:r>
          </w:p>
        </w:tc>
        <w:tc>
          <w:tcPr>
            <w:tcW w:type="dxa" w:w="1040"/>
            <w:shd w:fill="1B365D"/>
          </w:tcPr>
          <w:p>
            <w:r/>
            <w:r>
              <w:rPr>
                <w:rFonts w:ascii="Inter" w:hAnsi="Inter" w:cs="Inter"/>
                <w:b/>
                <w:i w:val="0"/>
                <w:color w:val="FFFFFF"/>
                <w:sz w:val="19"/>
              </w:rPr>
              <w:t>Annual Target</w:t>
            </w:r>
          </w:p>
        </w:tc>
        <w:tc>
          <w:tcPr>
            <w:tcW w:type="dxa" w:w="1040"/>
            <w:shd w:fill="1B365D"/>
          </w:tcPr>
          <w:p>
            <w:r/>
            <w:r>
              <w:rPr>
                <w:rFonts w:ascii="Inter" w:hAnsi="Inter" w:cs="Inter"/>
                <w:b/>
                <w:i w:val="0"/>
                <w:color w:val="FFFFFF"/>
                <w:sz w:val="19"/>
              </w:rPr>
              <w:t>Q1</w:t>
            </w:r>
          </w:p>
        </w:tc>
        <w:tc>
          <w:tcPr>
            <w:tcW w:type="dxa" w:w="1040"/>
            <w:shd w:fill="1B365D"/>
          </w:tcPr>
          <w:p>
            <w:r/>
            <w:r>
              <w:rPr>
                <w:rFonts w:ascii="Inter" w:hAnsi="Inter" w:cs="Inter"/>
                <w:b/>
                <w:i w:val="0"/>
                <w:color w:val="FFFFFF"/>
                <w:sz w:val="19"/>
              </w:rPr>
              <w:t>Q2</w:t>
            </w:r>
          </w:p>
        </w:tc>
        <w:tc>
          <w:tcPr>
            <w:tcW w:type="dxa" w:w="1040"/>
            <w:shd w:fill="1B365D"/>
          </w:tcPr>
          <w:p>
            <w:r/>
            <w:r>
              <w:rPr>
                <w:rFonts w:ascii="Inter" w:hAnsi="Inter" w:cs="Inter"/>
                <w:b/>
                <w:i w:val="0"/>
                <w:color w:val="FFFFFF"/>
                <w:sz w:val="19"/>
              </w:rPr>
              <w:t>Q3</w:t>
            </w:r>
          </w:p>
        </w:tc>
        <w:tc>
          <w:tcPr>
            <w:tcW w:type="dxa" w:w="1040"/>
            <w:shd w:fill="1B365D"/>
          </w:tcPr>
          <w:p>
            <w:r/>
            <w:r>
              <w:rPr>
                <w:rFonts w:ascii="Inter" w:hAnsi="Inter" w:cs="Inter"/>
                <w:b/>
                <w:i w:val="0"/>
                <w:color w:val="FFFFFF"/>
                <w:sz w:val="19"/>
              </w:rPr>
              <w:t>Q4</w:t>
            </w:r>
          </w:p>
        </w:tc>
        <w:tc>
          <w:tcPr>
            <w:tcW w:type="dxa" w:w="1040"/>
            <w:shd w:fill="1B365D"/>
          </w:tcPr>
          <w:p>
            <w:r/>
            <w:r>
              <w:rPr>
                <w:rFonts w:ascii="Inter" w:hAnsi="Inter" w:cs="Inter"/>
                <w:b/>
                <w:i w:val="0"/>
                <w:color w:val="FFFFFF"/>
                <w:sz w:val="19"/>
              </w:rPr>
              <w:t>Responsible Unit</w:t>
            </w:r>
          </w:p>
        </w:tc>
        <w:tc>
          <w:tcPr>
            <w:tcW w:type="dxa" w:w="1040"/>
            <w:shd w:fill="1B365D"/>
          </w:tcPr>
          <w:p>
            <w:r/>
            <w:r>
              <w:rPr>
                <w:rFonts w:ascii="Inter" w:hAnsi="Inter" w:cs="Inter"/>
                <w:b/>
                <w:i w:val="0"/>
                <w:color w:val="FFFFFF"/>
                <w:sz w:val="19"/>
              </w:rPr>
              <w:t>Budget (PhP)</w:t>
            </w:r>
          </w:p>
        </w:tc>
      </w:tr>
      <w:tr>
        <w:tc>
          <w:tcPr>
            <w:tcW w:type="dxa" w:w="1040"/>
          </w:tcPr>
          <w:p>
            <w:r/>
            <w:r>
              <w:rPr>
                <w:rFonts w:ascii="Inter" w:hAnsi="Inter" w:cs="Inter"/>
                <w:b w:val="0"/>
                <w:i w:val="0"/>
                <w:color w:val="2D2D2D"/>
                <w:sz w:val="19"/>
              </w:rPr>
              <w:t>OBC-01</w:t>
            </w:r>
          </w:p>
        </w:tc>
        <w:tc>
          <w:tcPr>
            <w:tcW w:type="dxa" w:w="1040"/>
          </w:tcPr>
          <w:p>
            <w:r/>
            <w:r>
              <w:rPr>
                <w:rFonts w:ascii="Inter" w:hAnsi="Inter" w:cs="Inter"/>
                <w:b w:val="0"/>
                <w:i w:val="0"/>
                <w:color w:val="2D2D2D"/>
                <w:sz w:val="19"/>
              </w:rPr>
              <w:t>OBC Community Profiling Program</w:t>
            </w:r>
          </w:p>
        </w:tc>
        <w:tc>
          <w:tcPr>
            <w:tcW w:type="dxa" w:w="1040"/>
          </w:tcPr>
          <w:p>
            <w:r/>
            <w:r>
              <w:rPr>
                <w:rFonts w:ascii="Inter" w:hAnsi="Inter" w:cs="Inter"/>
                <w:b w:val="0"/>
                <w:i w:val="0"/>
                <w:color w:val="2D2D2D"/>
                <w:sz w:val="19"/>
              </w:rPr>
              <w:t>6 provinces profiled; database updated</w:t>
            </w:r>
          </w:p>
        </w:tc>
        <w:tc>
          <w:tcPr>
            <w:tcW w:type="dxa" w:w="1040"/>
          </w:tcPr>
          <w:p>
            <w:r/>
            <w:r>
              <w:rPr>
                <w:rFonts w:ascii="Inter" w:hAnsi="Inter" w:cs="Inter"/>
                <w:b w:val="0"/>
                <w:i w:val="0"/>
                <w:color w:val="2D2D2D"/>
                <w:sz w:val="19"/>
              </w:rPr>
              <w:t>Profiling instruments finalized; MOUs with 3 LGUs signed</w:t>
            </w:r>
          </w:p>
        </w:tc>
        <w:tc>
          <w:tcPr>
            <w:tcW w:type="dxa" w:w="1040"/>
          </w:tcPr>
          <w:p>
            <w:r/>
            <w:r>
              <w:rPr>
                <w:rFonts w:ascii="Inter" w:hAnsi="Inter" w:cs="Inter"/>
                <w:b w:val="0"/>
                <w:i w:val="0"/>
                <w:color w:val="2D2D2D"/>
                <w:sz w:val="19"/>
              </w:rPr>
              <w:t>Profiling completed in 3 provinces; data encoded</w:t>
            </w:r>
          </w:p>
        </w:tc>
        <w:tc>
          <w:tcPr>
            <w:tcW w:type="dxa" w:w="1040"/>
          </w:tcPr>
          <w:p>
            <w:r/>
            <w:r>
              <w:rPr>
                <w:rFonts w:ascii="Inter" w:hAnsi="Inter" w:cs="Inter"/>
                <w:b w:val="0"/>
                <w:i w:val="0"/>
                <w:color w:val="2D2D2D"/>
                <w:sz w:val="19"/>
              </w:rPr>
              <w:t>Profiling completed in 3 additional provinces; data encoded</w:t>
            </w:r>
          </w:p>
        </w:tc>
        <w:tc>
          <w:tcPr>
            <w:tcW w:type="dxa" w:w="1040"/>
          </w:tcPr>
          <w:p>
            <w:r/>
            <w:r>
              <w:rPr>
                <w:rFonts w:ascii="Inter" w:hAnsi="Inter" w:cs="Inter"/>
                <w:b w:val="0"/>
                <w:i w:val="0"/>
                <w:color w:val="2D2D2D"/>
                <w:sz w:val="19"/>
              </w:rPr>
              <w:t>Database consolidated; validation workshops with communities</w:t>
            </w:r>
          </w:p>
        </w:tc>
        <w:tc>
          <w:tcPr>
            <w:tcW w:type="dxa" w:w="1040"/>
          </w:tcPr>
          <w:p>
            <w:r/>
            <w:r>
              <w:rPr>
                <w:rFonts w:ascii="Inter" w:hAnsi="Inter" w:cs="Inter"/>
                <w:b w:val="0"/>
                <w:i w:val="0"/>
                <w:color w:val="2D2D2D"/>
                <w:sz w:val="19"/>
              </w:rPr>
              <w:t>Programs Division — Community Profiling Team</w:t>
            </w:r>
          </w:p>
        </w:tc>
        <w:tc>
          <w:tcPr>
            <w:tcW w:type="dxa" w:w="1040"/>
          </w:tcPr>
          <w:p>
            <w:r/>
            <w:r>
              <w:rPr>
                <w:rFonts w:ascii="Inter" w:hAnsi="Inter" w:cs="Inter"/>
                <w:b w:val="0"/>
                <w:i w:val="0"/>
                <w:color w:val="2D2D2D"/>
                <w:sz w:val="19"/>
              </w:rPr>
              <w:t>4,800,000</w:t>
            </w:r>
          </w:p>
        </w:tc>
      </w:tr>
      <w:tr>
        <w:tc>
          <w:tcPr>
            <w:tcW w:type="dxa" w:w="1040"/>
            <w:shd w:fill="F0F3F6"/>
          </w:tcPr>
          <w:p>
            <w:r/>
            <w:r>
              <w:rPr>
                <w:rFonts w:ascii="Inter" w:hAnsi="Inter" w:cs="Inter"/>
                <w:b w:val="0"/>
                <w:i w:val="0"/>
                <w:color w:val="2D2D2D"/>
                <w:sz w:val="19"/>
              </w:rPr>
              <w:t>OBC-02</w:t>
            </w:r>
          </w:p>
        </w:tc>
        <w:tc>
          <w:tcPr>
            <w:tcW w:type="dxa" w:w="1040"/>
            <w:shd w:fill="F0F3F6"/>
          </w:tcPr>
          <w:p>
            <w:r/>
            <w:r>
              <w:rPr>
                <w:rFonts w:ascii="Inter" w:hAnsi="Inter" w:cs="Inter"/>
                <w:b w:val="0"/>
                <w:i w:val="0"/>
                <w:color w:val="2D2D2D"/>
                <w:sz w:val="19"/>
              </w:rPr>
              <w:t>LGU/NGA Coordination Program</w:t>
            </w:r>
          </w:p>
        </w:tc>
        <w:tc>
          <w:tcPr>
            <w:tcW w:type="dxa" w:w="1040"/>
            <w:shd w:fill="F0F3F6"/>
          </w:tcPr>
          <w:p>
            <w:r/>
            <w:r>
              <w:rPr>
                <w:rFonts w:ascii="Inter" w:hAnsi="Inter" w:cs="Inter"/>
                <w:b w:val="0"/>
                <w:i w:val="0"/>
                <w:color w:val="2D2D2D"/>
                <w:sz w:val="19"/>
              </w:rPr>
              <w:t>5 MOUs/MOAs with LGUs; 3 MOAs with NGAs</w:t>
            </w:r>
          </w:p>
        </w:tc>
        <w:tc>
          <w:tcPr>
            <w:tcW w:type="dxa" w:w="1040"/>
            <w:shd w:fill="F0F3F6"/>
          </w:tcPr>
          <w:p>
            <w:r/>
            <w:r>
              <w:rPr>
                <w:rFonts w:ascii="Inter" w:hAnsi="Inter" w:cs="Inter"/>
                <w:b w:val="0"/>
                <w:i w:val="0"/>
                <w:color w:val="2D2D2D"/>
                <w:sz w:val="19"/>
              </w:rPr>
              <w:t>Drafting and negotiation of 3 LGU MOUs</w:t>
            </w:r>
          </w:p>
        </w:tc>
        <w:tc>
          <w:tcPr>
            <w:tcW w:type="dxa" w:w="1040"/>
            <w:shd w:fill="F0F3F6"/>
          </w:tcPr>
          <w:p>
            <w:r/>
            <w:r>
              <w:rPr>
                <w:rFonts w:ascii="Inter" w:hAnsi="Inter" w:cs="Inter"/>
                <w:b w:val="0"/>
                <w:i w:val="0"/>
                <w:color w:val="2D2D2D"/>
                <w:sz w:val="19"/>
              </w:rPr>
              <w:t>3 LGU MOUs signed; initiation of 3 NGA MOAs</w:t>
            </w:r>
          </w:p>
        </w:tc>
        <w:tc>
          <w:tcPr>
            <w:tcW w:type="dxa" w:w="1040"/>
            <w:shd w:fill="F0F3F6"/>
          </w:tcPr>
          <w:p>
            <w:r/>
            <w:r>
              <w:rPr>
                <w:rFonts w:ascii="Inter" w:hAnsi="Inter" w:cs="Inter"/>
                <w:b w:val="0"/>
                <w:i w:val="0"/>
                <w:color w:val="2D2D2D"/>
                <w:sz w:val="19"/>
              </w:rPr>
              <w:t>2 additional LGU MOUs signed; 2 NGA MOAs signed</w:t>
            </w:r>
          </w:p>
        </w:tc>
        <w:tc>
          <w:tcPr>
            <w:tcW w:type="dxa" w:w="1040"/>
            <w:shd w:fill="F0F3F6"/>
          </w:tcPr>
          <w:p>
            <w:r/>
            <w:r>
              <w:rPr>
                <w:rFonts w:ascii="Inter" w:hAnsi="Inter" w:cs="Inter"/>
                <w:b w:val="0"/>
                <w:i w:val="0"/>
                <w:color w:val="2D2D2D"/>
                <w:sz w:val="19"/>
              </w:rPr>
              <w:t>1 NGA MOA signed; coordination review meeting</w:t>
            </w:r>
          </w:p>
        </w:tc>
        <w:tc>
          <w:tcPr>
            <w:tcW w:type="dxa" w:w="1040"/>
            <w:shd w:fill="F0F3F6"/>
          </w:tcPr>
          <w:p>
            <w:r/>
            <w:r>
              <w:rPr>
                <w:rFonts w:ascii="Inter" w:hAnsi="Inter" w:cs="Inter"/>
                <w:b w:val="0"/>
                <w:i w:val="0"/>
                <w:color w:val="2D2D2D"/>
                <w:sz w:val="19"/>
              </w:rPr>
              <w:t>Coordination and Partnerships Unit</w:t>
            </w:r>
          </w:p>
        </w:tc>
        <w:tc>
          <w:tcPr>
            <w:tcW w:type="dxa" w:w="1040"/>
            <w:shd w:fill="F0F3F6"/>
          </w:tcPr>
          <w:p>
            <w:r/>
            <w:r>
              <w:rPr>
                <w:rFonts w:ascii="Inter" w:hAnsi="Inter" w:cs="Inter"/>
                <w:b w:val="0"/>
                <w:i w:val="0"/>
                <w:color w:val="2D2D2D"/>
                <w:sz w:val="19"/>
              </w:rPr>
              <w:t>2,200,000</w:t>
            </w:r>
          </w:p>
        </w:tc>
      </w:tr>
      <w:tr>
        <w:tc>
          <w:tcPr>
            <w:tcW w:type="dxa" w:w="1040"/>
          </w:tcPr>
          <w:p>
            <w:r/>
            <w:r>
              <w:rPr>
                <w:rFonts w:ascii="Inter" w:hAnsi="Inter" w:cs="Inter"/>
                <w:b w:val="0"/>
                <w:i w:val="0"/>
                <w:color w:val="2D2D2D"/>
                <w:sz w:val="19"/>
              </w:rPr>
              <w:t>OBC-03</w:t>
            </w:r>
          </w:p>
        </w:tc>
        <w:tc>
          <w:tcPr>
            <w:tcW w:type="dxa" w:w="1040"/>
          </w:tcPr>
          <w:p>
            <w:r/>
            <w:r>
              <w:rPr>
                <w:rFonts w:ascii="Inter" w:hAnsi="Inter" w:cs="Inter"/>
                <w:b w:val="0"/>
                <w:i w:val="0"/>
                <w:color w:val="2D2D2D"/>
                <w:sz w:val="19"/>
              </w:rPr>
              <w:t>Advocacy and Information Program</w:t>
            </w:r>
          </w:p>
        </w:tc>
        <w:tc>
          <w:tcPr>
            <w:tcW w:type="dxa" w:w="1040"/>
          </w:tcPr>
          <w:p>
            <w:r/>
            <w:r>
              <w:rPr>
                <w:rFonts w:ascii="Inter" w:hAnsi="Inter" w:cs="Inter"/>
                <w:b w:val="0"/>
                <w:i w:val="0"/>
                <w:color w:val="2D2D2D"/>
                <w:sz w:val="19"/>
              </w:rPr>
              <w:t>8 FGDs conducted; 2,000 IEC materials distributed</w:t>
            </w:r>
          </w:p>
        </w:tc>
        <w:tc>
          <w:tcPr>
            <w:tcW w:type="dxa" w:w="1040"/>
          </w:tcPr>
          <w:p>
            <w:r/>
            <w:r>
              <w:rPr>
                <w:rFonts w:ascii="Inter" w:hAnsi="Inter" w:cs="Inter"/>
                <w:b w:val="0"/>
                <w:i w:val="0"/>
                <w:color w:val="2D2D2D"/>
                <w:sz w:val="19"/>
              </w:rPr>
              <w:t>FGD on OBC IDPs; FGD on Madrasa support</w:t>
            </w:r>
          </w:p>
        </w:tc>
        <w:tc>
          <w:tcPr>
            <w:tcW w:type="dxa" w:w="1040"/>
          </w:tcPr>
          <w:p>
            <w:r/>
            <w:r>
              <w:rPr>
                <w:rFonts w:ascii="Inter" w:hAnsi="Inter" w:cs="Inter"/>
                <w:b w:val="0"/>
                <w:i w:val="0"/>
                <w:color w:val="2D2D2D"/>
                <w:sz w:val="19"/>
              </w:rPr>
              <w:t>FGD on scholarship access; FGD on request tracking digitalization</w:t>
            </w:r>
          </w:p>
        </w:tc>
        <w:tc>
          <w:tcPr>
            <w:tcW w:type="dxa" w:w="1040"/>
          </w:tcPr>
          <w:p>
            <w:r/>
            <w:r>
              <w:rPr>
                <w:rFonts w:ascii="Inter" w:hAnsi="Inter" w:cs="Inter"/>
                <w:b w:val="0"/>
                <w:i w:val="0"/>
                <w:color w:val="2D2D2D"/>
                <w:sz w:val="19"/>
              </w:rPr>
              <w:t>FGD on Sulu OBCs; FGD on service provision</w:t>
            </w:r>
          </w:p>
        </w:tc>
        <w:tc>
          <w:tcPr>
            <w:tcW w:type="dxa" w:w="1040"/>
          </w:tcPr>
          <w:p>
            <w:r/>
            <w:r>
              <w:rPr>
                <w:rFonts w:ascii="Inter" w:hAnsi="Inter" w:cs="Inter"/>
                <w:b w:val="0"/>
                <w:i w:val="0"/>
                <w:color w:val="2D2D2D"/>
                <w:sz w:val="19"/>
              </w:rPr>
              <w:t>FGD on nationalization of OBC agenda; FGD on localization with LGUs</w:t>
            </w:r>
          </w:p>
        </w:tc>
        <w:tc>
          <w:tcPr>
            <w:tcW w:type="dxa" w:w="1040"/>
          </w:tcPr>
          <w:p>
            <w:r/>
            <w:r>
              <w:rPr>
                <w:rFonts w:ascii="Inter" w:hAnsi="Inter" w:cs="Inter"/>
                <w:b w:val="0"/>
                <w:i w:val="0"/>
                <w:color w:val="2D2D2D"/>
                <w:sz w:val="19"/>
              </w:rPr>
              <w:t>Programs Division — Advocacy Team</w:t>
            </w:r>
          </w:p>
        </w:tc>
        <w:tc>
          <w:tcPr>
            <w:tcW w:type="dxa" w:w="1040"/>
          </w:tcPr>
          <w:p>
            <w:r/>
            <w:r>
              <w:rPr>
                <w:rFonts w:ascii="Inter" w:hAnsi="Inter" w:cs="Inter"/>
                <w:b w:val="0"/>
                <w:i w:val="0"/>
                <w:color w:val="2D2D2D"/>
                <w:sz w:val="19"/>
              </w:rPr>
              <w:t>3,500,000</w:t>
            </w:r>
          </w:p>
        </w:tc>
      </w:tr>
      <w:tr>
        <w:tc>
          <w:tcPr>
            <w:tcW w:type="dxa" w:w="1040"/>
            <w:shd w:fill="F0F3F6"/>
          </w:tcPr>
          <w:p>
            <w:r/>
            <w:r>
              <w:rPr>
                <w:rFonts w:ascii="Inter" w:hAnsi="Inter" w:cs="Inter"/>
                <w:b w:val="0"/>
                <w:i w:val="0"/>
                <w:color w:val="2D2D2D"/>
                <w:sz w:val="19"/>
              </w:rPr>
              <w:t>OBC-04</w:t>
            </w:r>
          </w:p>
        </w:tc>
        <w:tc>
          <w:tcPr>
            <w:tcW w:type="dxa" w:w="1040"/>
            <w:shd w:fill="F0F3F6"/>
          </w:tcPr>
          <w:p>
            <w:r/>
            <w:r>
              <w:rPr>
                <w:rFonts w:ascii="Inter" w:hAnsi="Inter" w:cs="Inter"/>
                <w:b w:val="0"/>
                <w:i w:val="0"/>
                <w:color w:val="2D2D2D"/>
                <w:sz w:val="19"/>
              </w:rPr>
              <w:t>Capacity-Building Program</w:t>
            </w:r>
          </w:p>
        </w:tc>
        <w:tc>
          <w:tcPr>
            <w:tcW w:type="dxa" w:w="1040"/>
            <w:shd w:fill="F0F3F6"/>
          </w:tcPr>
          <w:p>
            <w:r/>
            <w:r>
              <w:rPr>
                <w:rFonts w:ascii="Inter" w:hAnsi="Inter" w:cs="Inter"/>
                <w:b w:val="0"/>
                <w:i w:val="0"/>
                <w:color w:val="2D2D2D"/>
                <w:sz w:val="19"/>
              </w:rPr>
              <w:t>20 OOBC staff and partners trained</w:t>
            </w:r>
          </w:p>
        </w:tc>
        <w:tc>
          <w:tcPr>
            <w:tcW w:type="dxa" w:w="1040"/>
            <w:shd w:fill="F0F3F6"/>
          </w:tcPr>
          <w:p>
            <w:r/>
            <w:r>
              <w:rPr>
                <w:rFonts w:ascii="Inter" w:hAnsi="Inter" w:cs="Inter"/>
                <w:b w:val="0"/>
                <w:i w:val="0"/>
                <w:color w:val="2D2D2D"/>
                <w:sz w:val="19"/>
              </w:rPr>
              <w:t>Training needs assessment completed</w:t>
            </w:r>
          </w:p>
        </w:tc>
        <w:tc>
          <w:tcPr>
            <w:tcW w:type="dxa" w:w="1040"/>
            <w:shd w:fill="F0F3F6"/>
          </w:tcPr>
          <w:p>
            <w:r/>
            <w:r>
              <w:rPr>
                <w:rFonts w:ascii="Inter" w:hAnsi="Inter" w:cs="Inter"/>
                <w:b w:val="0"/>
                <w:i w:val="0"/>
                <w:color w:val="2D2D2D"/>
                <w:sz w:val="19"/>
              </w:rPr>
              <w:t>Training on community profiling tools (10 staff)</w:t>
            </w:r>
          </w:p>
        </w:tc>
        <w:tc>
          <w:tcPr>
            <w:tcW w:type="dxa" w:w="1040"/>
            <w:shd w:fill="F0F3F6"/>
          </w:tcPr>
          <w:p>
            <w:r/>
            <w:r>
              <w:rPr>
                <w:rFonts w:ascii="Inter" w:hAnsi="Inter" w:cs="Inter"/>
                <w:b w:val="0"/>
                <w:i w:val="0"/>
                <w:color w:val="2D2D2D"/>
                <w:sz w:val="19"/>
              </w:rPr>
              <w:t>Training on data management and PSRRS (10 staff)</w:t>
            </w:r>
          </w:p>
        </w:tc>
        <w:tc>
          <w:tcPr>
            <w:tcW w:type="dxa" w:w="1040"/>
            <w:shd w:fill="F0F3F6"/>
          </w:tcPr>
          <w:p>
            <w:r/>
            <w:r>
              <w:rPr>
                <w:rFonts w:ascii="Inter" w:hAnsi="Inter" w:cs="Inter"/>
                <w:b w:val="0"/>
                <w:i w:val="0"/>
                <w:color w:val="2D2D2D"/>
                <w:sz w:val="19"/>
              </w:rPr>
              <w:t>Training evaluation and competency assessment</w:t>
            </w:r>
          </w:p>
        </w:tc>
        <w:tc>
          <w:tcPr>
            <w:tcW w:type="dxa" w:w="1040"/>
            <w:shd w:fill="F0F3F6"/>
          </w:tcPr>
          <w:p>
            <w:r/>
            <w:r>
              <w:rPr>
                <w:rFonts w:ascii="Inter" w:hAnsi="Inter" w:cs="Inter"/>
                <w:b w:val="0"/>
                <w:i w:val="0"/>
                <w:color w:val="2D2D2D"/>
                <w:sz w:val="19"/>
              </w:rPr>
              <w:t>Administrative Unit</w:t>
            </w:r>
          </w:p>
        </w:tc>
        <w:tc>
          <w:tcPr>
            <w:tcW w:type="dxa" w:w="1040"/>
            <w:shd w:fill="F0F3F6"/>
          </w:tcPr>
          <w:p>
            <w:r/>
            <w:r>
              <w:rPr>
                <w:rFonts w:ascii="Inter" w:hAnsi="Inter" w:cs="Inter"/>
                <w:b w:val="0"/>
                <w:i w:val="0"/>
                <w:color w:val="2D2D2D"/>
                <w:sz w:val="19"/>
              </w:rPr>
              <w:t>1,800,000</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AFP Excerpt (FY 2027)</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Pr>
          <w:p>
            <w:r/>
            <w:r>
              <w:rPr>
                <w:rFonts w:ascii="Inter" w:hAnsi="Inter" w:cs="Inter"/>
                <w:b/>
                <w:i w:val="0"/>
                <w:color w:val="FFFFFF"/>
                <w:sz w:val="19"/>
              </w:rPr>
              <w:t>PPA Code</w:t>
            </w:r>
          </w:p>
        </w:tc>
        <w:tc>
          <w:tcPr>
            <w:tcW w:type="dxa" w:w="1170"/>
            <w:shd w:fill="1B365D"/>
          </w:tcPr>
          <w:p>
            <w:r/>
            <w:r>
              <w:rPr>
                <w:rFonts w:ascii="Inter" w:hAnsi="Inter" w:cs="Inter"/>
                <w:b/>
                <w:i w:val="0"/>
                <w:color w:val="FFFFFF"/>
                <w:sz w:val="19"/>
              </w:rPr>
              <w:t>PPA Name</w:t>
            </w:r>
          </w:p>
        </w:tc>
        <w:tc>
          <w:tcPr>
            <w:tcW w:type="dxa" w:w="1170"/>
            <w:shd w:fill="1B365D"/>
          </w:tcPr>
          <w:p>
            <w:r/>
            <w:r>
              <w:rPr>
                <w:rFonts w:ascii="Inter" w:hAnsi="Inter" w:cs="Inter"/>
                <w:b/>
                <w:i w:val="0"/>
                <w:color w:val="FFFFFF"/>
                <w:sz w:val="19"/>
              </w:rPr>
              <w:t>PS (PhP)</w:t>
            </w:r>
          </w:p>
        </w:tc>
        <w:tc>
          <w:tcPr>
            <w:tcW w:type="dxa" w:w="1170"/>
            <w:shd w:fill="1B365D"/>
          </w:tcPr>
          <w:p>
            <w:r/>
            <w:r>
              <w:rPr>
                <w:rFonts w:ascii="Inter" w:hAnsi="Inter" w:cs="Inter"/>
                <w:b/>
                <w:i w:val="0"/>
                <w:color w:val="FFFFFF"/>
                <w:sz w:val="19"/>
              </w:rPr>
              <w:t>MOOE (PhP)</w:t>
            </w:r>
          </w:p>
        </w:tc>
        <w:tc>
          <w:tcPr>
            <w:tcW w:type="dxa" w:w="1170"/>
            <w:shd w:fill="1B365D"/>
          </w:tcPr>
          <w:p>
            <w:r/>
            <w:r>
              <w:rPr>
                <w:rFonts w:ascii="Inter" w:hAnsi="Inter" w:cs="Inter"/>
                <w:b/>
                <w:i w:val="0"/>
                <w:color w:val="FFFFFF"/>
                <w:sz w:val="19"/>
              </w:rPr>
              <w:t>CO (PhP)</w:t>
            </w:r>
          </w:p>
        </w:tc>
        <w:tc>
          <w:tcPr>
            <w:tcW w:type="dxa" w:w="1170"/>
            <w:shd w:fill="1B365D"/>
          </w:tcPr>
          <w:p>
            <w:r/>
            <w:r>
              <w:rPr>
                <w:rFonts w:ascii="Inter" w:hAnsi="Inter" w:cs="Inter"/>
                <w:b/>
                <w:i w:val="0"/>
                <w:color w:val="FFFFFF"/>
                <w:sz w:val="19"/>
              </w:rPr>
              <w:t>Total (PhP)</w:t>
            </w:r>
          </w:p>
        </w:tc>
        <w:tc>
          <w:tcPr>
            <w:tcW w:type="dxa" w:w="1170"/>
            <w:shd w:fill="1B365D"/>
          </w:tcPr>
          <w:p>
            <w:r/>
            <w:r>
              <w:rPr>
                <w:rFonts w:ascii="Inter" w:hAnsi="Inter" w:cs="Inter"/>
                <w:b/>
                <w:i w:val="0"/>
                <w:color w:val="FFFFFF"/>
                <w:sz w:val="19"/>
              </w:rPr>
              <w:t>Funding Source</w:t>
            </w:r>
          </w:p>
        </w:tc>
        <w:tc>
          <w:tcPr>
            <w:tcW w:type="dxa" w:w="1170"/>
            <w:shd w:fill="1B365D"/>
          </w:tcPr>
          <w:p>
            <w:r/>
            <w:r>
              <w:rPr>
                <w:rFonts w:ascii="Inter" w:hAnsi="Inter" w:cs="Inter"/>
                <w:b/>
                <w:i w:val="0"/>
                <w:color w:val="FFFFFF"/>
                <w:sz w:val="19"/>
              </w:rPr>
              <w:t>BAA 84 Ref</w:t>
            </w:r>
          </w:p>
        </w:tc>
      </w:tr>
      <w:tr>
        <w:tc>
          <w:tcPr>
            <w:tcW w:type="dxa" w:w="1170"/>
          </w:tcPr>
          <w:p>
            <w:r/>
            <w:r>
              <w:rPr>
                <w:rFonts w:ascii="Inter" w:hAnsi="Inter" w:cs="Inter"/>
                <w:b w:val="0"/>
                <w:i w:val="0"/>
                <w:color w:val="2D2D2D"/>
                <w:sz w:val="19"/>
              </w:rPr>
              <w:t>OBC-01</w:t>
            </w:r>
          </w:p>
        </w:tc>
        <w:tc>
          <w:tcPr>
            <w:tcW w:type="dxa" w:w="1170"/>
          </w:tcPr>
          <w:p>
            <w:r/>
            <w:r>
              <w:rPr>
                <w:rFonts w:ascii="Inter" w:hAnsi="Inter" w:cs="Inter"/>
                <w:b w:val="0"/>
                <w:i w:val="0"/>
                <w:color w:val="2D2D2D"/>
                <w:sz w:val="19"/>
              </w:rPr>
              <w:t>OBC Community Profiling Program</w:t>
            </w:r>
          </w:p>
        </w:tc>
        <w:tc>
          <w:tcPr>
            <w:tcW w:type="dxa" w:w="1170"/>
          </w:tcPr>
          <w:p>
            <w:r/>
            <w:r>
              <w:rPr>
                <w:rFonts w:ascii="Inter" w:hAnsi="Inter" w:cs="Inter"/>
                <w:b w:val="0"/>
                <w:i w:val="0"/>
                <w:color w:val="2D2D2D"/>
                <w:sz w:val="19"/>
              </w:rPr>
              <w:t>1,200,000</w:t>
            </w:r>
          </w:p>
        </w:tc>
        <w:tc>
          <w:tcPr>
            <w:tcW w:type="dxa" w:w="1170"/>
          </w:tcPr>
          <w:p>
            <w:r/>
            <w:r>
              <w:rPr>
                <w:rFonts w:ascii="Inter" w:hAnsi="Inter" w:cs="Inter"/>
                <w:b w:val="0"/>
                <w:i w:val="0"/>
                <w:color w:val="2D2D2D"/>
                <w:sz w:val="19"/>
              </w:rPr>
              <w:t>3,100,000</w:t>
            </w:r>
          </w:p>
        </w:tc>
        <w:tc>
          <w:tcPr>
            <w:tcW w:type="dxa" w:w="1170"/>
          </w:tcPr>
          <w:p>
            <w:r/>
            <w:r>
              <w:rPr>
                <w:rFonts w:ascii="Inter" w:hAnsi="Inter" w:cs="Inter"/>
                <w:b w:val="0"/>
                <w:i w:val="0"/>
                <w:color w:val="2D2D2D"/>
                <w:sz w:val="19"/>
              </w:rPr>
              <w:t>500,000</w:t>
            </w:r>
          </w:p>
        </w:tc>
        <w:tc>
          <w:tcPr>
            <w:tcW w:type="dxa" w:w="1170"/>
          </w:tcPr>
          <w:p>
            <w:r/>
            <w:r>
              <w:rPr>
                <w:rFonts w:ascii="Inter" w:hAnsi="Inter" w:cs="Inter"/>
                <w:b w:val="0"/>
                <w:i w:val="0"/>
                <w:color w:val="2D2D2D"/>
                <w:sz w:val="19"/>
              </w:rPr>
              <w:t>4,800,000</w:t>
            </w:r>
          </w:p>
        </w:tc>
        <w:tc>
          <w:tcPr>
            <w:tcW w:type="dxa" w:w="1170"/>
          </w:tcPr>
          <w:p>
            <w:r/>
            <w:r>
              <w:rPr>
                <w:rFonts w:ascii="Inter" w:hAnsi="Inter" w:cs="Inter"/>
                <w:b w:val="0"/>
                <w:i w:val="0"/>
                <w:color w:val="2D2D2D"/>
                <w:sz w:val="19"/>
              </w:rPr>
              <w:t>Regular Appropriation</w:t>
            </w:r>
          </w:p>
        </w:tc>
        <w:tc>
          <w:tcPr>
            <w:tcW w:type="dxa" w:w="1170"/>
          </w:tcPr>
          <w:p>
            <w:r/>
            <w:r>
              <w:rPr>
                <w:rFonts w:ascii="Inter" w:hAnsi="Inter" w:cs="Inter"/>
                <w:b w:val="0"/>
                <w:i w:val="0"/>
                <w:color w:val="2D2D2D"/>
                <w:sz w:val="19"/>
              </w:rPr>
              <w:t>Sec. 4(ao), (ae), (o)</w:t>
            </w:r>
          </w:p>
        </w:tc>
      </w:tr>
      <w:tr>
        <w:tc>
          <w:tcPr>
            <w:tcW w:type="dxa" w:w="1170"/>
            <w:shd w:fill="F0F3F6"/>
          </w:tcPr>
          <w:p>
            <w:r/>
            <w:r>
              <w:rPr>
                <w:rFonts w:ascii="Inter" w:hAnsi="Inter" w:cs="Inter"/>
                <w:b w:val="0"/>
                <w:i w:val="0"/>
                <w:color w:val="2D2D2D"/>
                <w:sz w:val="19"/>
              </w:rPr>
              <w:t>OBC-02</w:t>
            </w:r>
          </w:p>
        </w:tc>
        <w:tc>
          <w:tcPr>
            <w:tcW w:type="dxa" w:w="1170"/>
            <w:shd w:fill="F0F3F6"/>
          </w:tcPr>
          <w:p>
            <w:r/>
            <w:r>
              <w:rPr>
                <w:rFonts w:ascii="Inter" w:hAnsi="Inter" w:cs="Inter"/>
                <w:b w:val="0"/>
                <w:i w:val="0"/>
                <w:color w:val="2D2D2D"/>
                <w:sz w:val="19"/>
              </w:rPr>
              <w:t>LGU/NGA Coordination Program</w:t>
            </w:r>
          </w:p>
        </w:tc>
        <w:tc>
          <w:tcPr>
            <w:tcW w:type="dxa" w:w="1170"/>
            <w:shd w:fill="F0F3F6"/>
          </w:tcPr>
          <w:p>
            <w:r/>
            <w:r>
              <w:rPr>
                <w:rFonts w:ascii="Inter" w:hAnsi="Inter" w:cs="Inter"/>
                <w:b w:val="0"/>
                <w:i w:val="0"/>
                <w:color w:val="2D2D2D"/>
                <w:sz w:val="19"/>
              </w:rPr>
              <w:t>600,000</w:t>
            </w:r>
          </w:p>
        </w:tc>
        <w:tc>
          <w:tcPr>
            <w:tcW w:type="dxa" w:w="1170"/>
            <w:shd w:fill="F0F3F6"/>
          </w:tcPr>
          <w:p>
            <w:r/>
            <w:r>
              <w:rPr>
                <w:rFonts w:ascii="Inter" w:hAnsi="Inter" w:cs="Inter"/>
                <w:b w:val="0"/>
                <w:i w:val="0"/>
                <w:color w:val="2D2D2D"/>
                <w:sz w:val="19"/>
              </w:rPr>
              <w:t>1,600,000</w:t>
            </w:r>
          </w:p>
        </w:tc>
        <w:tc>
          <w:tcPr>
            <w:tcW w:type="dxa" w:w="1170"/>
            <w:shd w:fill="F0F3F6"/>
          </w:tcPr>
          <w:p>
            <w:r/>
            <w:r>
              <w:rPr>
                <w:rFonts w:ascii="Inter" w:hAnsi="Inter" w:cs="Inter"/>
                <w:b w:val="0"/>
                <w:i w:val="0"/>
                <w:color w:val="2D2D2D"/>
                <w:sz w:val="19"/>
              </w:rPr>
              <w:t>—</w:t>
            </w:r>
          </w:p>
        </w:tc>
        <w:tc>
          <w:tcPr>
            <w:tcW w:type="dxa" w:w="1170"/>
            <w:shd w:fill="F0F3F6"/>
          </w:tcPr>
          <w:p>
            <w:r/>
            <w:r>
              <w:rPr>
                <w:rFonts w:ascii="Inter" w:hAnsi="Inter" w:cs="Inter"/>
                <w:b w:val="0"/>
                <w:i w:val="0"/>
                <w:color w:val="2D2D2D"/>
                <w:sz w:val="19"/>
              </w:rPr>
              <w:t>2,200,000</w:t>
            </w:r>
          </w:p>
        </w:tc>
        <w:tc>
          <w:tcPr>
            <w:tcW w:type="dxa" w:w="1170"/>
            <w:shd w:fill="F0F3F6"/>
          </w:tcPr>
          <w:p>
            <w:r/>
            <w:r>
              <w:rPr>
                <w:rFonts w:ascii="Inter" w:hAnsi="Inter" w:cs="Inter"/>
                <w:b w:val="0"/>
                <w:i w:val="0"/>
                <w:color w:val="2D2D2D"/>
                <w:sz w:val="19"/>
              </w:rPr>
              <w:t>Regular Appropriation</w:t>
            </w:r>
          </w:p>
        </w:tc>
        <w:tc>
          <w:tcPr>
            <w:tcW w:type="dxa" w:w="1170"/>
            <w:shd w:fill="F0F3F6"/>
          </w:tcPr>
          <w:p>
            <w:r/>
            <w:r>
              <w:rPr>
                <w:rFonts w:ascii="Inter" w:hAnsi="Inter" w:cs="Inter"/>
                <w:b w:val="0"/>
                <w:i w:val="0"/>
                <w:color w:val="2D2D2D"/>
                <w:sz w:val="19"/>
              </w:rPr>
              <w:t>Sec. 4(ao), (ae)</w:t>
            </w:r>
          </w:p>
        </w:tc>
      </w:tr>
      <w:tr>
        <w:tc>
          <w:tcPr>
            <w:tcW w:type="dxa" w:w="1170"/>
          </w:tcPr>
          <w:p>
            <w:r/>
            <w:r>
              <w:rPr>
                <w:rFonts w:ascii="Inter" w:hAnsi="Inter" w:cs="Inter"/>
                <w:b w:val="0"/>
                <w:i w:val="0"/>
                <w:color w:val="2D2D2D"/>
                <w:sz w:val="19"/>
              </w:rPr>
              <w:t>OBC-03</w:t>
            </w:r>
          </w:p>
        </w:tc>
        <w:tc>
          <w:tcPr>
            <w:tcW w:type="dxa" w:w="1170"/>
          </w:tcPr>
          <w:p>
            <w:r/>
            <w:r>
              <w:rPr>
                <w:rFonts w:ascii="Inter" w:hAnsi="Inter" w:cs="Inter"/>
                <w:b w:val="0"/>
                <w:i w:val="0"/>
                <w:color w:val="2D2D2D"/>
                <w:sz w:val="19"/>
              </w:rPr>
              <w:t>Advocacy and Information Program</w:t>
            </w:r>
          </w:p>
        </w:tc>
        <w:tc>
          <w:tcPr>
            <w:tcW w:type="dxa" w:w="1170"/>
          </w:tcPr>
          <w:p>
            <w:r/>
            <w:r>
              <w:rPr>
                <w:rFonts w:ascii="Inter" w:hAnsi="Inter" w:cs="Inter"/>
                <w:b w:val="0"/>
                <w:i w:val="0"/>
                <w:color w:val="2D2D2D"/>
                <w:sz w:val="19"/>
              </w:rPr>
              <w:t>800,000</w:t>
            </w:r>
          </w:p>
        </w:tc>
        <w:tc>
          <w:tcPr>
            <w:tcW w:type="dxa" w:w="1170"/>
          </w:tcPr>
          <w:p>
            <w:r/>
            <w:r>
              <w:rPr>
                <w:rFonts w:ascii="Inter" w:hAnsi="Inter" w:cs="Inter"/>
                <w:b w:val="0"/>
                <w:i w:val="0"/>
                <w:color w:val="2D2D2D"/>
                <w:sz w:val="19"/>
              </w:rPr>
              <w:t>2,500,000</w:t>
            </w:r>
          </w:p>
        </w:tc>
        <w:tc>
          <w:tcPr>
            <w:tcW w:type="dxa" w:w="1170"/>
          </w:tcPr>
          <w:p>
            <w:r/>
            <w:r>
              <w:rPr>
                <w:rFonts w:ascii="Inter" w:hAnsi="Inter" w:cs="Inter"/>
                <w:b w:val="0"/>
                <w:i w:val="0"/>
                <w:color w:val="2D2D2D"/>
                <w:sz w:val="19"/>
              </w:rPr>
              <w:t>200,000</w:t>
            </w:r>
          </w:p>
        </w:tc>
        <w:tc>
          <w:tcPr>
            <w:tcW w:type="dxa" w:w="1170"/>
          </w:tcPr>
          <w:p>
            <w:r/>
            <w:r>
              <w:rPr>
                <w:rFonts w:ascii="Inter" w:hAnsi="Inter" w:cs="Inter"/>
                <w:b w:val="0"/>
                <w:i w:val="0"/>
                <w:color w:val="2D2D2D"/>
                <w:sz w:val="19"/>
              </w:rPr>
              <w:t>3,500,000</w:t>
            </w:r>
          </w:p>
        </w:tc>
        <w:tc>
          <w:tcPr>
            <w:tcW w:type="dxa" w:w="1170"/>
          </w:tcPr>
          <w:p>
            <w:r/>
            <w:r>
              <w:rPr>
                <w:rFonts w:ascii="Inter" w:hAnsi="Inter" w:cs="Inter"/>
                <w:b w:val="0"/>
                <w:i w:val="0"/>
                <w:color w:val="2D2D2D"/>
                <w:sz w:val="19"/>
              </w:rPr>
              <w:t>Regular Appropriation</w:t>
            </w:r>
          </w:p>
        </w:tc>
        <w:tc>
          <w:tcPr>
            <w:tcW w:type="dxa" w:w="1170"/>
          </w:tcPr>
          <w:p>
            <w:r/>
            <w:r>
              <w:rPr>
                <w:rFonts w:ascii="Inter" w:hAnsi="Inter" w:cs="Inter"/>
                <w:b w:val="0"/>
                <w:i w:val="0"/>
                <w:color w:val="2D2D2D"/>
                <w:sz w:val="19"/>
              </w:rPr>
              <w:t>Sec. 4(ao), (ae), (o)</w:t>
            </w:r>
          </w:p>
        </w:tc>
      </w:tr>
      <w:tr>
        <w:tc>
          <w:tcPr>
            <w:tcW w:type="dxa" w:w="1170"/>
            <w:shd w:fill="F0F3F6"/>
          </w:tcPr>
          <w:p>
            <w:r/>
            <w:r>
              <w:rPr>
                <w:rFonts w:ascii="Inter" w:hAnsi="Inter" w:cs="Inter"/>
                <w:b w:val="0"/>
                <w:i w:val="0"/>
                <w:color w:val="2D2D2D"/>
                <w:sz w:val="19"/>
              </w:rPr>
              <w:t>OBC-04</w:t>
            </w:r>
          </w:p>
        </w:tc>
        <w:tc>
          <w:tcPr>
            <w:tcW w:type="dxa" w:w="1170"/>
            <w:shd w:fill="F0F3F6"/>
          </w:tcPr>
          <w:p>
            <w:r/>
            <w:r>
              <w:rPr>
                <w:rFonts w:ascii="Inter" w:hAnsi="Inter" w:cs="Inter"/>
                <w:b w:val="0"/>
                <w:i w:val="0"/>
                <w:color w:val="2D2D2D"/>
                <w:sz w:val="19"/>
              </w:rPr>
              <w:t>Capacity-Building Program</w:t>
            </w:r>
          </w:p>
        </w:tc>
        <w:tc>
          <w:tcPr>
            <w:tcW w:type="dxa" w:w="1170"/>
            <w:shd w:fill="F0F3F6"/>
          </w:tcPr>
          <w:p>
            <w:r/>
            <w:r>
              <w:rPr>
                <w:rFonts w:ascii="Inter" w:hAnsi="Inter" w:cs="Inter"/>
                <w:b w:val="0"/>
                <w:i w:val="0"/>
                <w:color w:val="2D2D2D"/>
                <w:sz w:val="19"/>
              </w:rPr>
              <w:t>400,000</w:t>
            </w:r>
          </w:p>
        </w:tc>
        <w:tc>
          <w:tcPr>
            <w:tcW w:type="dxa" w:w="1170"/>
            <w:shd w:fill="F0F3F6"/>
          </w:tcPr>
          <w:p>
            <w:r/>
            <w:r>
              <w:rPr>
                <w:rFonts w:ascii="Inter" w:hAnsi="Inter" w:cs="Inter"/>
                <w:b w:val="0"/>
                <w:i w:val="0"/>
                <w:color w:val="2D2D2D"/>
                <w:sz w:val="19"/>
              </w:rPr>
              <w:t>1,300,000</w:t>
            </w:r>
          </w:p>
        </w:tc>
        <w:tc>
          <w:tcPr>
            <w:tcW w:type="dxa" w:w="1170"/>
            <w:shd w:fill="F0F3F6"/>
          </w:tcPr>
          <w:p>
            <w:r/>
            <w:r>
              <w:rPr>
                <w:rFonts w:ascii="Inter" w:hAnsi="Inter" w:cs="Inter"/>
                <w:b w:val="0"/>
                <w:i w:val="0"/>
                <w:color w:val="2D2D2D"/>
                <w:sz w:val="19"/>
              </w:rPr>
              <w:t>100,000</w:t>
            </w:r>
          </w:p>
        </w:tc>
        <w:tc>
          <w:tcPr>
            <w:tcW w:type="dxa" w:w="1170"/>
            <w:shd w:fill="F0F3F6"/>
          </w:tcPr>
          <w:p>
            <w:r/>
            <w:r>
              <w:rPr>
                <w:rFonts w:ascii="Inter" w:hAnsi="Inter" w:cs="Inter"/>
                <w:b w:val="0"/>
                <w:i w:val="0"/>
                <w:color w:val="2D2D2D"/>
                <w:sz w:val="19"/>
              </w:rPr>
              <w:t>1,800,000</w:t>
            </w:r>
          </w:p>
        </w:tc>
        <w:tc>
          <w:tcPr>
            <w:tcW w:type="dxa" w:w="1170"/>
            <w:shd w:fill="F0F3F6"/>
          </w:tcPr>
          <w:p>
            <w:r/>
            <w:r>
              <w:rPr>
                <w:rFonts w:ascii="Inter" w:hAnsi="Inter" w:cs="Inter"/>
                <w:b w:val="0"/>
                <w:i w:val="0"/>
                <w:color w:val="2D2D2D"/>
                <w:sz w:val="19"/>
              </w:rPr>
              <w:t>Regular Appropriation</w:t>
            </w:r>
          </w:p>
        </w:tc>
        <w:tc>
          <w:tcPr>
            <w:tcW w:type="dxa" w:w="1170"/>
            <w:shd w:fill="F0F3F6"/>
          </w:tcPr>
          <w:p>
            <w:r/>
            <w:r>
              <w:rPr>
                <w:rFonts w:ascii="Inter" w:hAnsi="Inter" w:cs="Inter"/>
                <w:b w:val="0"/>
                <w:i w:val="0"/>
                <w:color w:val="2D2D2D"/>
                <w:sz w:val="19"/>
              </w:rPr>
              <w:t>Sec. 4(ao), (ae), (o)</w:t>
            </w:r>
          </w:p>
        </w:tc>
      </w:tr>
      <w:tr>
        <w:tc>
          <w:tcPr>
            <w:tcW w:type="dxa" w:w="1170"/>
          </w:tcPr>
          <w:p>
            <w:r/>
            <w:r>
              <w:rPr>
                <w:rFonts w:ascii="Inter" w:hAnsi="Inter" w:cs="Inter"/>
                <w:b w:val="0"/>
                <w:i w:val="0"/>
                <w:color w:val="2D2D2D"/>
                <w:sz w:val="19"/>
              </w:rPr>
              <w:t>*(General Administration and Support)*</w:t>
            </w:r>
          </w:p>
        </w:tc>
        <w:tc>
          <w:tcPr>
            <w:tcW w:type="dxa" w:w="1170"/>
          </w:tcPr>
          <w:p>
            <w:r/>
            <w:r>
              <w:rPr>
                <w:rFonts w:ascii="Inter" w:hAnsi="Inter" w:cs="Inter"/>
                <w:b w:val="0"/>
                <w:i w:val="0"/>
                <w:color w:val="2D2D2D"/>
                <w:sz w:val="19"/>
              </w:rPr>
              <w:t>*(PS for 25 staff, utilities, office rent, support operations)*</w:t>
            </w:r>
          </w:p>
        </w:tc>
        <w:tc>
          <w:tcPr>
            <w:tcW w:type="dxa" w:w="1170"/>
          </w:tcPr>
          <w:p>
            <w:r/>
            <w:r>
              <w:rPr>
                <w:rFonts w:ascii="Inter" w:hAnsi="Inter" w:cs="Inter"/>
                <w:b w:val="0"/>
                <w:i w:val="0"/>
                <w:color w:val="2D2D2D"/>
                <w:sz w:val="19"/>
              </w:rPr>
              <w:t>7,500,000</w:t>
            </w:r>
          </w:p>
        </w:tc>
        <w:tc>
          <w:tcPr>
            <w:tcW w:type="dxa" w:w="1170"/>
          </w:tcPr>
          <w:p>
            <w:r/>
            <w:r>
              <w:rPr>
                <w:rFonts w:ascii="Inter" w:hAnsi="Inter" w:cs="Inter"/>
                <w:b w:val="0"/>
                <w:i w:val="0"/>
                <w:color w:val="2D2D2D"/>
                <w:sz w:val="19"/>
              </w:rPr>
              <w:t>1,800,000</w:t>
            </w:r>
          </w:p>
        </w:tc>
        <w:tc>
          <w:tcPr>
            <w:tcW w:type="dxa" w:w="1170"/>
          </w:tcPr>
          <w:p>
            <w:r/>
            <w:r>
              <w:rPr>
                <w:rFonts w:ascii="Inter" w:hAnsi="Inter" w:cs="Inter"/>
                <w:b w:val="0"/>
                <w:i w:val="0"/>
                <w:color w:val="2D2D2D"/>
                <w:sz w:val="19"/>
              </w:rPr>
              <w:t>400,000</w:t>
            </w:r>
          </w:p>
        </w:tc>
        <w:tc>
          <w:tcPr>
            <w:tcW w:type="dxa" w:w="1170"/>
          </w:tcPr>
          <w:p>
            <w:r/>
            <w:r>
              <w:rPr>
                <w:rFonts w:ascii="Inter" w:hAnsi="Inter" w:cs="Inter"/>
                <w:b w:val="0"/>
                <w:i w:val="0"/>
                <w:color w:val="2D2D2D"/>
                <w:sz w:val="19"/>
              </w:rPr>
              <w:t>*9,700,000*</w:t>
            </w:r>
          </w:p>
        </w:tc>
        <w:tc>
          <w:tcPr>
            <w:tcW w:type="dxa" w:w="1170"/>
          </w:tcPr>
          <w:p>
            <w:r/>
            <w:r>
              <w:rPr>
                <w:rFonts w:ascii="Inter" w:hAnsi="Inter" w:cs="Inter"/>
                <w:b w:val="0"/>
                <w:i w:val="0"/>
                <w:color w:val="2D2D2D"/>
                <w:sz w:val="19"/>
              </w:rPr>
              <w:t>Regular Appropriation</w:t>
            </w:r>
          </w:p>
        </w:tc>
        <w:tc>
          <w:tcPr>
            <w:tcW w:type="dxa" w:w="1170"/>
          </w:tcPr>
          <w:p>
            <w:r/>
            <w:r>
              <w:rPr>
                <w:rFonts w:ascii="Inter" w:hAnsi="Inter" w:cs="Inter"/>
                <w:b w:val="0"/>
                <w:i w:val="0"/>
                <w:color w:val="2D2D2D"/>
                <w:sz w:val="19"/>
              </w:rPr>
              <w:t>Sec. 4(ao), (ae), (o)</w:t>
            </w:r>
          </w:p>
        </w:tc>
      </w:tr>
      <w:tr>
        <w:tc>
          <w:tcPr>
            <w:tcW w:type="dxa" w:w="1170"/>
            <w:shd w:fill="F0F3F6"/>
          </w:tcPr>
          <w:p>
            <w:r/>
            <w:r>
              <w:rPr>
                <w:rFonts w:ascii="Inter" w:hAnsi="Inter" w:cs="Inter"/>
                <w:b w:val="0"/>
                <w:i w:val="0"/>
                <w:color w:val="2D2D2D"/>
                <w:sz w:val="19"/>
              </w:rPr>
              <w:t>**TOTAL**</w:t>
            </w:r>
          </w:p>
        </w:tc>
        <w:tc>
          <w:tcPr>
            <w:tcW w:type="dxa" w:w="1170"/>
            <w:shd w:fill="F0F3F6"/>
          </w:tcPr>
          <w:p>
            <w:r/>
            <w:r>
              <w:rPr>
                <w:rFonts w:ascii="Inter" w:hAnsi="Inter" w:cs="Inter"/>
                <w:b w:val="0"/>
                <w:i w:val="0"/>
                <w:color w:val="2D2D2D"/>
                <w:sz w:val="19"/>
              </w:rPr>
              <w:t>**10,500,000**</w:t>
            </w:r>
          </w:p>
        </w:tc>
        <w:tc>
          <w:tcPr>
            <w:tcW w:type="dxa" w:w="1170"/>
            <w:shd w:fill="F0F3F6"/>
          </w:tcPr>
          <w:p>
            <w:r/>
            <w:r>
              <w:rPr>
                <w:rFonts w:ascii="Inter" w:hAnsi="Inter" w:cs="Inter"/>
                <w:b w:val="0"/>
                <w:i w:val="0"/>
                <w:color w:val="2D2D2D"/>
                <w:sz w:val="19"/>
              </w:rPr>
              <w:t>**10,300,000**</w:t>
            </w:r>
          </w:p>
        </w:tc>
        <w:tc>
          <w:tcPr>
            <w:tcW w:type="dxa" w:w="1170"/>
            <w:shd w:fill="F0F3F6"/>
          </w:tcPr>
          <w:p>
            <w:r/>
            <w:r>
              <w:rPr>
                <w:rFonts w:ascii="Inter" w:hAnsi="Inter" w:cs="Inter"/>
                <w:b w:val="0"/>
                <w:i w:val="0"/>
                <w:color w:val="2D2D2D"/>
                <w:sz w:val="19"/>
              </w:rPr>
              <w:t>**1,200,000**</w:t>
            </w:r>
          </w:p>
        </w:tc>
        <w:tc>
          <w:tcPr>
            <w:tcW w:type="dxa" w:w="1170"/>
            <w:shd w:fill="F0F3F6"/>
          </w:tcPr>
          <w:p>
            <w:r/>
            <w:r>
              <w:rPr>
                <w:rFonts w:ascii="Inter" w:hAnsi="Inter" w:cs="Inter"/>
                <w:b w:val="0"/>
                <w:i w:val="0"/>
                <w:color w:val="2D2D2D"/>
                <w:sz w:val="19"/>
              </w:rPr>
              <w:t>**22,000,000**</w:t>
            </w:r>
          </w:p>
        </w:tc>
        <w:tc>
          <w:tcPr>
            <w:tcW w:type="dxa" w:w="1170"/>
          </w:tcPr>
          <w:p/>
        </w:tc>
        <w:tc>
          <w:tcPr>
            <w:tcW w:type="dxa" w:w="1170"/>
          </w:tcPr>
          <w:p/>
        </w:tc>
        <w:tc>
          <w:tcPr>
            <w:tcW w:type="dxa" w:w="117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APP Excerpt (FY 2027)</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Item</w:t>
            </w:r>
          </w:p>
        </w:tc>
        <w:tc>
          <w:tcPr>
            <w:tcW w:type="dxa" w:w="1337"/>
            <w:shd w:fill="1B365D"/>
          </w:tcPr>
          <w:p>
            <w:r/>
            <w:r>
              <w:rPr>
                <w:rFonts w:ascii="Inter" w:hAnsi="Inter" w:cs="Inter"/>
                <w:b/>
                <w:i w:val="0"/>
                <w:color w:val="FFFFFF"/>
                <w:sz w:val="19"/>
              </w:rPr>
              <w:t>PPA Code</w:t>
            </w:r>
          </w:p>
        </w:tc>
        <w:tc>
          <w:tcPr>
            <w:tcW w:type="dxa" w:w="1337"/>
            <w:shd w:fill="1B365D"/>
          </w:tcPr>
          <w:p>
            <w:r/>
            <w:r>
              <w:rPr>
                <w:rFonts w:ascii="Inter" w:hAnsi="Inter" w:cs="Inter"/>
                <w:b/>
                <w:i w:val="0"/>
                <w:color w:val="FFFFFF"/>
                <w:sz w:val="19"/>
              </w:rPr>
              <w:t>Description</w:t>
            </w:r>
          </w:p>
        </w:tc>
        <w:tc>
          <w:tcPr>
            <w:tcW w:type="dxa" w:w="1337"/>
            <w:shd w:fill="1B365D"/>
          </w:tcPr>
          <w:p>
            <w:r/>
            <w:r>
              <w:rPr>
                <w:rFonts w:ascii="Inter" w:hAnsi="Inter" w:cs="Inter"/>
                <w:b/>
                <w:i w:val="0"/>
                <w:color w:val="FFFFFF"/>
                <w:sz w:val="19"/>
              </w:rPr>
              <w:t>Mode of Procurement</w:t>
            </w:r>
          </w:p>
        </w:tc>
        <w:tc>
          <w:tcPr>
            <w:tcW w:type="dxa" w:w="1337"/>
            <w:shd w:fill="1B365D"/>
          </w:tcPr>
          <w:p>
            <w:r/>
            <w:r>
              <w:rPr>
                <w:rFonts w:ascii="Inter" w:hAnsi="Inter" w:cs="Inter"/>
                <w:b/>
                <w:i w:val="0"/>
                <w:color w:val="FFFFFF"/>
                <w:sz w:val="19"/>
              </w:rPr>
              <w:t>Est. Cost (PhP)</w:t>
            </w:r>
          </w:p>
        </w:tc>
        <w:tc>
          <w:tcPr>
            <w:tcW w:type="dxa" w:w="1337"/>
            <w:shd w:fill="1B365D"/>
          </w:tcPr>
          <w:p>
            <w:r/>
            <w:r>
              <w:rPr>
                <w:rFonts w:ascii="Inter" w:hAnsi="Inter" w:cs="Inter"/>
                <w:b/>
                <w:i w:val="0"/>
                <w:color w:val="FFFFFF"/>
                <w:sz w:val="19"/>
              </w:rPr>
              <w:t>Procurement Schedule</w:t>
            </w:r>
          </w:p>
        </w:tc>
        <w:tc>
          <w:tcPr>
            <w:tcW w:type="dxa" w:w="1337"/>
            <w:shd w:fill="1B365D"/>
          </w:tcPr>
          <w:p>
            <w:r/>
            <w:r>
              <w:rPr>
                <w:rFonts w:ascii="Inter" w:hAnsi="Inter" w:cs="Inter"/>
                <w:b/>
                <w:i w:val="0"/>
                <w:color w:val="FFFFFF"/>
                <w:sz w:val="19"/>
              </w:rPr>
              <w:t>End User</w:t>
            </w:r>
          </w:p>
        </w:tc>
      </w:tr>
      <w:tr>
        <w:tc>
          <w:tcPr>
            <w:tcW w:type="dxa" w:w="1337"/>
          </w:tcPr>
          <w:p>
            <w:r/>
            <w:r>
              <w:rPr>
                <w:rFonts w:ascii="Inter" w:hAnsi="Inter" w:cs="Inter"/>
                <w:b w:val="0"/>
                <w:i w:val="0"/>
                <w:color w:val="2D2D2D"/>
                <w:sz w:val="19"/>
              </w:rPr>
              <w:t>Tablets for community profiling (10 units)</w:t>
            </w:r>
          </w:p>
        </w:tc>
        <w:tc>
          <w:tcPr>
            <w:tcW w:type="dxa" w:w="1337"/>
          </w:tcPr>
          <w:p>
            <w:r/>
            <w:r>
              <w:rPr>
                <w:rFonts w:ascii="Inter" w:hAnsi="Inter" w:cs="Inter"/>
                <w:b w:val="0"/>
                <w:i w:val="0"/>
                <w:color w:val="2D2D2D"/>
                <w:sz w:val="19"/>
              </w:rPr>
              <w:t>OBC-01</w:t>
            </w:r>
          </w:p>
        </w:tc>
        <w:tc>
          <w:tcPr>
            <w:tcW w:type="dxa" w:w="1337"/>
          </w:tcPr>
          <w:p>
            <w:r/>
            <w:r>
              <w:rPr>
                <w:rFonts w:ascii="Inter" w:hAnsi="Inter" w:cs="Inter"/>
                <w:b w:val="0"/>
                <w:i w:val="0"/>
                <w:color w:val="2D2D2D"/>
                <w:sz w:val="19"/>
              </w:rPr>
              <w:t>Android tablets with GPS and offline data collection capability for field profiling teams</w:t>
            </w:r>
          </w:p>
        </w:tc>
        <w:tc>
          <w:tcPr>
            <w:tcW w:type="dxa" w:w="1337"/>
          </w:tcPr>
          <w:p>
            <w:r/>
            <w:r>
              <w:rPr>
                <w:rFonts w:ascii="Inter" w:hAnsi="Inter" w:cs="Inter"/>
                <w:b w:val="0"/>
                <w:i w:val="0"/>
                <w:color w:val="2D2D2D"/>
                <w:sz w:val="19"/>
              </w:rPr>
              <w:t>Shopping</w:t>
            </w:r>
          </w:p>
        </w:tc>
        <w:tc>
          <w:tcPr>
            <w:tcW w:type="dxa" w:w="1337"/>
          </w:tcPr>
          <w:p>
            <w:r/>
            <w:r>
              <w:rPr>
                <w:rFonts w:ascii="Inter" w:hAnsi="Inter" w:cs="Inter"/>
                <w:b w:val="0"/>
                <w:i w:val="0"/>
                <w:color w:val="2D2D2D"/>
                <w:sz w:val="19"/>
              </w:rPr>
              <w:t>350,000</w:t>
            </w:r>
          </w:p>
        </w:tc>
        <w:tc>
          <w:tcPr>
            <w:tcW w:type="dxa" w:w="1337"/>
          </w:tcPr>
          <w:p>
            <w:r/>
            <w:r>
              <w:rPr>
                <w:rFonts w:ascii="Inter" w:hAnsi="Inter" w:cs="Inter"/>
                <w:b w:val="0"/>
                <w:i w:val="0"/>
                <w:color w:val="2D2D2D"/>
                <w:sz w:val="19"/>
              </w:rPr>
              <w:t>Purchase: Jan 10 / Delivery: Jan 25</w:t>
            </w:r>
          </w:p>
        </w:tc>
        <w:tc>
          <w:tcPr>
            <w:tcW w:type="dxa" w:w="1337"/>
          </w:tcPr>
          <w:p>
            <w:r/>
            <w:r>
              <w:rPr>
                <w:rFonts w:ascii="Inter" w:hAnsi="Inter" w:cs="Inter"/>
                <w:b w:val="0"/>
                <w:i w:val="0"/>
                <w:color w:val="2D2D2D"/>
                <w:sz w:val="19"/>
              </w:rPr>
              <w:t>Programs Division — Community Profiling Team</w:t>
            </w:r>
          </w:p>
        </w:tc>
      </w:tr>
      <w:tr>
        <w:tc>
          <w:tcPr>
            <w:tcW w:type="dxa" w:w="1337"/>
            <w:shd w:fill="F0F3F6"/>
          </w:tcPr>
          <w:p>
            <w:r/>
            <w:r>
              <w:rPr>
                <w:rFonts w:ascii="Inter" w:hAnsi="Inter" w:cs="Inter"/>
                <w:b w:val="0"/>
                <w:i w:val="0"/>
                <w:color w:val="2D2D2D"/>
                <w:sz w:val="19"/>
              </w:rPr>
              <w:t>Printing of profiling instruments and forms</w:t>
            </w:r>
          </w:p>
        </w:tc>
        <w:tc>
          <w:tcPr>
            <w:tcW w:type="dxa" w:w="1337"/>
            <w:shd w:fill="F0F3F6"/>
          </w:tcPr>
          <w:p>
            <w:r/>
            <w:r>
              <w:rPr>
                <w:rFonts w:ascii="Inter" w:hAnsi="Inter" w:cs="Inter"/>
                <w:b w:val="0"/>
                <w:i w:val="0"/>
                <w:color w:val="2D2D2D"/>
                <w:sz w:val="19"/>
              </w:rPr>
              <w:t>OBC-01</w:t>
            </w:r>
          </w:p>
        </w:tc>
        <w:tc>
          <w:tcPr>
            <w:tcW w:type="dxa" w:w="1337"/>
            <w:shd w:fill="F0F3F6"/>
          </w:tcPr>
          <w:p>
            <w:r/>
            <w:r>
              <w:rPr>
                <w:rFonts w:ascii="Inter" w:hAnsi="Inter" w:cs="Inter"/>
                <w:b w:val="0"/>
                <w:i w:val="0"/>
                <w:color w:val="2D2D2D"/>
                <w:sz w:val="19"/>
              </w:rPr>
              <w:t>Community profiling questionnaires, consent forms, and data collection guides (2,000 sets)</w:t>
            </w:r>
          </w:p>
        </w:tc>
        <w:tc>
          <w:tcPr>
            <w:tcW w:type="dxa" w:w="1337"/>
            <w:shd w:fill="F0F3F6"/>
          </w:tcPr>
          <w:p>
            <w:r/>
            <w:r>
              <w:rPr>
                <w:rFonts w:ascii="Inter" w:hAnsi="Inter" w:cs="Inter"/>
                <w:b w:val="0"/>
                <w:i w:val="0"/>
                <w:color w:val="2D2D2D"/>
                <w:sz w:val="19"/>
              </w:rPr>
              <w:t>Shopping</w:t>
            </w:r>
          </w:p>
        </w:tc>
        <w:tc>
          <w:tcPr>
            <w:tcW w:type="dxa" w:w="1337"/>
            <w:shd w:fill="F0F3F6"/>
          </w:tcPr>
          <w:p>
            <w:r/>
            <w:r>
              <w:rPr>
                <w:rFonts w:ascii="Inter" w:hAnsi="Inter" w:cs="Inter"/>
                <w:b w:val="0"/>
                <w:i w:val="0"/>
                <w:color w:val="2D2D2D"/>
                <w:sz w:val="19"/>
              </w:rPr>
              <w:t>120,000</w:t>
            </w:r>
          </w:p>
        </w:tc>
        <w:tc>
          <w:tcPr>
            <w:tcW w:type="dxa" w:w="1337"/>
            <w:shd w:fill="F0F3F6"/>
          </w:tcPr>
          <w:p>
            <w:r/>
            <w:r>
              <w:rPr>
                <w:rFonts w:ascii="Inter" w:hAnsi="Inter" w:cs="Inter"/>
                <w:b w:val="0"/>
                <w:i w:val="0"/>
                <w:color w:val="2D2D2D"/>
                <w:sz w:val="19"/>
              </w:rPr>
              <w:t>Purchase: Jan 15 / Delivery: Feb 1</w:t>
            </w:r>
          </w:p>
        </w:tc>
        <w:tc>
          <w:tcPr>
            <w:tcW w:type="dxa" w:w="1337"/>
            <w:shd w:fill="F0F3F6"/>
          </w:tcPr>
          <w:p>
            <w:r/>
            <w:r>
              <w:rPr>
                <w:rFonts w:ascii="Inter" w:hAnsi="Inter" w:cs="Inter"/>
                <w:b w:val="0"/>
                <w:i w:val="0"/>
                <w:color w:val="2D2D2D"/>
                <w:sz w:val="19"/>
              </w:rPr>
              <w:t>Programs Division — Community Profiling Team</w:t>
            </w:r>
          </w:p>
        </w:tc>
      </w:tr>
      <w:tr>
        <w:tc>
          <w:tcPr>
            <w:tcW w:type="dxa" w:w="1337"/>
          </w:tcPr>
          <w:p>
            <w:r/>
            <w:r>
              <w:rPr>
                <w:rFonts w:ascii="Inter" w:hAnsi="Inter" w:cs="Inter"/>
                <w:b w:val="0"/>
                <w:i w:val="0"/>
                <w:color w:val="2D2D2D"/>
                <w:sz w:val="19"/>
              </w:rPr>
              <w:t>Vehicle rental for field operations (12 months)</w:t>
            </w:r>
          </w:p>
        </w:tc>
        <w:tc>
          <w:tcPr>
            <w:tcW w:type="dxa" w:w="1337"/>
          </w:tcPr>
          <w:p>
            <w:r/>
            <w:r>
              <w:rPr>
                <w:rFonts w:ascii="Inter" w:hAnsi="Inter" w:cs="Inter"/>
                <w:b w:val="0"/>
                <w:i w:val="0"/>
                <w:color w:val="2D2D2D"/>
                <w:sz w:val="19"/>
              </w:rPr>
              <w:t>OBC-01, OBC-03</w:t>
            </w:r>
          </w:p>
        </w:tc>
        <w:tc>
          <w:tcPr>
            <w:tcW w:type="dxa" w:w="1337"/>
          </w:tcPr>
          <w:p>
            <w:r/>
            <w:r>
              <w:rPr>
                <w:rFonts w:ascii="Inter" w:hAnsi="Inter" w:cs="Inter"/>
                <w:b w:val="0"/>
                <w:i w:val="0"/>
                <w:color w:val="2D2D2D"/>
                <w:sz w:val="19"/>
              </w:rPr>
              <w:t>Monthly vehicle rental for field profiling and FGD facilitation in target provinces (2 vehicles)</w:t>
            </w:r>
          </w:p>
        </w:tc>
        <w:tc>
          <w:tcPr>
            <w:tcW w:type="dxa" w:w="1337"/>
          </w:tcPr>
          <w:p>
            <w:r/>
            <w:r>
              <w:rPr>
                <w:rFonts w:ascii="Inter" w:hAnsi="Inter" w:cs="Inter"/>
                <w:b w:val="0"/>
                <w:i w:val="0"/>
                <w:color w:val="2D2D2D"/>
                <w:sz w:val="19"/>
              </w:rPr>
              <w:t>Negotiated Procurement — Lease</w:t>
            </w:r>
          </w:p>
        </w:tc>
        <w:tc>
          <w:tcPr>
            <w:tcW w:type="dxa" w:w="1337"/>
          </w:tcPr>
          <w:p>
            <w:r/>
            <w:r>
              <w:rPr>
                <w:rFonts w:ascii="Inter" w:hAnsi="Inter" w:cs="Inter"/>
                <w:b w:val="0"/>
                <w:i w:val="0"/>
                <w:color w:val="2D2D2D"/>
                <w:sz w:val="19"/>
              </w:rPr>
              <w:t>960,000</w:t>
            </w:r>
          </w:p>
        </w:tc>
        <w:tc>
          <w:tcPr>
            <w:tcW w:type="dxa" w:w="1337"/>
          </w:tcPr>
          <w:p>
            <w:r/>
            <w:r>
              <w:rPr>
                <w:rFonts w:ascii="Inter" w:hAnsi="Inter" w:cs="Inter"/>
                <w:b w:val="0"/>
                <w:i w:val="0"/>
                <w:color w:val="2D2D2D"/>
                <w:sz w:val="19"/>
              </w:rPr>
              <w:t>Notice: Jan 5 / Award: Jan 20 / Start: Feb 1</w:t>
            </w:r>
          </w:p>
        </w:tc>
        <w:tc>
          <w:tcPr>
            <w:tcW w:type="dxa" w:w="1337"/>
          </w:tcPr>
          <w:p>
            <w:r/>
            <w:r>
              <w:rPr>
                <w:rFonts w:ascii="Inter" w:hAnsi="Inter" w:cs="Inter"/>
                <w:b w:val="0"/>
                <w:i w:val="0"/>
                <w:color w:val="2D2D2D"/>
                <w:sz w:val="19"/>
              </w:rPr>
              <w:t>Programs Division</w:t>
            </w:r>
          </w:p>
        </w:tc>
      </w:tr>
      <w:tr>
        <w:tc>
          <w:tcPr>
            <w:tcW w:type="dxa" w:w="1337"/>
            <w:shd w:fill="F0F3F6"/>
          </w:tcPr>
          <w:p>
            <w:r/>
            <w:r>
              <w:rPr>
                <w:rFonts w:ascii="Inter" w:hAnsi="Inter" w:cs="Inter"/>
                <w:b w:val="0"/>
                <w:i w:val="0"/>
                <w:color w:val="2D2D2D"/>
                <w:sz w:val="19"/>
              </w:rPr>
              <w:t>IEC materials production</w:t>
            </w:r>
          </w:p>
        </w:tc>
        <w:tc>
          <w:tcPr>
            <w:tcW w:type="dxa" w:w="1337"/>
            <w:shd w:fill="F0F3F6"/>
          </w:tcPr>
          <w:p>
            <w:r/>
            <w:r>
              <w:rPr>
                <w:rFonts w:ascii="Inter" w:hAnsi="Inter" w:cs="Inter"/>
                <w:b w:val="0"/>
                <w:i w:val="0"/>
                <w:color w:val="2D2D2D"/>
                <w:sz w:val="19"/>
              </w:rPr>
              <w:t>OBC-03</w:t>
            </w:r>
          </w:p>
        </w:tc>
        <w:tc>
          <w:tcPr>
            <w:tcW w:type="dxa" w:w="1337"/>
            <w:shd w:fill="F0F3F6"/>
          </w:tcPr>
          <w:p>
            <w:r/>
            <w:r>
              <w:rPr>
                <w:rFonts w:ascii="Inter" w:hAnsi="Inter" w:cs="Inter"/>
                <w:b w:val="0"/>
                <w:i w:val="0"/>
                <w:color w:val="2D2D2D"/>
                <w:sz w:val="19"/>
              </w:rPr>
              <w:t>Printing of OBC rights awareness brochures, service access guides, and advocacy posters (2,000 copies)</w:t>
            </w:r>
          </w:p>
        </w:tc>
        <w:tc>
          <w:tcPr>
            <w:tcW w:type="dxa" w:w="1337"/>
            <w:shd w:fill="F0F3F6"/>
          </w:tcPr>
          <w:p>
            <w:r/>
            <w:r>
              <w:rPr>
                <w:rFonts w:ascii="Inter" w:hAnsi="Inter" w:cs="Inter"/>
                <w:b w:val="0"/>
                <w:i w:val="0"/>
                <w:color w:val="2D2D2D"/>
                <w:sz w:val="19"/>
              </w:rPr>
              <w:t>Shopping</w:t>
            </w:r>
          </w:p>
        </w:tc>
        <w:tc>
          <w:tcPr>
            <w:tcW w:type="dxa" w:w="1337"/>
            <w:shd w:fill="F0F3F6"/>
          </w:tcPr>
          <w:p>
            <w:r/>
            <w:r>
              <w:rPr>
                <w:rFonts w:ascii="Inter" w:hAnsi="Inter" w:cs="Inter"/>
                <w:b w:val="0"/>
                <w:i w:val="0"/>
                <w:color w:val="2D2D2D"/>
                <w:sz w:val="19"/>
              </w:rPr>
              <w:t>180,000</w:t>
            </w:r>
          </w:p>
        </w:tc>
        <w:tc>
          <w:tcPr>
            <w:tcW w:type="dxa" w:w="1337"/>
            <w:shd w:fill="F0F3F6"/>
          </w:tcPr>
          <w:p>
            <w:r/>
            <w:r>
              <w:rPr>
                <w:rFonts w:ascii="Inter" w:hAnsi="Inter" w:cs="Inter"/>
                <w:b w:val="0"/>
                <w:i w:val="0"/>
                <w:color w:val="2D2D2D"/>
                <w:sz w:val="19"/>
              </w:rPr>
              <w:t>Purchase: Mar 1 / Delivery: Mar 20</w:t>
            </w:r>
          </w:p>
        </w:tc>
        <w:tc>
          <w:tcPr>
            <w:tcW w:type="dxa" w:w="1337"/>
            <w:shd w:fill="F0F3F6"/>
          </w:tcPr>
          <w:p>
            <w:r/>
            <w:r>
              <w:rPr>
                <w:rFonts w:ascii="Inter" w:hAnsi="Inter" w:cs="Inter"/>
                <w:b w:val="0"/>
                <w:i w:val="0"/>
                <w:color w:val="2D2D2D"/>
                <w:sz w:val="19"/>
              </w:rPr>
              <w:t>Programs Division — Advocacy Team</w:t>
            </w:r>
          </w:p>
        </w:tc>
      </w:tr>
      <w:tr>
        <w:tc>
          <w:tcPr>
            <w:tcW w:type="dxa" w:w="1337"/>
          </w:tcPr>
          <w:p>
            <w:r/>
            <w:r>
              <w:rPr>
                <w:rFonts w:ascii="Inter" w:hAnsi="Inter" w:cs="Inter"/>
                <w:b w:val="0"/>
                <w:i w:val="0"/>
                <w:color w:val="2D2D2D"/>
                <w:sz w:val="19"/>
              </w:rPr>
              <w:t>Laptop computers (3 units)</w:t>
            </w:r>
          </w:p>
        </w:tc>
        <w:tc>
          <w:tcPr>
            <w:tcW w:type="dxa" w:w="1337"/>
          </w:tcPr>
          <w:p>
            <w:r/>
            <w:r>
              <w:rPr>
                <w:rFonts w:ascii="Inter" w:hAnsi="Inter" w:cs="Inter"/>
                <w:b w:val="0"/>
                <w:i w:val="0"/>
                <w:color w:val="2D2D2D"/>
                <w:sz w:val="19"/>
              </w:rPr>
              <w:t>OBC-04</w:t>
            </w:r>
          </w:p>
        </w:tc>
        <w:tc>
          <w:tcPr>
            <w:tcW w:type="dxa" w:w="1337"/>
          </w:tcPr>
          <w:p>
            <w:r/>
            <w:r>
              <w:rPr>
                <w:rFonts w:ascii="Inter" w:hAnsi="Inter" w:cs="Inter"/>
                <w:b w:val="0"/>
                <w:i w:val="0"/>
                <w:color w:val="2D2D2D"/>
                <w:sz w:val="19"/>
              </w:rPr>
              <w:t>Laptops for data management and PSRRS development support</w:t>
            </w:r>
          </w:p>
        </w:tc>
        <w:tc>
          <w:tcPr>
            <w:tcW w:type="dxa" w:w="1337"/>
          </w:tcPr>
          <w:p>
            <w:r/>
            <w:r>
              <w:rPr>
                <w:rFonts w:ascii="Inter" w:hAnsi="Inter" w:cs="Inter"/>
                <w:b w:val="0"/>
                <w:i w:val="0"/>
                <w:color w:val="2D2D2D"/>
                <w:sz w:val="19"/>
              </w:rPr>
              <w:t>Shopping</w:t>
            </w:r>
          </w:p>
        </w:tc>
        <w:tc>
          <w:tcPr>
            <w:tcW w:type="dxa" w:w="1337"/>
          </w:tcPr>
          <w:p>
            <w:r/>
            <w:r>
              <w:rPr>
                <w:rFonts w:ascii="Inter" w:hAnsi="Inter" w:cs="Inter"/>
                <w:b w:val="0"/>
                <w:i w:val="0"/>
                <w:color w:val="2D2D2D"/>
                <w:sz w:val="19"/>
              </w:rPr>
              <w:t>210,000</w:t>
            </w:r>
          </w:p>
        </w:tc>
        <w:tc>
          <w:tcPr>
            <w:tcW w:type="dxa" w:w="1337"/>
          </w:tcPr>
          <w:p>
            <w:r/>
            <w:r>
              <w:rPr>
                <w:rFonts w:ascii="Inter" w:hAnsi="Inter" w:cs="Inter"/>
                <w:b w:val="0"/>
                <w:i w:val="0"/>
                <w:color w:val="2D2D2D"/>
                <w:sz w:val="19"/>
              </w:rPr>
              <w:t>Purchase: Jan 10 / Delivery: Jan 25</w:t>
            </w:r>
          </w:p>
        </w:tc>
        <w:tc>
          <w:tcPr>
            <w:tcW w:type="dxa" w:w="1337"/>
          </w:tcPr>
          <w:p>
            <w:r/>
            <w:r>
              <w:rPr>
                <w:rFonts w:ascii="Inter" w:hAnsi="Inter" w:cs="Inter"/>
                <w:b w:val="0"/>
                <w:i w:val="0"/>
                <w:color w:val="2D2D2D"/>
                <w:sz w:val="19"/>
              </w:rPr>
              <w:t>Administrative Unit</w:t>
            </w:r>
          </w:p>
        </w:tc>
      </w:tr>
      <w:tr>
        <w:tc>
          <w:tcPr>
            <w:tcW w:type="dxa" w:w="1337"/>
            <w:shd w:fill="F0F3F6"/>
          </w:tcPr>
          <w:p>
            <w:r/>
            <w:r>
              <w:rPr>
                <w:rFonts w:ascii="Inter" w:hAnsi="Inter" w:cs="Inter"/>
                <w:b w:val="0"/>
                <w:i w:val="0"/>
                <w:color w:val="2D2D2D"/>
                <w:sz w:val="19"/>
              </w:rPr>
              <w:t>*(blank rows for additional items)*</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Alignment Verification for OBC-01:</w:t>
      </w:r>
      <w:r>
        <w:rPr>
          <w:rFonts w:ascii="Inter" w:hAnsi="Inter" w:cs="Inter"/>
          <w:b w:val="0"/>
          <w:i w:val="0"/>
          <w:color w:val="2D2D2D"/>
          <w:sz w:val="22"/>
        </w:rPr>
      </w:r>
    </w:p>
    <w:p>
      <w:pPr>
        <w:pStyle w:val="ListBullet"/>
      </w:pPr>
      <w:r>
        <w:rPr>
          <w:rFonts w:ascii="Inter" w:hAnsi="Inter" w:cs="Inter"/>
          <w:b w:val="0"/>
          <w:i w:val="0"/>
          <w:color w:val="2D2D2D"/>
          <w:sz w:val="22"/>
        </w:rPr>
        <w:t>AWP: Q1 milestone requires profiling instruments finalized and MOUs with 3 LGUs signed by March 31.</w:t>
      </w:r>
    </w:p>
    <w:p>
      <w:pPr>
        <w:pStyle w:val="ListBullet"/>
      </w:pPr>
      <w:r>
        <w:rPr>
          <w:rFonts w:ascii="Inter" w:hAnsi="Inter" w:cs="Inter"/>
          <w:b w:val="0"/>
          <w:i w:val="0"/>
          <w:color w:val="2D2D2D"/>
          <w:sz w:val="22"/>
        </w:rPr>
        <w:t>AFP: PhP 4,800,000 allocated (PS + MOOE + CO).</w:t>
      </w:r>
    </w:p>
    <w:p>
      <w:pPr>
        <w:pStyle w:val="ListBullet"/>
      </w:pPr>
      <w:r>
        <w:rPr>
          <w:rFonts w:ascii="Inter" w:hAnsi="Inter" w:cs="Inter"/>
          <w:b w:val="0"/>
          <w:i w:val="0"/>
          <w:color w:val="2D2D2D"/>
          <w:sz w:val="22"/>
        </w:rPr>
        <w:t>APP: Tablets purchased by January 25; profiling forms printed by February 1. Both arrive before Q1 profiling preparation milestone. Vehicle rental starts February 1, supporting Q2 field deployment. Aligned.</w:t>
      </w:r>
    </w:p>
    <w:p>
      <w:pPr>
        <w:pStyle w:val="Heading2"/>
      </w:pPr>
      <w:r>
        <w:rPr>
          <w:rFonts w:ascii="Inter" w:hAnsi="Inter" w:cs="Inter"/>
          <w:b/>
          <w:i w:val="0"/>
          <w:color w:val="1B365D"/>
          <w:sz w:val="32"/>
        </w:rPr>
        <w:t>10.5 For Decision-Makers</w:t>
      </w:r>
    </w:p>
    <w:p>
      <w:pPr>
        <w:spacing w:after="120" w:line="276" w:lineRule="auto"/>
      </w:pPr>
      <w:r>
        <w:rPr>
          <w:rFonts w:ascii="Inter" w:hAnsi="Inter" w:cs="Inter"/>
          <w:b w:val="0"/>
          <w:i w:val="0"/>
          <w:color w:val="2D2D2D"/>
          <w:sz w:val="22"/>
        </w:rPr>
        <w:t>Annual planning is not a technical exercise that staff complete and then hand to you for signature. It is a series of policy decisions that require your judgment and authority.</w:t>
      </w:r>
    </w:p>
    <w:p>
      <w:pPr>
        <w:spacing w:after="120" w:line="276" w:lineRule="auto"/>
      </w:pPr>
      <w:r>
        <w:rPr>
          <w:rFonts w:ascii="Inter" w:hAnsi="Inter" w:cs="Inter"/>
          <w:b w:val="0"/>
          <w:i w:val="0"/>
          <w:color w:val="2D2D2D"/>
          <w:sz w:val="22"/>
        </w:rPr>
      </w:r>
      <w:r>
        <w:rPr>
          <w:rFonts w:ascii="Inter" w:hAnsi="Inter" w:cs="Inter"/>
          <w:b/>
          <w:i w:val="0"/>
          <w:color w:val="2D2D2D"/>
          <w:sz w:val="22"/>
        </w:rPr>
        <w:t>The budget allocation is a policy choice.</w:t>
      </w:r>
      <w:r>
        <w:rPr>
          <w:rFonts w:ascii="Inter" w:hAnsi="Inter" w:cs="Inter"/>
          <w:b w:val="0"/>
          <w:i w:val="0"/>
          <w:color w:val="2D2D2D"/>
          <w:sz w:val="22"/>
        </w:rPr>
        <w:t xml:space="preserve"> When the AFP allocates PhP 4.8M to community profiling and PhP 3.5M to advocacy, that reflects a judgment about which PPAs deliver the most value per peso. That judgment is yours — the Minister's or Executive Director's — not the budget officer's. Your planning team prepares the options; you make the call.</w:t>
      </w:r>
    </w:p>
    <w:p>
      <w:pPr>
        <w:spacing w:after="120" w:line="276" w:lineRule="auto"/>
      </w:pPr>
      <w:r>
        <w:rPr>
          <w:rFonts w:ascii="Inter" w:hAnsi="Inter" w:cs="Inter"/>
          <w:b w:val="0"/>
          <w:i w:val="0"/>
          <w:color w:val="2D2D2D"/>
          <w:sz w:val="22"/>
        </w:rPr>
      </w:r>
      <w:r>
        <w:rPr>
          <w:rFonts w:ascii="Inter" w:hAnsi="Inter" w:cs="Inter"/>
          <w:b/>
          <w:i w:val="0"/>
          <w:color w:val="2D2D2D"/>
          <w:sz w:val="22"/>
        </w:rPr>
        <w:t>The annual priority list is a commitment.</w:t>
      </w:r>
      <w:r>
        <w:rPr>
          <w:rFonts w:ascii="Inter" w:hAnsi="Inter" w:cs="Inter"/>
          <w:b w:val="0"/>
          <w:i w:val="0"/>
          <w:color w:val="2D2D2D"/>
          <w:sz w:val="22"/>
        </w:rPr>
        <w:t xml:space="preserve"> When you sign off on three to five AWP priorities, you are telling Parliament, MFBM, and the public: this is what we will do with the funds we are requesting. Year-end performance will be measured against this list. Do not approve priorities you do not believe your MOA can deliver.</w:t>
      </w:r>
    </w:p>
    <w:p>
      <w:pPr>
        <w:spacing w:after="120" w:line="276" w:lineRule="auto"/>
      </w:pPr>
      <w:r>
        <w:rPr>
          <w:rFonts w:ascii="Inter" w:hAnsi="Inter" w:cs="Inter"/>
          <w:b w:val="0"/>
          <w:i w:val="0"/>
          <w:color w:val="2D2D2D"/>
          <w:sz w:val="22"/>
        </w:rPr>
      </w:r>
      <w:r>
        <w:rPr>
          <w:rFonts w:ascii="Inter" w:hAnsi="Inter" w:cs="Inter"/>
          <w:b/>
          <w:i w:val="0"/>
          <w:color w:val="2D2D2D"/>
          <w:sz w:val="22"/>
        </w:rPr>
        <w:t>The 70% scenario is a necessary conversation.</w:t>
      </w:r>
      <w:r>
        <w:rPr>
          <w:rFonts w:ascii="Inter" w:hAnsi="Inter" w:cs="Inter"/>
          <w:b w:val="0"/>
          <w:i w:val="0"/>
          <w:color w:val="2D2D2D"/>
          <w:sz w:val="22"/>
        </w:rPr>
        <w:t xml:space="preserve"> MFBM routinely reduces MOA budget proposals during deliberation. You should know, before submission, which PPAs survive a 30% cut — and which are eliminated or deferred. Have that conversation with your Planning and Budget Officers before the budget hearings. Do not let the answer be decided for you by the MFBM technical staff or by the Parliamentary Committee.</w:t>
      </w:r>
    </w:p>
    <w:p>
      <w:pPr>
        <w:spacing w:after="120" w:line="276" w:lineRule="auto"/>
      </w:pPr>
      <w:r>
        <w:rPr>
          <w:rFonts w:ascii="Inter" w:hAnsi="Inter" w:cs="Inter"/>
          <w:b w:val="0"/>
          <w:i w:val="0"/>
          <w:color w:val="2D2D2D"/>
          <w:sz w:val="22"/>
        </w:rPr>
      </w:r>
      <w:r>
        <w:rPr>
          <w:rFonts w:ascii="Inter" w:hAnsi="Inter" w:cs="Inter"/>
          <w:b/>
          <w:i w:val="0"/>
          <w:color w:val="2D2D2D"/>
          <w:sz w:val="22"/>
        </w:rPr>
        <w:t>Missing the Budget Call deadline has consequences.</w:t>
      </w:r>
      <w:r>
        <w:rPr>
          <w:rFonts w:ascii="Inter" w:hAnsi="Inter" w:cs="Inter"/>
          <w:b w:val="0"/>
          <w:i w:val="0"/>
          <w:color w:val="2D2D2D"/>
          <w:sz w:val="22"/>
        </w:rPr>
        <w:t xml:space="preserve"> If your MOA submits late — or submits an incomplete AWP-AFP-APP package — MFBM will prepare your budget based on the prior year's allocation, adjusted for standard formula increases. You lose the opportunity to justify new priorities, realign funding, or defend your program. Instruct your Planning and Budget Officers to treat the Budget Call deadline as non-negotiable.</w:t>
      </w:r>
    </w:p>
    <w:p>
      <w:pPr>
        <w:spacing w:after="120" w:line="276" w:lineRule="auto"/>
      </w:pPr>
      <w:r>
        <w:rPr>
          <w:rFonts w:ascii="Inter" w:hAnsi="Inter" w:cs="Inter"/>
          <w:b w:val="0"/>
          <w:i w:val="0"/>
          <w:color w:val="2D2D2D"/>
          <w:sz w:val="22"/>
        </w:rPr>
        <w:t>The AFP determines what Parliament appropriates for your MOA. The AWP determines what you commit to deliver in exchange for those appropriations. Together, they are the most consequential documents your planning and budget teams will produce each year. Give them the attention they deserve.</w:t>
      </w:r>
    </w:p>
    <w:p>
      <w:pPr>
        <w:pStyle w:val="Heading2"/>
      </w:pPr>
      <w:r>
        <w:rPr>
          <w:rFonts w:ascii="Inter" w:hAnsi="Inter" w:cs="Inter"/>
          <w:b/>
          <w:i w:val="0"/>
          <w:color w:val="1B365D"/>
          <w:sz w:val="32"/>
        </w:rPr>
        <w:t>10.6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Copying last year's AWP without reviewing performance.</w:t>
      </w:r>
      <w:r>
        <w:rPr>
          <w:rFonts w:ascii="Inter" w:hAnsi="Inter" w:cs="Inter"/>
          <w:b w:val="0"/>
          <w:i w:val="0"/>
          <w:color w:val="2D2D2D"/>
          <w:sz w:val="22"/>
        </w:rPr>
        <w:t xml:space="preserve"> The fastest way to prepare an AWP is to duplicate last year's and change the year. The most dangerous way to prepare an AWP is to duplicate last year's and change the year. The prior-year review is not optional. If you skip it, you will repeat the same planning errors, set the same unrealistic targets, and experience the same implementation gaps — and you will be unable to explain why in the mid-year review.</w:t>
      </w:r>
    </w:p>
    <w:p>
      <w:pPr>
        <w:spacing w:after="120" w:line="276" w:lineRule="auto"/>
      </w:pPr>
      <w:r>
        <w:rPr>
          <w:rFonts w:ascii="Inter" w:hAnsi="Inter" w:cs="Inter"/>
          <w:b w:val="0"/>
          <w:i w:val="0"/>
          <w:color w:val="2D2D2D"/>
          <w:sz w:val="22"/>
        </w:rPr>
      </w:r>
      <w:r>
        <w:rPr>
          <w:rFonts w:ascii="Inter" w:hAnsi="Inter" w:cs="Inter"/>
          <w:b/>
          <w:i w:val="0"/>
          <w:color w:val="2D2D2D"/>
          <w:sz w:val="22"/>
        </w:rPr>
        <w:t>Setting targets without budget reality.</w:t>
      </w:r>
      <w:r>
        <w:rPr>
          <w:rFonts w:ascii="Inter" w:hAnsi="Inter" w:cs="Inter"/>
          <w:b w:val="0"/>
          <w:i w:val="0"/>
          <w:color w:val="2D2D2D"/>
          <w:sz w:val="22"/>
        </w:rPr>
        <w:t xml:space="preserve"> Annual targets that require more funding than the budget ceiling permits are not targets — they are aspirations. Targets must be derived simultaneously with AFP preparation. If you finalize the AWP first and then discover you cannot fund it, you will spend weeks revising targets that should have been set correctly the first time.</w:t>
      </w:r>
    </w:p>
    <w:p>
      <w:pPr>
        <w:spacing w:after="120" w:line="276" w:lineRule="auto"/>
      </w:pPr>
      <w:r>
        <w:rPr>
          <w:rFonts w:ascii="Inter" w:hAnsi="Inter" w:cs="Inter"/>
          <w:b w:val="0"/>
          <w:i w:val="0"/>
          <w:color w:val="2D2D2D"/>
          <w:sz w:val="22"/>
        </w:rPr>
      </w:r>
      <w:r>
        <w:rPr>
          <w:rFonts w:ascii="Inter" w:hAnsi="Inter" w:cs="Inter"/>
          <w:b/>
          <w:i w:val="0"/>
          <w:color w:val="2D2D2D"/>
          <w:sz w:val="22"/>
        </w:rPr>
        <w:t>Missing the Budget Call deadline.</w:t>
      </w:r>
      <w:r>
        <w:rPr>
          <w:rFonts w:ascii="Inter" w:hAnsi="Inter" w:cs="Inter"/>
          <w:b w:val="0"/>
          <w:i w:val="0"/>
          <w:color w:val="2D2D2D"/>
          <w:sz w:val="22"/>
        </w:rPr>
        <w:t xml:space="preserve"> The MFBM Budget Call sets the timetable. Your internal AWP-AFP-APP preparation process must be complete at least one week before the submission deadline — to allow time for the Minister's review, the Budget Officer's certification, and the administrative packaging of the submission. Work backward from the MFBM deadline and set your internal milestones accordingly.</w:t>
      </w:r>
    </w:p>
    <w:p>
      <w:pPr>
        <w:spacing w:after="120" w:line="276" w:lineRule="auto"/>
      </w:pPr>
      <w:r>
        <w:rPr>
          <w:rFonts w:ascii="Inter" w:hAnsi="Inter" w:cs="Inter"/>
          <w:b w:val="0"/>
          <w:i w:val="0"/>
          <w:color w:val="2D2D2D"/>
          <w:sz w:val="22"/>
        </w:rPr>
      </w:r>
      <w:r>
        <w:rPr>
          <w:rFonts w:ascii="Inter" w:hAnsi="Inter" w:cs="Inter"/>
          <w:b/>
          <w:i w:val="0"/>
          <w:color w:val="2D2D2D"/>
          <w:sz w:val="22"/>
        </w:rPr>
        <w:t>Disconnecting the APP from the AWP.</w:t>
      </w:r>
      <w:r>
        <w:rPr>
          <w:rFonts w:ascii="Inter" w:hAnsi="Inter" w:cs="Inter"/>
          <w:b w:val="0"/>
          <w:i w:val="0"/>
          <w:color w:val="2D2D2D"/>
          <w:sz w:val="22"/>
        </w:rPr>
        <w:t xml:space="preserve"> An APP that lists procurement items without PPA codes, or that includes items for which there is no corresponding AWP activity, is not a plan — it is a shopping list. Every APP item must be traceable to a specific PPA and a specific quarterly milestone in the AWP. Auditors will look for this link. So will the BAC, when reviewing procurement justifications.</w:t>
      </w:r>
    </w:p>
    <w:p>
      <w:pPr>
        <w:spacing w:after="120" w:line="276" w:lineRule="auto"/>
      </w:pPr>
      <w:r>
        <w:rPr>
          <w:rFonts w:ascii="Inter" w:hAnsi="Inter" w:cs="Inter"/>
          <w:b w:val="0"/>
          <w:i w:val="0"/>
          <w:color w:val="2D2D2D"/>
          <w:sz w:val="22"/>
        </w:rPr>
      </w:r>
      <w:r>
        <w:rPr>
          <w:rFonts w:ascii="Inter" w:hAnsi="Inter" w:cs="Inter"/>
          <w:b/>
          <w:i w:val="0"/>
          <w:color w:val="2D2D2D"/>
          <w:sz w:val="22"/>
        </w:rPr>
        <w:t>Not aligning quarterly milestones with procurement timelines.</w:t>
      </w:r>
      <w:r>
        <w:rPr>
          <w:rFonts w:ascii="Inter" w:hAnsi="Inter" w:cs="Inter"/>
          <w:b w:val="0"/>
          <w:i w:val="0"/>
          <w:color w:val="2D2D2D"/>
          <w:sz w:val="22"/>
        </w:rPr>
        <w:t xml:space="preserve"> This is the most common cause of Q3-Q4 implementation bunching. If a PPA requires procured goods in Q2 but the APP schedules the procurement posting in Q2, the delivery cannot arrive until Q3 at the earliest. Front-load procurement in Q1 for everything you need in Q1-Q2. The time to prepare technical specifications, bid documents, and abstracts of quotations is not the week before you need the items.</w:t>
      </w:r>
    </w:p>
    <w:p>
      <w:pPr>
        <w:spacing w:after="120" w:line="276" w:lineRule="auto"/>
      </w:pPr>
      <w:r>
        <w:rPr>
          <w:rFonts w:ascii="Inter" w:hAnsi="Inter" w:cs="Inter"/>
          <w:b w:val="0"/>
          <w:i w:val="0"/>
          <w:color w:val="2D2D2D"/>
          <w:sz w:val="22"/>
        </w:rPr>
      </w:r>
      <w:r>
        <w:rPr>
          <w:rFonts w:ascii="Inter" w:hAnsi="Inter" w:cs="Inter"/>
          <w:b/>
          <w:i w:val="0"/>
          <w:color w:val="2D2D2D"/>
          <w:sz w:val="22"/>
        </w:rPr>
        <w:t>Treating the AFP as a finance office document.</w:t>
      </w:r>
      <w:r>
        <w:rPr>
          <w:rFonts w:ascii="Inter" w:hAnsi="Inter" w:cs="Inter"/>
          <w:b w:val="0"/>
          <w:i w:val="0"/>
          <w:color w:val="2D2D2D"/>
          <w:sz w:val="22"/>
        </w:rPr>
        <w:t xml:space="preserve"> The AFP is prepared by the Planning Officer and the Budget Officer working together. The Planning Officer provides the PPA-level output targets and activity schedules. The Budget Officer confirms the expense class classification and the obligation schedule. If the AFP is prepared by finance alone — without input from planning — it will not accurately reflect the cost of the AWP, and the resulting budget proposal will not hold up to scrutiny during budget deliberations.</w:t>
      </w:r>
    </w:p>
    <w:p>
      <w:pPr>
        <w:spacing w:after="120" w:line="276" w:lineRule="auto"/>
      </w:pPr>
      <w:r>
        <w:rPr>
          <w:rFonts w:ascii="Inter" w:hAnsi="Inter" w:cs="Inter"/>
          <w:b w:val="0"/>
          <w:i w:val="0"/>
          <w:color w:val="2D2D2D"/>
          <w:sz w:val="22"/>
        </w:rPr>
      </w:r>
      <w:r>
        <w:rPr>
          <w:rFonts w:ascii="Inter" w:hAnsi="Inter" w:cs="Inter"/>
          <w:b/>
          <w:i w:val="0"/>
          <w:color w:val="2D2D2D"/>
          <w:sz w:val="22"/>
        </w:rPr>
        <w:t>Under-estimating the obligation schedule front-loading required.</w:t>
      </w:r>
      <w:r>
        <w:rPr>
          <w:rFonts w:ascii="Inter" w:hAnsi="Inter" w:cs="Inter"/>
          <w:b w:val="0"/>
          <w:i w:val="0"/>
          <w:color w:val="2D2D2D"/>
          <w:sz w:val="22"/>
        </w:rPr>
        <w:t xml:space="preserve"> MFBM's quarterly obligation targets (20% by Q1, 50% by Q2, 80% by Q3, 100% by Q4) are not suggestions. MOAs that do not obligate at pace face mid-year budget restrictions. The obligation schedule must be realistic — and must be driven by actual procurement timelines, not aspirational rates.</w:t>
      </w:r>
    </w:p>
    <w:p>
      <w:pPr>
        <w:pStyle w:val="Heading2"/>
      </w:pPr>
      <w:r>
        <w:rPr>
          <w:rFonts w:ascii="Inter" w:hAnsi="Inter" w:cs="Inter"/>
          <w:b/>
          <w:i w:val="0"/>
          <w:color w:val="1B365D"/>
          <w:sz w:val="32"/>
        </w:rPr>
        <w:t>10.7 Templates</w:t>
      </w:r>
    </w:p>
    <w:p>
      <w:pPr>
        <w:pStyle w:val="Heading3"/>
      </w:pPr>
      <w:r>
        <w:rPr>
          <w:rFonts w:ascii="Inter" w:hAnsi="Inter" w:cs="Inter"/>
          <w:b/>
          <w:i w:val="0"/>
          <w:color w:val="2C5F7C"/>
          <w:sz w:val="26"/>
        </w:rPr>
        <w:t>Template A: Annual Work Plan (AWP)</w:t>
      </w:r>
    </w:p>
    <w:p>
      <w:pPr>
        <w:spacing w:after="120" w:line="276" w:lineRule="auto"/>
      </w:pPr>
      <w:r>
        <w:rPr>
          <w:rFonts w:ascii="Inter" w:hAnsi="Inter" w:cs="Inter"/>
          <w:b w:val="0"/>
          <w:i w:val="0"/>
          <w:color w:val="2D2D2D"/>
          <w:sz w:val="22"/>
        </w:rPr>
      </w:r>
      <w:r>
        <w:rPr>
          <w:rFonts w:ascii="Inter" w:hAnsi="Inter" w:cs="Inter"/>
          <w:b/>
          <w:i w:val="0"/>
          <w:color w:val="2D2D2D"/>
          <w:sz w:val="22"/>
        </w:rPr>
        <w:t>[MOA NAME] — Annual Work Plan</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Fiscal Year: ____________</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**Prepared by:** _________________</w:t>
            </w:r>
          </w:p>
        </w:tc>
        <w:tc>
          <w:tcPr>
            <w:tcW w:type="dxa" w:w="4680"/>
            <w:shd w:fill="1B365D"/>
          </w:tcPr>
          <w:p>
            <w:r/>
            <w:r>
              <w:rPr>
                <w:rFonts w:ascii="Inter" w:hAnsi="Inter" w:cs="Inter"/>
                <w:b/>
                <w:i w:val="0"/>
                <w:color w:val="FFFFFF"/>
                <w:sz w:val="19"/>
              </w:rPr>
              <w:t>**Approved by:** _________________</w:t>
            </w:r>
          </w:p>
        </w:tc>
      </w:tr>
    </w:tbl>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B365D"/>
          </w:tcPr>
          <w:p>
            <w:r/>
            <w:r>
              <w:rPr>
                <w:rFonts w:ascii="Inter" w:hAnsi="Inter" w:cs="Inter"/>
                <w:b/>
                <w:i w:val="0"/>
                <w:color w:val="FFFFFF"/>
                <w:sz w:val="19"/>
              </w:rPr>
              <w:t>PPA Code</w:t>
            </w:r>
          </w:p>
        </w:tc>
        <w:tc>
          <w:tcPr>
            <w:tcW w:type="dxa" w:w="1040"/>
            <w:shd w:fill="1B365D"/>
          </w:tcPr>
          <w:p>
            <w:r/>
            <w:r>
              <w:rPr>
                <w:rFonts w:ascii="Inter" w:hAnsi="Inter" w:cs="Inter"/>
                <w:b/>
                <w:i w:val="0"/>
                <w:color w:val="FFFFFF"/>
                <w:sz w:val="19"/>
              </w:rPr>
              <w:t>PPA Name</w:t>
            </w:r>
          </w:p>
        </w:tc>
        <w:tc>
          <w:tcPr>
            <w:tcW w:type="dxa" w:w="1040"/>
            <w:shd w:fill="1B365D"/>
          </w:tcPr>
          <w:p>
            <w:r/>
            <w:r>
              <w:rPr>
                <w:rFonts w:ascii="Inter" w:hAnsi="Inter" w:cs="Inter"/>
                <w:b/>
                <w:i w:val="0"/>
                <w:color w:val="FFFFFF"/>
                <w:sz w:val="19"/>
              </w:rPr>
              <w:t>Annual Target</w:t>
            </w:r>
          </w:p>
        </w:tc>
        <w:tc>
          <w:tcPr>
            <w:tcW w:type="dxa" w:w="1040"/>
            <w:shd w:fill="1B365D"/>
          </w:tcPr>
          <w:p>
            <w:r/>
            <w:r>
              <w:rPr>
                <w:rFonts w:ascii="Inter" w:hAnsi="Inter" w:cs="Inter"/>
                <w:b/>
                <w:i w:val="0"/>
                <w:color w:val="FFFFFF"/>
                <w:sz w:val="19"/>
              </w:rPr>
              <w:t>Q1 Milestone</w:t>
            </w:r>
          </w:p>
        </w:tc>
        <w:tc>
          <w:tcPr>
            <w:tcW w:type="dxa" w:w="1040"/>
            <w:shd w:fill="1B365D"/>
          </w:tcPr>
          <w:p>
            <w:r/>
            <w:r>
              <w:rPr>
                <w:rFonts w:ascii="Inter" w:hAnsi="Inter" w:cs="Inter"/>
                <w:b/>
                <w:i w:val="0"/>
                <w:color w:val="FFFFFF"/>
                <w:sz w:val="19"/>
              </w:rPr>
              <w:t>Q2 Milestone</w:t>
            </w:r>
          </w:p>
        </w:tc>
        <w:tc>
          <w:tcPr>
            <w:tcW w:type="dxa" w:w="1040"/>
            <w:shd w:fill="1B365D"/>
          </w:tcPr>
          <w:p>
            <w:r/>
            <w:r>
              <w:rPr>
                <w:rFonts w:ascii="Inter" w:hAnsi="Inter" w:cs="Inter"/>
                <w:b/>
                <w:i w:val="0"/>
                <w:color w:val="FFFFFF"/>
                <w:sz w:val="19"/>
              </w:rPr>
              <w:t>Q3 Milestone</w:t>
            </w:r>
          </w:p>
        </w:tc>
        <w:tc>
          <w:tcPr>
            <w:tcW w:type="dxa" w:w="1040"/>
            <w:shd w:fill="1B365D"/>
          </w:tcPr>
          <w:p>
            <w:r/>
            <w:r>
              <w:rPr>
                <w:rFonts w:ascii="Inter" w:hAnsi="Inter" w:cs="Inter"/>
                <w:b/>
                <w:i w:val="0"/>
                <w:color w:val="FFFFFF"/>
                <w:sz w:val="19"/>
              </w:rPr>
              <w:t>Q4 Milestone</w:t>
            </w:r>
          </w:p>
        </w:tc>
        <w:tc>
          <w:tcPr>
            <w:tcW w:type="dxa" w:w="1040"/>
            <w:shd w:fill="1B365D"/>
          </w:tcPr>
          <w:p>
            <w:r/>
            <w:r>
              <w:rPr>
                <w:rFonts w:ascii="Inter" w:hAnsi="Inter" w:cs="Inter"/>
                <w:b/>
                <w:i w:val="0"/>
                <w:color w:val="FFFFFF"/>
                <w:sz w:val="19"/>
              </w:rPr>
              <w:t>Responsible Unit</w:t>
            </w:r>
          </w:p>
        </w:tc>
        <w:tc>
          <w:tcPr>
            <w:tcW w:type="dxa" w:w="1040"/>
            <w:shd w:fill="1B365D"/>
          </w:tcPr>
          <w:p>
            <w:r/>
            <w:r>
              <w:rPr>
                <w:rFonts w:ascii="Inter" w:hAnsi="Inter" w:cs="Inter"/>
                <w:b/>
                <w:i w:val="0"/>
                <w:color w:val="FFFFFF"/>
                <w:sz w:val="19"/>
              </w:rPr>
              <w:t>Budget (PhP)</w:t>
            </w:r>
          </w:p>
        </w:tc>
      </w:tr>
      <w:tr>
        <w:tc>
          <w:tcPr>
            <w:tcW w:type="dxa" w:w="1040"/>
          </w:tcPr>
          <w:p>
            <w:r/>
            <w:r>
              <w:rPr>
                <w:rFonts w:ascii="Inter" w:hAnsi="Inter" w:cs="Inter"/>
                <w:b w:val="0"/>
                <w:i w:val="0"/>
                <w:color w:val="2D2D2D"/>
                <w:sz w:val="19"/>
              </w:rPr>
              <w:t>OBC-01</w:t>
            </w:r>
          </w:p>
        </w:tc>
        <w:tc>
          <w:tcPr>
            <w:tcW w:type="dxa" w:w="1040"/>
          </w:tcPr>
          <w:p>
            <w:r/>
            <w:r>
              <w:rPr>
                <w:rFonts w:ascii="Inter" w:hAnsi="Inter" w:cs="Inter"/>
                <w:b w:val="0"/>
                <w:i w:val="0"/>
                <w:color w:val="2D2D2D"/>
                <w:sz w:val="19"/>
              </w:rPr>
              <w:t>OBC Community Profiling Program</w:t>
            </w:r>
          </w:p>
        </w:tc>
        <w:tc>
          <w:tcPr>
            <w:tcW w:type="dxa" w:w="1040"/>
          </w:tcPr>
          <w:p>
            <w:r/>
            <w:r>
              <w:rPr>
                <w:rFonts w:ascii="Inter" w:hAnsi="Inter" w:cs="Inter"/>
                <w:b w:val="0"/>
                <w:i w:val="0"/>
                <w:color w:val="2D2D2D"/>
                <w:sz w:val="19"/>
              </w:rPr>
              <w:t>6 provinces profiled</w:t>
            </w:r>
          </w:p>
        </w:tc>
        <w:tc>
          <w:tcPr>
            <w:tcW w:type="dxa" w:w="1040"/>
          </w:tcPr>
          <w:p>
            <w:r/>
            <w:r>
              <w:rPr>
                <w:rFonts w:ascii="Inter" w:hAnsi="Inter" w:cs="Inter"/>
                <w:b w:val="0"/>
                <w:i w:val="0"/>
                <w:color w:val="2D2D2D"/>
                <w:sz w:val="19"/>
              </w:rPr>
              <w:t>Profiling instruments finalized; MOUs with 3 LGUs signed</w:t>
            </w:r>
          </w:p>
        </w:tc>
        <w:tc>
          <w:tcPr>
            <w:tcW w:type="dxa" w:w="1040"/>
          </w:tcPr>
          <w:p>
            <w:r/>
            <w:r>
              <w:rPr>
                <w:rFonts w:ascii="Inter" w:hAnsi="Inter" w:cs="Inter"/>
                <w:b w:val="0"/>
                <w:i w:val="0"/>
                <w:color w:val="2D2D2D"/>
                <w:sz w:val="19"/>
              </w:rPr>
              <w:t>3 provinces profiled; data encoded</w:t>
            </w:r>
          </w:p>
        </w:tc>
        <w:tc>
          <w:tcPr>
            <w:tcW w:type="dxa" w:w="1040"/>
          </w:tcPr>
          <w:p>
            <w:r/>
            <w:r>
              <w:rPr>
                <w:rFonts w:ascii="Inter" w:hAnsi="Inter" w:cs="Inter"/>
                <w:b w:val="0"/>
                <w:i w:val="0"/>
                <w:color w:val="2D2D2D"/>
                <w:sz w:val="19"/>
              </w:rPr>
              <w:t>3 additional provinces profiled; data encoded</w:t>
            </w:r>
          </w:p>
        </w:tc>
        <w:tc>
          <w:tcPr>
            <w:tcW w:type="dxa" w:w="1040"/>
          </w:tcPr>
          <w:p>
            <w:r/>
            <w:r>
              <w:rPr>
                <w:rFonts w:ascii="Inter" w:hAnsi="Inter" w:cs="Inter"/>
                <w:b w:val="0"/>
                <w:i w:val="0"/>
                <w:color w:val="2D2D2D"/>
                <w:sz w:val="19"/>
              </w:rPr>
              <w:t>Database consolidated; validation workshops</w:t>
            </w:r>
          </w:p>
        </w:tc>
        <w:tc>
          <w:tcPr>
            <w:tcW w:type="dxa" w:w="1040"/>
          </w:tcPr>
          <w:p>
            <w:r/>
            <w:r>
              <w:rPr>
                <w:rFonts w:ascii="Inter" w:hAnsi="Inter" w:cs="Inter"/>
                <w:b w:val="0"/>
                <w:i w:val="0"/>
                <w:color w:val="2D2D2D"/>
                <w:sz w:val="19"/>
              </w:rPr>
              <w:t>Programs Division — Community Profiling Team</w:t>
            </w:r>
          </w:p>
        </w:tc>
        <w:tc>
          <w:tcPr>
            <w:tcW w:type="dxa" w:w="1040"/>
          </w:tcPr>
          <w:p>
            <w:r/>
            <w:r>
              <w:rPr>
                <w:rFonts w:ascii="Inter" w:hAnsi="Inter" w:cs="Inter"/>
                <w:b w:val="0"/>
                <w:i w:val="0"/>
                <w:color w:val="2D2D2D"/>
                <w:sz w:val="19"/>
              </w:rPr>
              <w:t>4,800,000</w:t>
            </w:r>
          </w:p>
        </w:tc>
      </w:tr>
      <w:tr>
        <w:tc>
          <w:tcPr>
            <w:tcW w:type="dxa" w:w="1040"/>
            <w:shd w:fill="F0F3F6"/>
          </w:tcPr>
          <w:p>
            <w:r/>
            <w:r>
              <w:rPr>
                <w:rFonts w:ascii="Inter" w:hAnsi="Inter" w:cs="Inter"/>
                <w:b w:val="0"/>
                <w:i w:val="0"/>
                <w:color w:val="2D2D2D"/>
                <w:sz w:val="19"/>
              </w:rPr>
              <w:t>OBC-02</w:t>
            </w:r>
          </w:p>
        </w:tc>
        <w:tc>
          <w:tcPr>
            <w:tcW w:type="dxa" w:w="1040"/>
            <w:shd w:fill="F0F3F6"/>
          </w:tcPr>
          <w:p>
            <w:r/>
            <w:r>
              <w:rPr>
                <w:rFonts w:ascii="Inter" w:hAnsi="Inter" w:cs="Inter"/>
                <w:b w:val="0"/>
                <w:i w:val="0"/>
                <w:color w:val="2D2D2D"/>
                <w:sz w:val="19"/>
              </w:rPr>
              <w:t>LGU/NGA Coordination Program</w:t>
            </w:r>
          </w:p>
        </w:tc>
        <w:tc>
          <w:tcPr>
            <w:tcW w:type="dxa" w:w="1040"/>
            <w:shd w:fill="F0F3F6"/>
          </w:tcPr>
          <w:p>
            <w:r/>
            <w:r>
              <w:rPr>
                <w:rFonts w:ascii="Inter" w:hAnsi="Inter" w:cs="Inter"/>
                <w:b w:val="0"/>
                <w:i w:val="0"/>
                <w:color w:val="2D2D2D"/>
                <w:sz w:val="19"/>
              </w:rPr>
              <w:t>5 LGU MOUs; 3 NGA MOAs</w:t>
            </w:r>
          </w:p>
        </w:tc>
        <w:tc>
          <w:tcPr>
            <w:tcW w:type="dxa" w:w="1040"/>
            <w:shd w:fill="F0F3F6"/>
          </w:tcPr>
          <w:p>
            <w:r/>
            <w:r>
              <w:rPr>
                <w:rFonts w:ascii="Inter" w:hAnsi="Inter" w:cs="Inter"/>
                <w:b w:val="0"/>
                <w:i w:val="0"/>
                <w:color w:val="2D2D2D"/>
                <w:sz w:val="19"/>
              </w:rPr>
              <w:t>3 LGU MOUs drafted and negotiated</w:t>
            </w:r>
          </w:p>
        </w:tc>
        <w:tc>
          <w:tcPr>
            <w:tcW w:type="dxa" w:w="1040"/>
            <w:shd w:fill="F0F3F6"/>
          </w:tcPr>
          <w:p>
            <w:r/>
            <w:r>
              <w:rPr>
                <w:rFonts w:ascii="Inter" w:hAnsi="Inter" w:cs="Inter"/>
                <w:b w:val="0"/>
                <w:i w:val="0"/>
                <w:color w:val="2D2D2D"/>
                <w:sz w:val="19"/>
              </w:rPr>
              <w:t>3 LGU MOUs signed; 3 NGA MOAs initiated</w:t>
            </w:r>
          </w:p>
        </w:tc>
        <w:tc>
          <w:tcPr>
            <w:tcW w:type="dxa" w:w="1040"/>
            <w:shd w:fill="F0F3F6"/>
          </w:tcPr>
          <w:p>
            <w:r/>
            <w:r>
              <w:rPr>
                <w:rFonts w:ascii="Inter" w:hAnsi="Inter" w:cs="Inter"/>
                <w:b w:val="0"/>
                <w:i w:val="0"/>
                <w:color w:val="2D2D2D"/>
                <w:sz w:val="19"/>
              </w:rPr>
              <w:t>2 LGU MOUs signed; 2 NGA MOAs signed</w:t>
            </w:r>
          </w:p>
        </w:tc>
        <w:tc>
          <w:tcPr>
            <w:tcW w:type="dxa" w:w="1040"/>
            <w:shd w:fill="F0F3F6"/>
          </w:tcPr>
          <w:p>
            <w:r/>
            <w:r>
              <w:rPr>
                <w:rFonts w:ascii="Inter" w:hAnsi="Inter" w:cs="Inter"/>
                <w:b w:val="0"/>
                <w:i w:val="0"/>
                <w:color w:val="2D2D2D"/>
                <w:sz w:val="19"/>
              </w:rPr>
              <w:t>1 NGA MOA signed; coordination review</w:t>
            </w:r>
          </w:p>
        </w:tc>
        <w:tc>
          <w:tcPr>
            <w:tcW w:type="dxa" w:w="1040"/>
            <w:shd w:fill="F0F3F6"/>
          </w:tcPr>
          <w:p>
            <w:r/>
            <w:r>
              <w:rPr>
                <w:rFonts w:ascii="Inter" w:hAnsi="Inter" w:cs="Inter"/>
                <w:b w:val="0"/>
                <w:i w:val="0"/>
                <w:color w:val="2D2D2D"/>
                <w:sz w:val="19"/>
              </w:rPr>
              <w:t>Coordination and Partnerships Unit</w:t>
            </w:r>
          </w:p>
        </w:tc>
        <w:tc>
          <w:tcPr>
            <w:tcW w:type="dxa" w:w="1040"/>
            <w:shd w:fill="F0F3F6"/>
          </w:tcPr>
          <w:p>
            <w:r/>
            <w:r>
              <w:rPr>
                <w:rFonts w:ascii="Inter" w:hAnsi="Inter" w:cs="Inter"/>
                <w:b w:val="0"/>
                <w:i w:val="0"/>
                <w:color w:val="2D2D2D"/>
                <w:sz w:val="19"/>
              </w:rPr>
              <w:t>2,200,000</w:t>
            </w:r>
          </w:p>
        </w:tc>
      </w:tr>
      <w:tr>
        <w:tc>
          <w:tcPr>
            <w:tcW w:type="dxa" w:w="1040"/>
          </w:tcPr>
          <w:p>
            <w:r/>
            <w:r>
              <w:rPr>
                <w:rFonts w:ascii="Inter" w:hAnsi="Inter" w:cs="Inter"/>
                <w:b w:val="0"/>
                <w:i w:val="0"/>
                <w:color w:val="2D2D2D"/>
                <w:sz w:val="19"/>
              </w:rPr>
              <w:t>OBC-03</w:t>
            </w:r>
          </w:p>
        </w:tc>
        <w:tc>
          <w:tcPr>
            <w:tcW w:type="dxa" w:w="1040"/>
          </w:tcPr>
          <w:p>
            <w:r/>
            <w:r>
              <w:rPr>
                <w:rFonts w:ascii="Inter" w:hAnsi="Inter" w:cs="Inter"/>
                <w:b w:val="0"/>
                <w:i w:val="0"/>
                <w:color w:val="2D2D2D"/>
                <w:sz w:val="19"/>
              </w:rPr>
              <w:t>Advocacy and Information Program</w:t>
            </w:r>
          </w:p>
        </w:tc>
        <w:tc>
          <w:tcPr>
            <w:tcW w:type="dxa" w:w="1040"/>
          </w:tcPr>
          <w:p>
            <w:r/>
            <w:r>
              <w:rPr>
                <w:rFonts w:ascii="Inter" w:hAnsi="Inter" w:cs="Inter"/>
                <w:b w:val="0"/>
                <w:i w:val="0"/>
                <w:color w:val="2D2D2D"/>
                <w:sz w:val="19"/>
              </w:rPr>
              <w:t>8 FGDs; 2,000 IEC materials</w:t>
            </w:r>
          </w:p>
        </w:tc>
        <w:tc>
          <w:tcPr>
            <w:tcW w:type="dxa" w:w="1040"/>
          </w:tcPr>
          <w:p>
            <w:r/>
            <w:r>
              <w:rPr>
                <w:rFonts w:ascii="Inter" w:hAnsi="Inter" w:cs="Inter"/>
                <w:b w:val="0"/>
                <w:i w:val="0"/>
                <w:color w:val="2D2D2D"/>
                <w:sz w:val="19"/>
              </w:rPr>
              <w:t>FGD on OBC IDPs; FGD on Madrasa support</w:t>
            </w:r>
          </w:p>
        </w:tc>
        <w:tc>
          <w:tcPr>
            <w:tcW w:type="dxa" w:w="1040"/>
          </w:tcPr>
          <w:p>
            <w:r/>
            <w:r>
              <w:rPr>
                <w:rFonts w:ascii="Inter" w:hAnsi="Inter" w:cs="Inter"/>
                <w:b w:val="0"/>
                <w:i w:val="0"/>
                <w:color w:val="2D2D2D"/>
                <w:sz w:val="19"/>
              </w:rPr>
              <w:t>FGD on scholarships; FGD on request tracking</w:t>
            </w:r>
          </w:p>
        </w:tc>
        <w:tc>
          <w:tcPr>
            <w:tcW w:type="dxa" w:w="1040"/>
          </w:tcPr>
          <w:p>
            <w:r/>
            <w:r>
              <w:rPr>
                <w:rFonts w:ascii="Inter" w:hAnsi="Inter" w:cs="Inter"/>
                <w:b w:val="0"/>
                <w:i w:val="0"/>
                <w:color w:val="2D2D2D"/>
                <w:sz w:val="19"/>
              </w:rPr>
              <w:t>FGD on Sulu OBCs; FGD on service provision</w:t>
            </w:r>
          </w:p>
        </w:tc>
        <w:tc>
          <w:tcPr>
            <w:tcW w:type="dxa" w:w="1040"/>
          </w:tcPr>
          <w:p>
            <w:r/>
            <w:r>
              <w:rPr>
                <w:rFonts w:ascii="Inter" w:hAnsi="Inter" w:cs="Inter"/>
                <w:b w:val="0"/>
                <w:i w:val="0"/>
                <w:color w:val="2D2D2D"/>
                <w:sz w:val="19"/>
              </w:rPr>
              <w:t>FGD on nationalization; FGD on localization</w:t>
            </w:r>
          </w:p>
        </w:tc>
        <w:tc>
          <w:tcPr>
            <w:tcW w:type="dxa" w:w="1040"/>
          </w:tcPr>
          <w:p>
            <w:r/>
            <w:r>
              <w:rPr>
                <w:rFonts w:ascii="Inter" w:hAnsi="Inter" w:cs="Inter"/>
                <w:b w:val="0"/>
                <w:i w:val="0"/>
                <w:color w:val="2D2D2D"/>
                <w:sz w:val="19"/>
              </w:rPr>
              <w:t>Programs Division — Advocacy Team</w:t>
            </w:r>
          </w:p>
        </w:tc>
        <w:tc>
          <w:tcPr>
            <w:tcW w:type="dxa" w:w="1040"/>
          </w:tcPr>
          <w:p>
            <w:r/>
            <w:r>
              <w:rPr>
                <w:rFonts w:ascii="Inter" w:hAnsi="Inter" w:cs="Inter"/>
                <w:b w:val="0"/>
                <w:i w:val="0"/>
                <w:color w:val="2D2D2D"/>
                <w:sz w:val="19"/>
              </w:rPr>
              <w:t>3,500,000</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Total AWP Budget: PhP _______________</w:t>
      </w:r>
      <w:r>
        <w:rPr>
          <w:rFonts w:ascii="Inter" w:hAnsi="Inter" w:cs="Inter"/>
          <w:b w:val="0"/>
          <w:i w:val="0"/>
          <w:color w:val="2D2D2D"/>
          <w:sz w:val="22"/>
        </w:rPr>
      </w:r>
    </w:p>
    <w:p>
      <w:pPr>
        <w:spacing w:after="120" w:line="276" w:lineRule="auto"/>
      </w:pPr>
      <w:r>
        <w:rPr>
          <w:rFonts w:ascii="Inter" w:hAnsi="Inter" w:cs="Inter"/>
          <w:b w:val="0"/>
          <w:i w:val="0"/>
          <w:color w:val="2D2D2D"/>
          <w:sz w:val="22"/>
        </w:rPr>
        <w:t>*Instructions: PPA Code must match the PPA Register (Chapter 8). Annual Target must be expressed in the same unit as the outcome indicator. Quarterly milestones describe the specific deliverable due by end of each quarter — not just a proportional share of the annual target. Budget must match the AFP.*</w:t>
      </w:r>
    </w:p>
    <w:p>
      <w:pPr>
        <w:pStyle w:val="Heading3"/>
      </w:pPr>
      <w:r>
        <w:rPr>
          <w:rFonts w:ascii="Inter" w:hAnsi="Inter" w:cs="Inter"/>
          <w:b/>
          <w:i w:val="0"/>
          <w:color w:val="2C5F7C"/>
          <w:sz w:val="26"/>
        </w:rPr>
        <w:t>Template B: Annual Financial Plan (AFP)</w:t>
      </w:r>
    </w:p>
    <w:p>
      <w:pPr>
        <w:spacing w:after="120" w:line="276" w:lineRule="auto"/>
      </w:pPr>
      <w:r>
        <w:rPr>
          <w:rFonts w:ascii="Inter" w:hAnsi="Inter" w:cs="Inter"/>
          <w:b w:val="0"/>
          <w:i w:val="0"/>
          <w:color w:val="2D2D2D"/>
          <w:sz w:val="22"/>
        </w:rPr>
      </w:r>
      <w:r>
        <w:rPr>
          <w:rFonts w:ascii="Inter" w:hAnsi="Inter" w:cs="Inter"/>
          <w:b/>
          <w:i w:val="0"/>
          <w:color w:val="2D2D2D"/>
          <w:sz w:val="22"/>
        </w:rPr>
        <w:t>[MOA NAME] — Annual Financial Plan</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Fiscal Year: ____________</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**Prepared by:** _________________</w:t>
            </w:r>
          </w:p>
        </w:tc>
        <w:tc>
          <w:tcPr>
            <w:tcW w:type="dxa" w:w="4680"/>
            <w:shd w:fill="1B365D"/>
          </w:tcPr>
          <w:p>
            <w:r/>
            <w:r>
              <w:rPr>
                <w:rFonts w:ascii="Inter" w:hAnsi="Inter" w:cs="Inter"/>
                <w:b/>
                <w:i w:val="0"/>
                <w:color w:val="FFFFFF"/>
                <w:sz w:val="19"/>
              </w:rPr>
              <w:t>**Certified by (Budget Officer):** _________________</w:t>
            </w:r>
          </w:p>
        </w:tc>
      </w:tr>
    </w:tbl>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Pr>
          <w:p>
            <w:r/>
            <w:r>
              <w:rPr>
                <w:rFonts w:ascii="Inter" w:hAnsi="Inter" w:cs="Inter"/>
                <w:b/>
                <w:i w:val="0"/>
                <w:color w:val="FFFFFF"/>
                <w:sz w:val="19"/>
              </w:rPr>
              <w:t>PPA Code</w:t>
            </w:r>
          </w:p>
        </w:tc>
        <w:tc>
          <w:tcPr>
            <w:tcW w:type="dxa" w:w="1170"/>
            <w:shd w:fill="1B365D"/>
          </w:tcPr>
          <w:p>
            <w:r/>
            <w:r>
              <w:rPr>
                <w:rFonts w:ascii="Inter" w:hAnsi="Inter" w:cs="Inter"/>
                <w:b/>
                <w:i w:val="0"/>
                <w:color w:val="FFFFFF"/>
                <w:sz w:val="19"/>
              </w:rPr>
              <w:t>PPA Name</w:t>
            </w:r>
          </w:p>
        </w:tc>
        <w:tc>
          <w:tcPr>
            <w:tcW w:type="dxa" w:w="1170"/>
            <w:shd w:fill="1B365D"/>
          </w:tcPr>
          <w:p>
            <w:r/>
            <w:r>
              <w:rPr>
                <w:rFonts w:ascii="Inter" w:hAnsi="Inter" w:cs="Inter"/>
                <w:b/>
                <w:i w:val="0"/>
                <w:color w:val="FFFFFF"/>
                <w:sz w:val="19"/>
              </w:rPr>
              <w:t>PS (PhP)</w:t>
            </w:r>
          </w:p>
        </w:tc>
        <w:tc>
          <w:tcPr>
            <w:tcW w:type="dxa" w:w="1170"/>
            <w:shd w:fill="1B365D"/>
          </w:tcPr>
          <w:p>
            <w:r/>
            <w:r>
              <w:rPr>
                <w:rFonts w:ascii="Inter" w:hAnsi="Inter" w:cs="Inter"/>
                <w:b/>
                <w:i w:val="0"/>
                <w:color w:val="FFFFFF"/>
                <w:sz w:val="19"/>
              </w:rPr>
              <w:t>MOOE (PhP)</w:t>
            </w:r>
          </w:p>
        </w:tc>
        <w:tc>
          <w:tcPr>
            <w:tcW w:type="dxa" w:w="1170"/>
            <w:shd w:fill="1B365D"/>
          </w:tcPr>
          <w:p>
            <w:r/>
            <w:r>
              <w:rPr>
                <w:rFonts w:ascii="Inter" w:hAnsi="Inter" w:cs="Inter"/>
                <w:b/>
                <w:i w:val="0"/>
                <w:color w:val="FFFFFF"/>
                <w:sz w:val="19"/>
              </w:rPr>
              <w:t>CO (PhP)</w:t>
            </w:r>
          </w:p>
        </w:tc>
        <w:tc>
          <w:tcPr>
            <w:tcW w:type="dxa" w:w="1170"/>
            <w:shd w:fill="1B365D"/>
          </w:tcPr>
          <w:p>
            <w:r/>
            <w:r>
              <w:rPr>
                <w:rFonts w:ascii="Inter" w:hAnsi="Inter" w:cs="Inter"/>
                <w:b/>
                <w:i w:val="0"/>
                <w:color w:val="FFFFFF"/>
                <w:sz w:val="19"/>
              </w:rPr>
              <w:t>Total (PhP)</w:t>
            </w:r>
          </w:p>
        </w:tc>
        <w:tc>
          <w:tcPr>
            <w:tcW w:type="dxa" w:w="1170"/>
            <w:shd w:fill="1B365D"/>
          </w:tcPr>
          <w:p>
            <w:r/>
            <w:r>
              <w:rPr>
                <w:rFonts w:ascii="Inter" w:hAnsi="Inter" w:cs="Inter"/>
                <w:b/>
                <w:i w:val="0"/>
                <w:color w:val="FFFFFF"/>
                <w:sz w:val="19"/>
              </w:rPr>
              <w:t>Funding Source</w:t>
            </w:r>
          </w:p>
        </w:tc>
        <w:tc>
          <w:tcPr>
            <w:tcW w:type="dxa" w:w="1170"/>
            <w:shd w:fill="1B365D"/>
          </w:tcPr>
          <w:p>
            <w:r/>
            <w:r>
              <w:rPr>
                <w:rFonts w:ascii="Inter" w:hAnsi="Inter" w:cs="Inter"/>
                <w:b/>
                <w:i w:val="0"/>
                <w:color w:val="FFFFFF"/>
                <w:sz w:val="19"/>
              </w:rPr>
              <w:t>BAA 84 Ref</w:t>
            </w:r>
          </w:p>
        </w:tc>
      </w:tr>
      <w:tr>
        <w:tc>
          <w:tcPr>
            <w:tcW w:type="dxa" w:w="1170"/>
          </w:tcPr>
          <w:p>
            <w:r/>
            <w:r>
              <w:rPr>
                <w:rFonts w:ascii="Inter" w:hAnsi="Inter" w:cs="Inter"/>
                <w:b w:val="0"/>
                <w:i w:val="0"/>
                <w:color w:val="2D2D2D"/>
                <w:sz w:val="19"/>
              </w:rPr>
              <w:t>OBC-01</w:t>
            </w:r>
          </w:p>
        </w:tc>
        <w:tc>
          <w:tcPr>
            <w:tcW w:type="dxa" w:w="1170"/>
          </w:tcPr>
          <w:p>
            <w:r/>
            <w:r>
              <w:rPr>
                <w:rFonts w:ascii="Inter" w:hAnsi="Inter" w:cs="Inter"/>
                <w:b w:val="0"/>
                <w:i w:val="0"/>
                <w:color w:val="2D2D2D"/>
                <w:sz w:val="19"/>
              </w:rPr>
              <w:t>OBC Community Profiling Program</w:t>
            </w:r>
          </w:p>
        </w:tc>
        <w:tc>
          <w:tcPr>
            <w:tcW w:type="dxa" w:w="1170"/>
          </w:tcPr>
          <w:p>
            <w:r/>
            <w:r>
              <w:rPr>
                <w:rFonts w:ascii="Inter" w:hAnsi="Inter" w:cs="Inter"/>
                <w:b w:val="0"/>
                <w:i w:val="0"/>
                <w:color w:val="2D2D2D"/>
                <w:sz w:val="19"/>
              </w:rPr>
              <w:t>1,200,000</w:t>
            </w:r>
          </w:p>
        </w:tc>
        <w:tc>
          <w:tcPr>
            <w:tcW w:type="dxa" w:w="1170"/>
          </w:tcPr>
          <w:p>
            <w:r/>
            <w:r>
              <w:rPr>
                <w:rFonts w:ascii="Inter" w:hAnsi="Inter" w:cs="Inter"/>
                <w:b w:val="0"/>
                <w:i w:val="0"/>
                <w:color w:val="2D2D2D"/>
                <w:sz w:val="19"/>
              </w:rPr>
              <w:t>3,100,000</w:t>
            </w:r>
          </w:p>
        </w:tc>
        <w:tc>
          <w:tcPr>
            <w:tcW w:type="dxa" w:w="1170"/>
          </w:tcPr>
          <w:p>
            <w:r/>
            <w:r>
              <w:rPr>
                <w:rFonts w:ascii="Inter" w:hAnsi="Inter" w:cs="Inter"/>
                <w:b w:val="0"/>
                <w:i w:val="0"/>
                <w:color w:val="2D2D2D"/>
                <w:sz w:val="19"/>
              </w:rPr>
              <w:t>500,000</w:t>
            </w:r>
          </w:p>
        </w:tc>
        <w:tc>
          <w:tcPr>
            <w:tcW w:type="dxa" w:w="1170"/>
          </w:tcPr>
          <w:p>
            <w:r/>
            <w:r>
              <w:rPr>
                <w:rFonts w:ascii="Inter" w:hAnsi="Inter" w:cs="Inter"/>
                <w:b w:val="0"/>
                <w:i w:val="0"/>
                <w:color w:val="2D2D2D"/>
                <w:sz w:val="19"/>
              </w:rPr>
              <w:t>4,800,000</w:t>
            </w:r>
          </w:p>
        </w:tc>
        <w:tc>
          <w:tcPr>
            <w:tcW w:type="dxa" w:w="1170"/>
          </w:tcPr>
          <w:p>
            <w:r/>
            <w:r>
              <w:rPr>
                <w:rFonts w:ascii="Inter" w:hAnsi="Inter" w:cs="Inter"/>
                <w:b w:val="0"/>
                <w:i w:val="0"/>
                <w:color w:val="2D2D2D"/>
                <w:sz w:val="19"/>
              </w:rPr>
              <w:t>Regular Appropriation</w:t>
            </w:r>
          </w:p>
        </w:tc>
        <w:tc>
          <w:tcPr>
            <w:tcW w:type="dxa" w:w="1170"/>
          </w:tcPr>
          <w:p>
            <w:r/>
            <w:r>
              <w:rPr>
                <w:rFonts w:ascii="Inter" w:hAnsi="Inter" w:cs="Inter"/>
                <w:b w:val="0"/>
                <w:i w:val="0"/>
                <w:color w:val="2D2D2D"/>
                <w:sz w:val="19"/>
              </w:rPr>
              <w:t>Sec. 4(ao), (ae), (o)</w:t>
            </w:r>
          </w:p>
        </w:tc>
      </w:tr>
      <w:tr>
        <w:tc>
          <w:tcPr>
            <w:tcW w:type="dxa" w:w="1170"/>
            <w:shd w:fill="F0F3F6"/>
          </w:tcPr>
          <w:p>
            <w:r/>
            <w:r>
              <w:rPr>
                <w:rFonts w:ascii="Inter" w:hAnsi="Inter" w:cs="Inter"/>
                <w:b w:val="0"/>
                <w:i w:val="0"/>
                <w:color w:val="2D2D2D"/>
                <w:sz w:val="19"/>
              </w:rPr>
              <w:t>OBC-02</w:t>
            </w:r>
          </w:p>
        </w:tc>
        <w:tc>
          <w:tcPr>
            <w:tcW w:type="dxa" w:w="1170"/>
            <w:shd w:fill="F0F3F6"/>
          </w:tcPr>
          <w:p>
            <w:r/>
            <w:r>
              <w:rPr>
                <w:rFonts w:ascii="Inter" w:hAnsi="Inter" w:cs="Inter"/>
                <w:b w:val="0"/>
                <w:i w:val="0"/>
                <w:color w:val="2D2D2D"/>
                <w:sz w:val="19"/>
              </w:rPr>
              <w:t>LGU/NGA Coordination Program</w:t>
            </w:r>
          </w:p>
        </w:tc>
        <w:tc>
          <w:tcPr>
            <w:tcW w:type="dxa" w:w="1170"/>
            <w:shd w:fill="F0F3F6"/>
          </w:tcPr>
          <w:p>
            <w:r/>
            <w:r>
              <w:rPr>
                <w:rFonts w:ascii="Inter" w:hAnsi="Inter" w:cs="Inter"/>
                <w:b w:val="0"/>
                <w:i w:val="0"/>
                <w:color w:val="2D2D2D"/>
                <w:sz w:val="19"/>
              </w:rPr>
              <w:t>600,000</w:t>
            </w:r>
          </w:p>
        </w:tc>
        <w:tc>
          <w:tcPr>
            <w:tcW w:type="dxa" w:w="1170"/>
            <w:shd w:fill="F0F3F6"/>
          </w:tcPr>
          <w:p>
            <w:r/>
            <w:r>
              <w:rPr>
                <w:rFonts w:ascii="Inter" w:hAnsi="Inter" w:cs="Inter"/>
                <w:b w:val="0"/>
                <w:i w:val="0"/>
                <w:color w:val="2D2D2D"/>
                <w:sz w:val="19"/>
              </w:rPr>
              <w:t>1,600,000</w:t>
            </w:r>
          </w:p>
        </w:tc>
        <w:tc>
          <w:tcPr>
            <w:tcW w:type="dxa" w:w="1170"/>
            <w:shd w:fill="F0F3F6"/>
          </w:tcPr>
          <w:p>
            <w:r/>
            <w:r>
              <w:rPr>
                <w:rFonts w:ascii="Inter" w:hAnsi="Inter" w:cs="Inter"/>
                <w:b w:val="0"/>
                <w:i w:val="0"/>
                <w:color w:val="2D2D2D"/>
                <w:sz w:val="19"/>
              </w:rPr>
              <w:t>—</w:t>
            </w:r>
          </w:p>
        </w:tc>
        <w:tc>
          <w:tcPr>
            <w:tcW w:type="dxa" w:w="1170"/>
            <w:shd w:fill="F0F3F6"/>
          </w:tcPr>
          <w:p>
            <w:r/>
            <w:r>
              <w:rPr>
                <w:rFonts w:ascii="Inter" w:hAnsi="Inter" w:cs="Inter"/>
                <w:b w:val="0"/>
                <w:i w:val="0"/>
                <w:color w:val="2D2D2D"/>
                <w:sz w:val="19"/>
              </w:rPr>
              <w:t>2,200,000</w:t>
            </w:r>
          </w:p>
        </w:tc>
        <w:tc>
          <w:tcPr>
            <w:tcW w:type="dxa" w:w="1170"/>
            <w:shd w:fill="F0F3F6"/>
          </w:tcPr>
          <w:p>
            <w:r/>
            <w:r>
              <w:rPr>
                <w:rFonts w:ascii="Inter" w:hAnsi="Inter" w:cs="Inter"/>
                <w:b w:val="0"/>
                <w:i w:val="0"/>
                <w:color w:val="2D2D2D"/>
                <w:sz w:val="19"/>
              </w:rPr>
              <w:t>Regular Appropriation</w:t>
            </w:r>
          </w:p>
        </w:tc>
        <w:tc>
          <w:tcPr>
            <w:tcW w:type="dxa" w:w="1170"/>
            <w:shd w:fill="F0F3F6"/>
          </w:tcPr>
          <w:p>
            <w:r/>
            <w:r>
              <w:rPr>
                <w:rFonts w:ascii="Inter" w:hAnsi="Inter" w:cs="Inter"/>
                <w:b w:val="0"/>
                <w:i w:val="0"/>
                <w:color w:val="2D2D2D"/>
                <w:sz w:val="19"/>
              </w:rPr>
              <w:t>Sec. 4(ao), (ae)</w:t>
            </w:r>
          </w:p>
        </w:tc>
      </w:tr>
      <w:tr>
        <w:tc>
          <w:tcPr>
            <w:tcW w:type="dxa" w:w="1170"/>
          </w:tcPr>
          <w:p>
            <w:r/>
            <w:r>
              <w:rPr>
                <w:rFonts w:ascii="Inter" w:hAnsi="Inter" w:cs="Inter"/>
                <w:b w:val="0"/>
                <w:i w:val="0"/>
                <w:color w:val="2D2D2D"/>
                <w:sz w:val="19"/>
              </w:rPr>
              <w:t>OBC-03</w:t>
            </w:r>
          </w:p>
        </w:tc>
        <w:tc>
          <w:tcPr>
            <w:tcW w:type="dxa" w:w="1170"/>
          </w:tcPr>
          <w:p>
            <w:r/>
            <w:r>
              <w:rPr>
                <w:rFonts w:ascii="Inter" w:hAnsi="Inter" w:cs="Inter"/>
                <w:b w:val="0"/>
                <w:i w:val="0"/>
                <w:color w:val="2D2D2D"/>
                <w:sz w:val="19"/>
              </w:rPr>
              <w:t>Advocacy and Information Program</w:t>
            </w:r>
          </w:p>
        </w:tc>
        <w:tc>
          <w:tcPr>
            <w:tcW w:type="dxa" w:w="1170"/>
          </w:tcPr>
          <w:p>
            <w:r/>
            <w:r>
              <w:rPr>
                <w:rFonts w:ascii="Inter" w:hAnsi="Inter" w:cs="Inter"/>
                <w:b w:val="0"/>
                <w:i w:val="0"/>
                <w:color w:val="2D2D2D"/>
                <w:sz w:val="19"/>
              </w:rPr>
              <w:t>800,000</w:t>
            </w:r>
          </w:p>
        </w:tc>
        <w:tc>
          <w:tcPr>
            <w:tcW w:type="dxa" w:w="1170"/>
          </w:tcPr>
          <w:p>
            <w:r/>
            <w:r>
              <w:rPr>
                <w:rFonts w:ascii="Inter" w:hAnsi="Inter" w:cs="Inter"/>
                <w:b w:val="0"/>
                <w:i w:val="0"/>
                <w:color w:val="2D2D2D"/>
                <w:sz w:val="19"/>
              </w:rPr>
              <w:t>2,500,000</w:t>
            </w:r>
          </w:p>
        </w:tc>
        <w:tc>
          <w:tcPr>
            <w:tcW w:type="dxa" w:w="1170"/>
          </w:tcPr>
          <w:p>
            <w:r/>
            <w:r>
              <w:rPr>
                <w:rFonts w:ascii="Inter" w:hAnsi="Inter" w:cs="Inter"/>
                <w:b w:val="0"/>
                <w:i w:val="0"/>
                <w:color w:val="2D2D2D"/>
                <w:sz w:val="19"/>
              </w:rPr>
              <w:t>200,000</w:t>
            </w:r>
          </w:p>
        </w:tc>
        <w:tc>
          <w:tcPr>
            <w:tcW w:type="dxa" w:w="1170"/>
          </w:tcPr>
          <w:p>
            <w:r/>
            <w:r>
              <w:rPr>
                <w:rFonts w:ascii="Inter" w:hAnsi="Inter" w:cs="Inter"/>
                <w:b w:val="0"/>
                <w:i w:val="0"/>
                <w:color w:val="2D2D2D"/>
                <w:sz w:val="19"/>
              </w:rPr>
              <w:t>3,500,000</w:t>
            </w:r>
          </w:p>
        </w:tc>
        <w:tc>
          <w:tcPr>
            <w:tcW w:type="dxa" w:w="1170"/>
          </w:tcPr>
          <w:p>
            <w:r/>
            <w:r>
              <w:rPr>
                <w:rFonts w:ascii="Inter" w:hAnsi="Inter" w:cs="Inter"/>
                <w:b w:val="0"/>
                <w:i w:val="0"/>
                <w:color w:val="2D2D2D"/>
                <w:sz w:val="19"/>
              </w:rPr>
              <w:t>Regular Appropriation</w:t>
            </w:r>
          </w:p>
        </w:tc>
        <w:tc>
          <w:tcPr>
            <w:tcW w:type="dxa" w:w="1170"/>
          </w:tcPr>
          <w:p>
            <w:r/>
            <w:r>
              <w:rPr>
                <w:rFonts w:ascii="Inter" w:hAnsi="Inter" w:cs="Inter"/>
                <w:b w:val="0"/>
                <w:i w:val="0"/>
                <w:color w:val="2D2D2D"/>
                <w:sz w:val="19"/>
              </w:rPr>
              <w:t>Sec. 4(ao), (ae), (o)</w:t>
            </w:r>
          </w:p>
        </w:tc>
      </w:tr>
      <w:tr>
        <w:tc>
          <w:tcPr>
            <w:tcW w:type="dxa" w:w="1170"/>
            <w:shd w:fill="F0F3F6"/>
          </w:tcPr>
          <w:p>
            <w:r/>
            <w:r>
              <w:rPr>
                <w:rFonts w:ascii="Inter" w:hAnsi="Inter" w:cs="Inter"/>
                <w:b w:val="0"/>
                <w:i w:val="0"/>
                <w:color w:val="2D2D2D"/>
                <w:sz w:val="19"/>
              </w:rPr>
              <w:t>**TOTAL**</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
      <w:pPr>
        <w:spacing w:after="120" w:line="276" w:lineRule="auto"/>
      </w:pPr>
      <w:r>
        <w:rPr>
          <w:rFonts w:ascii="Inter" w:hAnsi="Inter" w:cs="Inter"/>
          <w:b w:val="0"/>
          <w:i w:val="0"/>
          <w:color w:val="2D2D2D"/>
          <w:sz w:val="22"/>
        </w:rPr>
      </w:r>
      <w:r>
        <w:rPr>
          <w:rFonts w:ascii="Inter" w:hAnsi="Inter" w:cs="Inter"/>
          <w:b/>
          <w:i w:val="0"/>
          <w:color w:val="2D2D2D"/>
          <w:sz w:val="22"/>
        </w:rPr>
        <w:t>Obligation Schedule:</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Quarter</w:t>
            </w:r>
          </w:p>
        </w:tc>
        <w:tc>
          <w:tcPr>
            <w:tcW w:type="dxa" w:w="1872"/>
            <w:shd w:fill="1B365D"/>
          </w:tcPr>
          <w:p>
            <w:r/>
            <w:r>
              <w:rPr>
                <w:rFonts w:ascii="Inter" w:hAnsi="Inter" w:cs="Inter"/>
                <w:b/>
                <w:i w:val="0"/>
                <w:color w:val="FFFFFF"/>
                <w:sz w:val="19"/>
              </w:rPr>
              <w:t>PS Target (%)</w:t>
            </w:r>
          </w:p>
        </w:tc>
        <w:tc>
          <w:tcPr>
            <w:tcW w:type="dxa" w:w="1872"/>
            <w:shd w:fill="1B365D"/>
          </w:tcPr>
          <w:p>
            <w:r/>
            <w:r>
              <w:rPr>
                <w:rFonts w:ascii="Inter" w:hAnsi="Inter" w:cs="Inter"/>
                <w:b/>
                <w:i w:val="0"/>
                <w:color w:val="FFFFFF"/>
                <w:sz w:val="19"/>
              </w:rPr>
              <w:t>MOOE Target (%)</w:t>
            </w:r>
          </w:p>
        </w:tc>
        <w:tc>
          <w:tcPr>
            <w:tcW w:type="dxa" w:w="1872"/>
            <w:shd w:fill="1B365D"/>
          </w:tcPr>
          <w:p>
            <w:r/>
            <w:r>
              <w:rPr>
                <w:rFonts w:ascii="Inter" w:hAnsi="Inter" w:cs="Inter"/>
                <w:b/>
                <w:i w:val="0"/>
                <w:color w:val="FFFFFF"/>
                <w:sz w:val="19"/>
              </w:rPr>
              <w:t>CO Target (%)</w:t>
            </w:r>
          </w:p>
        </w:tc>
        <w:tc>
          <w:tcPr>
            <w:tcW w:type="dxa" w:w="1872"/>
            <w:shd w:fill="1B365D"/>
          </w:tcPr>
          <w:p>
            <w:r/>
            <w:r>
              <w:rPr>
                <w:rFonts w:ascii="Inter" w:hAnsi="Inter" w:cs="Inter"/>
                <w:b/>
                <w:i w:val="0"/>
                <w:color w:val="FFFFFF"/>
                <w:sz w:val="19"/>
              </w:rPr>
              <w:t>Overall Target (%)</w:t>
            </w:r>
          </w:p>
        </w:tc>
      </w:tr>
      <w:tr>
        <w:tc>
          <w:tcPr>
            <w:tcW w:type="dxa" w:w="1872"/>
          </w:tcPr>
          <w:p>
            <w:r/>
            <w:r>
              <w:rPr>
                <w:rFonts w:ascii="Inter" w:hAnsi="Inter" w:cs="Inter"/>
                <w:b w:val="0"/>
                <w:i w:val="0"/>
                <w:color w:val="2D2D2D"/>
                <w:sz w:val="19"/>
              </w:rPr>
              <w:t>Q1 (by Mar 31)</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20%</w:t>
            </w:r>
          </w:p>
        </w:tc>
      </w:tr>
      <w:tr>
        <w:tc>
          <w:tcPr>
            <w:tcW w:type="dxa" w:w="1872"/>
            <w:shd w:fill="F0F3F6"/>
          </w:tcPr>
          <w:p>
            <w:r/>
            <w:r>
              <w:rPr>
                <w:rFonts w:ascii="Inter" w:hAnsi="Inter" w:cs="Inter"/>
                <w:b w:val="0"/>
                <w:i w:val="0"/>
                <w:color w:val="2D2D2D"/>
                <w:sz w:val="19"/>
              </w:rPr>
              <w:t>Q2 (by Jun 30)</w:t>
            </w:r>
          </w:p>
        </w:tc>
        <w:tc>
          <w:tcPr>
            <w:tcW w:type="dxa" w:w="1872"/>
            <w:shd w:fill="F0F3F6"/>
          </w:tcPr>
          <w:p>
            <w:r/>
            <w:r>
              <w:rPr>
                <w:rFonts w:ascii="Inter" w:hAnsi="Inter" w:cs="Inter"/>
                <w:b w:val="0"/>
                <w:i w:val="0"/>
                <w:color w:val="2D2D2D"/>
                <w:sz w:val="19"/>
              </w:rPr>
              <w:t>%</w:t>
            </w:r>
          </w:p>
        </w:tc>
        <w:tc>
          <w:tcPr>
            <w:tcW w:type="dxa" w:w="1872"/>
            <w:shd w:fill="F0F3F6"/>
          </w:tcPr>
          <w:p>
            <w:r/>
            <w:r>
              <w:rPr>
                <w:rFonts w:ascii="Inter" w:hAnsi="Inter" w:cs="Inter"/>
                <w:b w:val="0"/>
                <w:i w:val="0"/>
                <w:color w:val="2D2D2D"/>
                <w:sz w:val="19"/>
              </w:rPr>
              <w:t>%</w:t>
            </w:r>
          </w:p>
        </w:tc>
        <w:tc>
          <w:tcPr>
            <w:tcW w:type="dxa" w:w="1872"/>
            <w:shd w:fill="F0F3F6"/>
          </w:tcPr>
          <w:p>
            <w:r/>
            <w:r>
              <w:rPr>
                <w:rFonts w:ascii="Inter" w:hAnsi="Inter" w:cs="Inter"/>
                <w:b w:val="0"/>
                <w:i w:val="0"/>
                <w:color w:val="2D2D2D"/>
                <w:sz w:val="19"/>
              </w:rPr>
              <w:t>%</w:t>
            </w:r>
          </w:p>
        </w:tc>
        <w:tc>
          <w:tcPr>
            <w:tcW w:type="dxa" w:w="1872"/>
            <w:shd w:fill="F0F3F6"/>
          </w:tcPr>
          <w:p>
            <w:r/>
            <w:r>
              <w:rPr>
                <w:rFonts w:ascii="Inter" w:hAnsi="Inter" w:cs="Inter"/>
                <w:b w:val="0"/>
                <w:i w:val="0"/>
                <w:color w:val="2D2D2D"/>
                <w:sz w:val="19"/>
              </w:rPr>
              <w:t>50%</w:t>
            </w:r>
          </w:p>
        </w:tc>
      </w:tr>
      <w:tr>
        <w:tc>
          <w:tcPr>
            <w:tcW w:type="dxa" w:w="1872"/>
          </w:tcPr>
          <w:p>
            <w:r/>
            <w:r>
              <w:rPr>
                <w:rFonts w:ascii="Inter" w:hAnsi="Inter" w:cs="Inter"/>
                <w:b w:val="0"/>
                <w:i w:val="0"/>
                <w:color w:val="2D2D2D"/>
                <w:sz w:val="19"/>
              </w:rPr>
              <w:t>Q3 (by Sep 30)</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80%</w:t>
            </w:r>
          </w:p>
        </w:tc>
      </w:tr>
      <w:tr>
        <w:tc>
          <w:tcPr>
            <w:tcW w:type="dxa" w:w="1872"/>
            <w:shd w:fill="F0F3F6"/>
          </w:tcPr>
          <w:p>
            <w:r/>
            <w:r>
              <w:rPr>
                <w:rFonts w:ascii="Inter" w:hAnsi="Inter" w:cs="Inter"/>
                <w:b w:val="0"/>
                <w:i w:val="0"/>
                <w:color w:val="2D2D2D"/>
                <w:sz w:val="19"/>
              </w:rPr>
              <w:t>Q4 (by Dec 31)</w:t>
            </w:r>
          </w:p>
        </w:tc>
        <w:tc>
          <w:tcPr>
            <w:tcW w:type="dxa" w:w="1872"/>
            <w:shd w:fill="F0F3F6"/>
          </w:tcPr>
          <w:p>
            <w:r/>
            <w:r>
              <w:rPr>
                <w:rFonts w:ascii="Inter" w:hAnsi="Inter" w:cs="Inter"/>
                <w:b w:val="0"/>
                <w:i w:val="0"/>
                <w:color w:val="2D2D2D"/>
                <w:sz w:val="19"/>
              </w:rPr>
              <w:t>%</w:t>
            </w:r>
          </w:p>
        </w:tc>
        <w:tc>
          <w:tcPr>
            <w:tcW w:type="dxa" w:w="1872"/>
            <w:shd w:fill="F0F3F6"/>
          </w:tcPr>
          <w:p>
            <w:r/>
            <w:r>
              <w:rPr>
                <w:rFonts w:ascii="Inter" w:hAnsi="Inter" w:cs="Inter"/>
                <w:b w:val="0"/>
                <w:i w:val="0"/>
                <w:color w:val="2D2D2D"/>
                <w:sz w:val="19"/>
              </w:rPr>
              <w:t>%</w:t>
            </w:r>
          </w:p>
        </w:tc>
        <w:tc>
          <w:tcPr>
            <w:tcW w:type="dxa" w:w="1872"/>
            <w:shd w:fill="F0F3F6"/>
          </w:tcPr>
          <w:p>
            <w:r/>
            <w:r>
              <w:rPr>
                <w:rFonts w:ascii="Inter" w:hAnsi="Inter" w:cs="Inter"/>
                <w:b w:val="0"/>
                <w:i w:val="0"/>
                <w:color w:val="2D2D2D"/>
                <w:sz w:val="19"/>
              </w:rPr>
              <w:t>%</w:t>
            </w:r>
          </w:p>
        </w:tc>
        <w:tc>
          <w:tcPr>
            <w:tcW w:type="dxa" w:w="1872"/>
            <w:shd w:fill="F0F3F6"/>
          </w:tcPr>
          <w:p>
            <w:r/>
            <w:r>
              <w:rPr>
                <w:rFonts w:ascii="Inter" w:hAnsi="Inter" w:cs="Inter"/>
                <w:b w:val="0"/>
                <w:i w:val="0"/>
                <w:color w:val="2D2D2D"/>
                <w:sz w:val="19"/>
              </w:rPr>
              <w:t>100%</w:t>
            </w:r>
          </w:p>
        </w:tc>
      </w:tr>
    </w:tbl>
    <w:p/>
    <w:p>
      <w:pPr>
        <w:spacing w:after="120" w:line="276" w:lineRule="auto"/>
      </w:pPr>
      <w:r>
        <w:rPr>
          <w:rFonts w:ascii="Inter" w:hAnsi="Inter" w:cs="Inter"/>
          <w:b w:val="0"/>
          <w:i w:val="0"/>
          <w:color w:val="2D2D2D"/>
          <w:sz w:val="22"/>
        </w:rPr>
        <w:t>*Instructions: PS classification includes all salaries, wages, honoraria, allowances, and step increments (BAA 84, Sec. 4[ao]). MOOE covers operating costs including supplies, travel, training costs, repairs, and utilities (Sec. 4[ae]). CO covers goods and services whose benefits extend beyond the fiscal year, including equipment and construction (Sec. 4[o]). Obligation targets reflect MFBM-prescribed quarterly pacing requirements.*</w:t>
      </w:r>
    </w:p>
    <w:p>
      <w:pPr>
        <w:pStyle w:val="Heading3"/>
      </w:pPr>
      <w:r>
        <w:rPr>
          <w:rFonts w:ascii="Inter" w:hAnsi="Inter" w:cs="Inter"/>
          <w:b/>
          <w:i w:val="0"/>
          <w:color w:val="2C5F7C"/>
          <w:sz w:val="26"/>
        </w:rPr>
        <w:t>Template C: Annual Procurement Plan (APP)</w:t>
      </w:r>
    </w:p>
    <w:p>
      <w:pPr>
        <w:spacing w:after="120" w:line="276" w:lineRule="auto"/>
      </w:pPr>
      <w:r>
        <w:rPr>
          <w:rFonts w:ascii="Inter" w:hAnsi="Inter" w:cs="Inter"/>
          <w:b w:val="0"/>
          <w:i w:val="0"/>
          <w:color w:val="2D2D2D"/>
          <w:sz w:val="22"/>
        </w:rPr>
      </w:r>
      <w:r>
        <w:rPr>
          <w:rFonts w:ascii="Inter" w:hAnsi="Inter" w:cs="Inter"/>
          <w:b/>
          <w:i w:val="0"/>
          <w:color w:val="2D2D2D"/>
          <w:sz w:val="22"/>
        </w:rPr>
        <w:t>[MOA NAME] — Annual Procurement Plan</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Fiscal Year: ____________</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**Prepared by:** _________________</w:t>
            </w:r>
          </w:p>
        </w:tc>
        <w:tc>
          <w:tcPr>
            <w:tcW w:type="dxa" w:w="4680"/>
            <w:shd w:fill="1B365D"/>
          </w:tcPr>
          <w:p>
            <w:r/>
            <w:r>
              <w:rPr>
                <w:rFonts w:ascii="Inter" w:hAnsi="Inter" w:cs="Inter"/>
                <w:b/>
                <w:i w:val="0"/>
                <w:color w:val="FFFFFF"/>
                <w:sz w:val="19"/>
              </w:rPr>
              <w:t>**Approved by (BAC Chairperson):** _________________</w:t>
            </w:r>
          </w:p>
        </w:tc>
      </w:tr>
    </w:tbl>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Item No.</w:t>
            </w:r>
          </w:p>
        </w:tc>
        <w:tc>
          <w:tcPr>
            <w:tcW w:type="dxa" w:w="1337"/>
            <w:shd w:fill="1B365D"/>
          </w:tcPr>
          <w:p>
            <w:r/>
            <w:r>
              <w:rPr>
                <w:rFonts w:ascii="Inter" w:hAnsi="Inter" w:cs="Inter"/>
                <w:b/>
                <w:i w:val="0"/>
                <w:color w:val="FFFFFF"/>
                <w:sz w:val="19"/>
              </w:rPr>
              <w:t>PPA Code</w:t>
            </w:r>
          </w:p>
        </w:tc>
        <w:tc>
          <w:tcPr>
            <w:tcW w:type="dxa" w:w="1337"/>
            <w:shd w:fill="1B365D"/>
          </w:tcPr>
          <w:p>
            <w:r/>
            <w:r>
              <w:rPr>
                <w:rFonts w:ascii="Inter" w:hAnsi="Inter" w:cs="Inter"/>
                <w:b/>
                <w:i w:val="0"/>
                <w:color w:val="FFFFFF"/>
                <w:sz w:val="19"/>
              </w:rPr>
              <w:t>Description of Item/Service</w:t>
            </w:r>
          </w:p>
        </w:tc>
        <w:tc>
          <w:tcPr>
            <w:tcW w:type="dxa" w:w="1337"/>
            <w:shd w:fill="1B365D"/>
          </w:tcPr>
          <w:p>
            <w:r/>
            <w:r>
              <w:rPr>
                <w:rFonts w:ascii="Inter" w:hAnsi="Inter" w:cs="Inter"/>
                <w:b/>
                <w:i w:val="0"/>
                <w:color w:val="FFFFFF"/>
                <w:sz w:val="19"/>
              </w:rPr>
              <w:t>Mode of Procurement</w:t>
            </w:r>
          </w:p>
        </w:tc>
        <w:tc>
          <w:tcPr>
            <w:tcW w:type="dxa" w:w="1337"/>
            <w:shd w:fill="1B365D"/>
          </w:tcPr>
          <w:p>
            <w:r/>
            <w:r>
              <w:rPr>
                <w:rFonts w:ascii="Inter" w:hAnsi="Inter" w:cs="Inter"/>
                <w:b/>
                <w:i w:val="0"/>
                <w:color w:val="FFFFFF"/>
                <w:sz w:val="19"/>
              </w:rPr>
              <w:t>Approved Budget for Contract — ABC (PhP)</w:t>
            </w:r>
          </w:p>
        </w:tc>
        <w:tc>
          <w:tcPr>
            <w:tcW w:type="dxa" w:w="1337"/>
            <w:shd w:fill="1B365D"/>
          </w:tcPr>
          <w:p>
            <w:r/>
            <w:r>
              <w:rPr>
                <w:rFonts w:ascii="Inter" w:hAnsi="Inter" w:cs="Inter"/>
                <w:b/>
                <w:i w:val="0"/>
                <w:color w:val="FFFFFF"/>
                <w:sz w:val="19"/>
              </w:rPr>
              <w:t>Procurement Schedule</w:t>
            </w:r>
          </w:p>
        </w:tc>
        <w:tc>
          <w:tcPr>
            <w:tcW w:type="dxa" w:w="1337"/>
            <w:shd w:fill="1B365D"/>
          </w:tcPr>
          <w:p>
            <w:r/>
            <w:r>
              <w:rPr>
                <w:rFonts w:ascii="Inter" w:hAnsi="Inter" w:cs="Inter"/>
                <w:b/>
                <w:i w:val="0"/>
                <w:color w:val="FFFFFF"/>
                <w:sz w:val="19"/>
              </w:rPr>
              <w:t>End User</w:t>
            </w:r>
          </w:p>
        </w:tc>
      </w:tr>
      <w:tr>
        <w:tc>
          <w:tcPr>
            <w:tcW w:type="dxa" w:w="1337"/>
          </w:tcPr>
          <w:p>
            <w:r/>
            <w:r>
              <w:rPr>
                <w:rFonts w:ascii="Inter" w:hAnsi="Inter" w:cs="Inter"/>
                <w:b w:val="0"/>
                <w:i w:val="0"/>
                <w:color w:val="2D2D2D"/>
                <w:sz w:val="19"/>
              </w:rPr>
              <w:t>Post: ___ / Open: ___ / Award: ___ / Delivery: ___</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shd w:fill="F0F3F6"/>
          </w:tcPr>
          <w:p>
            <w:r/>
            <w:r>
              <w:rPr>
                <w:rFonts w:ascii="Inter" w:hAnsi="Inter" w:cs="Inter"/>
                <w:b w:val="0"/>
                <w:i w:val="0"/>
                <w:color w:val="2D2D2D"/>
                <w:sz w:val="19"/>
              </w:rPr>
              <w:t>1</w:t>
            </w:r>
          </w:p>
        </w:tc>
        <w:tc>
          <w:tcPr>
            <w:tcW w:type="dxa" w:w="1337"/>
            <w:shd w:fill="F0F3F6"/>
          </w:tcPr>
          <w:p>
            <w:r/>
            <w:r>
              <w:rPr>
                <w:rFonts w:ascii="Inter" w:hAnsi="Inter" w:cs="Inter"/>
                <w:b w:val="0"/>
                <w:i w:val="0"/>
                <w:color w:val="2D2D2D"/>
                <w:sz w:val="19"/>
              </w:rPr>
              <w:t>OBC-01</w:t>
            </w:r>
          </w:p>
        </w:tc>
        <w:tc>
          <w:tcPr>
            <w:tcW w:type="dxa" w:w="1337"/>
            <w:shd w:fill="F0F3F6"/>
          </w:tcPr>
          <w:p>
            <w:r/>
            <w:r>
              <w:rPr>
                <w:rFonts w:ascii="Inter" w:hAnsi="Inter" w:cs="Inter"/>
                <w:b w:val="0"/>
                <w:i w:val="0"/>
                <w:color w:val="2D2D2D"/>
                <w:sz w:val="19"/>
              </w:rPr>
              <w:t>Tablets for community profiling with GPS and offline data collection, 10 units</w:t>
            </w:r>
          </w:p>
        </w:tc>
        <w:tc>
          <w:tcPr>
            <w:tcW w:type="dxa" w:w="1337"/>
            <w:shd w:fill="F0F3F6"/>
          </w:tcPr>
          <w:p>
            <w:r/>
            <w:r>
              <w:rPr>
                <w:rFonts w:ascii="Inter" w:hAnsi="Inter" w:cs="Inter"/>
                <w:b w:val="0"/>
                <w:i w:val="0"/>
                <w:color w:val="2D2D2D"/>
                <w:sz w:val="19"/>
              </w:rPr>
              <w:t>Shopping</w:t>
            </w:r>
          </w:p>
        </w:tc>
        <w:tc>
          <w:tcPr>
            <w:tcW w:type="dxa" w:w="1337"/>
            <w:shd w:fill="F0F3F6"/>
          </w:tcPr>
          <w:p>
            <w:r/>
            <w:r>
              <w:rPr>
                <w:rFonts w:ascii="Inter" w:hAnsi="Inter" w:cs="Inter"/>
                <w:b w:val="0"/>
                <w:i w:val="0"/>
                <w:color w:val="2D2D2D"/>
                <w:sz w:val="19"/>
              </w:rPr>
              <w:t>350,000</w:t>
            </w:r>
          </w:p>
        </w:tc>
        <w:tc>
          <w:tcPr>
            <w:tcW w:type="dxa" w:w="1337"/>
            <w:shd w:fill="F0F3F6"/>
          </w:tcPr>
          <w:p>
            <w:r/>
            <w:r>
              <w:rPr>
                <w:rFonts w:ascii="Inter" w:hAnsi="Inter" w:cs="Inter"/>
                <w:b w:val="0"/>
                <w:i w:val="0"/>
                <w:color w:val="2D2D2D"/>
                <w:sz w:val="19"/>
              </w:rPr>
              <w:t>Purchase: Jan 10 / Delivery: Jan 25</w:t>
            </w:r>
          </w:p>
        </w:tc>
        <w:tc>
          <w:tcPr>
            <w:tcW w:type="dxa" w:w="1337"/>
            <w:shd w:fill="F0F3F6"/>
          </w:tcPr>
          <w:p>
            <w:r/>
            <w:r>
              <w:rPr>
                <w:rFonts w:ascii="Inter" w:hAnsi="Inter" w:cs="Inter"/>
                <w:b w:val="0"/>
                <w:i w:val="0"/>
                <w:color w:val="2D2D2D"/>
                <w:sz w:val="19"/>
              </w:rPr>
              <w:t>Programs Division — Community Profiling Team</w:t>
            </w:r>
          </w:p>
        </w:tc>
      </w:tr>
      <w:tr>
        <w:tc>
          <w:tcPr>
            <w:tcW w:type="dxa" w:w="1337"/>
          </w:tcPr>
          <w:p>
            <w:r/>
            <w:r>
              <w:rPr>
                <w:rFonts w:ascii="Inter" w:hAnsi="Inter" w:cs="Inter"/>
                <w:b w:val="0"/>
                <w:i w:val="0"/>
                <w:color w:val="2D2D2D"/>
                <w:sz w:val="19"/>
              </w:rPr>
              <w:t>2</w:t>
            </w:r>
          </w:p>
        </w:tc>
        <w:tc>
          <w:tcPr>
            <w:tcW w:type="dxa" w:w="1337"/>
          </w:tcPr>
          <w:p>
            <w:r/>
            <w:r>
              <w:rPr>
                <w:rFonts w:ascii="Inter" w:hAnsi="Inter" w:cs="Inter"/>
                <w:b w:val="0"/>
                <w:i w:val="0"/>
                <w:color w:val="2D2D2D"/>
                <w:sz w:val="19"/>
              </w:rPr>
              <w:t>OBC-01</w:t>
            </w:r>
          </w:p>
        </w:tc>
        <w:tc>
          <w:tcPr>
            <w:tcW w:type="dxa" w:w="1337"/>
          </w:tcPr>
          <w:p>
            <w:r/>
            <w:r>
              <w:rPr>
                <w:rFonts w:ascii="Inter" w:hAnsi="Inter" w:cs="Inter"/>
                <w:b w:val="0"/>
                <w:i w:val="0"/>
                <w:color w:val="2D2D2D"/>
                <w:sz w:val="19"/>
              </w:rPr>
              <w:t>Profiling questionnaires, consent forms, and data collection guides, 2,000 sets</w:t>
            </w:r>
          </w:p>
        </w:tc>
        <w:tc>
          <w:tcPr>
            <w:tcW w:type="dxa" w:w="1337"/>
          </w:tcPr>
          <w:p>
            <w:r/>
            <w:r>
              <w:rPr>
                <w:rFonts w:ascii="Inter" w:hAnsi="Inter" w:cs="Inter"/>
                <w:b w:val="0"/>
                <w:i w:val="0"/>
                <w:color w:val="2D2D2D"/>
                <w:sz w:val="19"/>
              </w:rPr>
              <w:t>Shopping</w:t>
            </w:r>
          </w:p>
        </w:tc>
        <w:tc>
          <w:tcPr>
            <w:tcW w:type="dxa" w:w="1337"/>
          </w:tcPr>
          <w:p>
            <w:r/>
            <w:r>
              <w:rPr>
                <w:rFonts w:ascii="Inter" w:hAnsi="Inter" w:cs="Inter"/>
                <w:b w:val="0"/>
                <w:i w:val="0"/>
                <w:color w:val="2D2D2D"/>
                <w:sz w:val="19"/>
              </w:rPr>
              <w:t>120,000</w:t>
            </w:r>
          </w:p>
        </w:tc>
        <w:tc>
          <w:tcPr>
            <w:tcW w:type="dxa" w:w="1337"/>
          </w:tcPr>
          <w:p>
            <w:r/>
            <w:r>
              <w:rPr>
                <w:rFonts w:ascii="Inter" w:hAnsi="Inter" w:cs="Inter"/>
                <w:b w:val="0"/>
                <w:i w:val="0"/>
                <w:color w:val="2D2D2D"/>
                <w:sz w:val="19"/>
              </w:rPr>
              <w:t>Purchase: Jan 15 / Delivery: Feb 1</w:t>
            </w:r>
          </w:p>
        </w:tc>
        <w:tc>
          <w:tcPr>
            <w:tcW w:type="dxa" w:w="1337"/>
          </w:tcPr>
          <w:p>
            <w:r/>
            <w:r>
              <w:rPr>
                <w:rFonts w:ascii="Inter" w:hAnsi="Inter" w:cs="Inter"/>
                <w:b w:val="0"/>
                <w:i w:val="0"/>
                <w:color w:val="2D2D2D"/>
                <w:sz w:val="19"/>
              </w:rPr>
              <w:t>Programs Division — Community Profiling Team</w:t>
            </w:r>
          </w:p>
        </w:tc>
      </w:tr>
      <w:tr>
        <w:tc>
          <w:tcPr>
            <w:tcW w:type="dxa" w:w="1337"/>
            <w:shd w:fill="F0F3F6"/>
          </w:tcPr>
          <w:p>
            <w:r/>
            <w:r>
              <w:rPr>
                <w:rFonts w:ascii="Inter" w:hAnsi="Inter" w:cs="Inter"/>
                <w:b w:val="0"/>
                <w:i w:val="0"/>
                <w:color w:val="2D2D2D"/>
                <w:sz w:val="19"/>
              </w:rPr>
              <w:t>3</w:t>
            </w:r>
          </w:p>
        </w:tc>
        <w:tc>
          <w:tcPr>
            <w:tcW w:type="dxa" w:w="1337"/>
            <w:shd w:fill="F0F3F6"/>
          </w:tcPr>
          <w:p>
            <w:r/>
            <w:r>
              <w:rPr>
                <w:rFonts w:ascii="Inter" w:hAnsi="Inter" w:cs="Inter"/>
                <w:b w:val="0"/>
                <w:i w:val="0"/>
                <w:color w:val="2D2D2D"/>
                <w:sz w:val="19"/>
              </w:rPr>
              <w:t>OBC-01, OBC-03</w:t>
            </w:r>
          </w:p>
        </w:tc>
        <w:tc>
          <w:tcPr>
            <w:tcW w:type="dxa" w:w="1337"/>
            <w:shd w:fill="F0F3F6"/>
          </w:tcPr>
          <w:p>
            <w:r/>
            <w:r>
              <w:rPr>
                <w:rFonts w:ascii="Inter" w:hAnsi="Inter" w:cs="Inter"/>
                <w:b w:val="0"/>
                <w:i w:val="0"/>
                <w:color w:val="2D2D2D"/>
                <w:sz w:val="19"/>
              </w:rPr>
              <w:t>Vehicle rental for field profiling and FGD facilitation, 2 vehicles, 12 months</w:t>
            </w:r>
          </w:p>
        </w:tc>
        <w:tc>
          <w:tcPr>
            <w:tcW w:type="dxa" w:w="1337"/>
            <w:shd w:fill="F0F3F6"/>
          </w:tcPr>
          <w:p>
            <w:r/>
            <w:r>
              <w:rPr>
                <w:rFonts w:ascii="Inter" w:hAnsi="Inter" w:cs="Inter"/>
                <w:b w:val="0"/>
                <w:i w:val="0"/>
                <w:color w:val="2D2D2D"/>
                <w:sz w:val="19"/>
              </w:rPr>
              <w:t>Negotiated — Lease</w:t>
            </w:r>
          </w:p>
        </w:tc>
        <w:tc>
          <w:tcPr>
            <w:tcW w:type="dxa" w:w="1337"/>
            <w:shd w:fill="F0F3F6"/>
          </w:tcPr>
          <w:p>
            <w:r/>
            <w:r>
              <w:rPr>
                <w:rFonts w:ascii="Inter" w:hAnsi="Inter" w:cs="Inter"/>
                <w:b w:val="0"/>
                <w:i w:val="0"/>
                <w:color w:val="2D2D2D"/>
                <w:sz w:val="19"/>
              </w:rPr>
              <w:t>960,000</w:t>
            </w:r>
          </w:p>
        </w:tc>
        <w:tc>
          <w:tcPr>
            <w:tcW w:type="dxa" w:w="1337"/>
            <w:shd w:fill="F0F3F6"/>
          </w:tcPr>
          <w:p>
            <w:r/>
            <w:r>
              <w:rPr>
                <w:rFonts w:ascii="Inter" w:hAnsi="Inter" w:cs="Inter"/>
                <w:b w:val="0"/>
                <w:i w:val="0"/>
                <w:color w:val="2D2D2D"/>
                <w:sz w:val="19"/>
              </w:rPr>
              <w:t>Notice: Jan 5 / Award: Jan 20 / Start: Feb 1</w:t>
            </w:r>
          </w:p>
        </w:tc>
        <w:tc>
          <w:tcPr>
            <w:tcW w:type="dxa" w:w="1337"/>
            <w:shd w:fill="F0F3F6"/>
          </w:tcPr>
          <w:p>
            <w:r/>
            <w:r>
              <w:rPr>
                <w:rFonts w:ascii="Inter" w:hAnsi="Inter" w:cs="Inter"/>
                <w:b w:val="0"/>
                <w:i w:val="0"/>
                <w:color w:val="2D2D2D"/>
                <w:sz w:val="19"/>
              </w:rPr>
              <w:t>Programs Division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APP Summary by Mode of Procurement:</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Mode</w:t>
            </w:r>
          </w:p>
        </w:tc>
        <w:tc>
          <w:tcPr>
            <w:tcW w:type="dxa" w:w="3120"/>
            <w:shd w:fill="1B365D"/>
          </w:tcPr>
          <w:p>
            <w:r/>
            <w:r>
              <w:rPr>
                <w:rFonts w:ascii="Inter" w:hAnsi="Inter" w:cs="Inter"/>
                <w:b/>
                <w:i w:val="0"/>
                <w:color w:val="FFFFFF"/>
                <w:sz w:val="19"/>
              </w:rPr>
              <w:t>No. of Items</w:t>
            </w:r>
          </w:p>
        </w:tc>
        <w:tc>
          <w:tcPr>
            <w:tcW w:type="dxa" w:w="3120"/>
            <w:shd w:fill="1B365D"/>
          </w:tcPr>
          <w:p>
            <w:r/>
            <w:r>
              <w:rPr>
                <w:rFonts w:ascii="Inter" w:hAnsi="Inter" w:cs="Inter"/>
                <w:b/>
                <w:i w:val="0"/>
                <w:color w:val="FFFFFF"/>
                <w:sz w:val="19"/>
              </w:rPr>
              <w:t>Total Estimated Cost (PhP)</w:t>
            </w:r>
          </w:p>
        </w:tc>
      </w:tr>
      <w:tr>
        <w:tc>
          <w:tcPr>
            <w:tcW w:type="dxa" w:w="3120"/>
          </w:tcPr>
          <w:p>
            <w:r/>
            <w:r>
              <w:rPr>
                <w:rFonts w:ascii="Inter" w:hAnsi="Inter" w:cs="Inter"/>
                <w:b w:val="0"/>
                <w:i w:val="0"/>
                <w:color w:val="2D2D2D"/>
                <w:sz w:val="19"/>
              </w:rPr>
              <w:t>Public Bidding</w:t>
            </w:r>
          </w:p>
        </w:tc>
        <w:tc>
          <w:tcPr>
            <w:tcW w:type="dxa" w:w="3120"/>
          </w:tcPr>
          <w:p/>
        </w:tc>
        <w:tc>
          <w:tcPr>
            <w:tcW w:type="dxa" w:w="3120"/>
          </w:tcPr>
          <w:p/>
        </w:tc>
      </w:tr>
      <w:tr>
        <w:tc>
          <w:tcPr>
            <w:tcW w:type="dxa" w:w="3120"/>
            <w:shd w:fill="F0F3F6"/>
          </w:tcPr>
          <w:p>
            <w:r/>
            <w:r>
              <w:rPr>
                <w:rFonts w:ascii="Inter" w:hAnsi="Inter" w:cs="Inter"/>
                <w:b w:val="0"/>
                <w:i w:val="0"/>
                <w:color w:val="2D2D2D"/>
                <w:sz w:val="19"/>
              </w:rPr>
              <w:t>Shopping</w:t>
            </w:r>
          </w:p>
        </w:tc>
        <w:tc>
          <w:tcPr>
            <w:tcW w:type="dxa" w:w="3120"/>
          </w:tcPr>
          <w:p/>
        </w:tc>
        <w:tc>
          <w:tcPr>
            <w:tcW w:type="dxa" w:w="3120"/>
          </w:tcPr>
          <w:p/>
        </w:tc>
      </w:tr>
      <w:tr>
        <w:tc>
          <w:tcPr>
            <w:tcW w:type="dxa" w:w="3120"/>
          </w:tcPr>
          <w:p>
            <w:r/>
            <w:r>
              <w:rPr>
                <w:rFonts w:ascii="Inter" w:hAnsi="Inter" w:cs="Inter"/>
                <w:b w:val="0"/>
                <w:i w:val="0"/>
                <w:color w:val="2D2D2D"/>
                <w:sz w:val="19"/>
              </w:rPr>
              <w:t>Negotiated Procurement</w:t>
            </w:r>
          </w:p>
        </w:tc>
        <w:tc>
          <w:tcPr>
            <w:tcW w:type="dxa" w:w="3120"/>
          </w:tcPr>
          <w:p/>
        </w:tc>
        <w:tc>
          <w:tcPr>
            <w:tcW w:type="dxa" w:w="3120"/>
          </w:tcPr>
          <w:p/>
        </w:tc>
      </w:tr>
      <w:tr>
        <w:tc>
          <w:tcPr>
            <w:tcW w:type="dxa" w:w="3120"/>
            <w:shd w:fill="F0F3F6"/>
          </w:tcPr>
          <w:p>
            <w:r/>
            <w:r>
              <w:rPr>
                <w:rFonts w:ascii="Inter" w:hAnsi="Inter" w:cs="Inter"/>
                <w:b w:val="0"/>
                <w:i w:val="0"/>
                <w:color w:val="2D2D2D"/>
                <w:sz w:val="19"/>
              </w:rPr>
              <w:t>Direct Contracting</w:t>
            </w:r>
          </w:p>
        </w:tc>
        <w:tc>
          <w:tcPr>
            <w:tcW w:type="dxa" w:w="3120"/>
          </w:tcPr>
          <w:p/>
        </w:tc>
        <w:tc>
          <w:tcPr>
            <w:tcW w:type="dxa" w:w="3120"/>
          </w:tcPr>
          <w:p/>
        </w:tc>
      </w:tr>
      <w:tr>
        <w:tc>
          <w:tcPr>
            <w:tcW w:type="dxa" w:w="3120"/>
          </w:tcPr>
          <w:p>
            <w:r/>
            <w:r>
              <w:rPr>
                <w:rFonts w:ascii="Inter" w:hAnsi="Inter" w:cs="Inter"/>
                <w:b w:val="0"/>
                <w:i w:val="0"/>
                <w:color w:val="2D2D2D"/>
                <w:sz w:val="19"/>
              </w:rPr>
              <w:t>**Total**</w:t>
            </w:r>
          </w:p>
        </w:tc>
        <w:tc>
          <w:tcPr>
            <w:tcW w:type="dxa" w:w="3120"/>
          </w:tcPr>
          <w:p/>
        </w:tc>
        <w:tc>
          <w:tcPr>
            <w:tcW w:type="dxa" w:w="3120"/>
          </w:tcPr>
          <w:p/>
        </w:tc>
      </w:tr>
    </w:tbl>
    <w:p/>
    <w:p>
      <w:pPr>
        <w:spacing w:after="120" w:line="276" w:lineRule="auto"/>
      </w:pPr>
      <w:r>
        <w:rPr>
          <w:rFonts w:ascii="Inter" w:hAnsi="Inter" w:cs="Inter"/>
          <w:b w:val="0"/>
          <w:i w:val="0"/>
          <w:color w:val="2D2D2D"/>
          <w:sz w:val="22"/>
        </w:rPr>
        <w:t>*Instructions: Every item in the APP must have a PPA Code that corresponds to an AWP activity. The ABC is the ceiling for the contract award — it must not exceed the MOOE or CO allocation for the PPA in the AFP. Procurement schedule dates must be realistic given the mode of procurement and the actual AWP milestone the item supports. End users must be designated individuals or units, not "the Ministry" generically.*</w:t>
      </w:r>
    </w:p>
    <w:p>
      <w:pPr>
        <w:pStyle w:val="Heading2"/>
      </w:pPr>
      <w:r>
        <w:rPr>
          <w:rFonts w:ascii="Inter" w:hAnsi="Inter" w:cs="Inter"/>
          <w:b/>
          <w:i w:val="0"/>
          <w:color w:val="1B365D"/>
          <w:sz w:val="32"/>
        </w:rPr>
        <w:t>10.8 Quality Checklist</w:t>
      </w:r>
    </w:p>
    <w:p>
      <w:pPr>
        <w:spacing w:after="120" w:line="276" w:lineRule="auto"/>
      </w:pPr>
      <w:r>
        <w:rPr>
          <w:rFonts w:ascii="Inter" w:hAnsi="Inter" w:cs="Inter"/>
          <w:b w:val="0"/>
          <w:i w:val="0"/>
          <w:color w:val="2D2D2D"/>
          <w:sz w:val="22"/>
        </w:rPr>
        <w:t>Before submitting your AWP-AFP-APP package to the Minister or Executive Director for final approval, verify the following:</w:t>
      </w:r>
    </w:p>
    <w:p>
      <w:pPr>
        <w:pStyle w:val="ListBullet"/>
      </w:pPr>
      <w:r>
        <w:rPr>
          <w:rFonts w:ascii="Inter" w:hAnsi="Inter" w:cs="Inter"/>
          <w:b w:val="0"/>
          <w:i w:val="0"/>
          <w:color w:val="2D2D2D"/>
          <w:sz w:val="22"/>
        </w:rPr>
        <w:t xml:space="preserve">[ ] </w:t>
      </w:r>
      <w:r>
        <w:rPr>
          <w:rFonts w:ascii="Inter" w:hAnsi="Inter" w:cs="Inter"/>
          <w:b/>
          <w:i w:val="0"/>
          <w:color w:val="2D2D2D"/>
          <w:sz w:val="22"/>
        </w:rPr>
        <w:t>Prior-year performance review completed.</w:t>
      </w:r>
      <w:r>
        <w:rPr>
          <w:rFonts w:ascii="Inter" w:hAnsi="Inter" w:cs="Inter"/>
          <w:b w:val="0"/>
          <w:i w:val="0"/>
          <w:color w:val="2D2D2D"/>
          <w:sz w:val="22"/>
        </w:rPr>
        <w:t xml:space="preserve"> Achievement rates calculated for all PPAs from the prior-year AWP. Lessons documented and incorporated into this year's target-setting and planning assumptions.</w:t>
      </w:r>
    </w:p>
    <w:p>
      <w:pPr>
        <w:pStyle w:val="ListBullet"/>
      </w:pPr>
      <w:r>
        <w:rPr>
          <w:rFonts w:ascii="Inter" w:hAnsi="Inter" w:cs="Inter"/>
          <w:b w:val="0"/>
          <w:i w:val="0"/>
          <w:color w:val="2D2D2D"/>
          <w:sz w:val="22"/>
        </w:rPr>
        <w:t xml:space="preserve">[ ] </w:t>
      </w:r>
      <w:r>
        <w:rPr>
          <w:rFonts w:ascii="Inter" w:hAnsi="Inter" w:cs="Inter"/>
          <w:b/>
          <w:i w:val="0"/>
          <w:color w:val="2D2D2D"/>
          <w:sz w:val="22"/>
        </w:rPr>
        <w:t>Annual priorities approved by Minister/ED.</w:t>
      </w:r>
      <w:r>
        <w:rPr>
          <w:rFonts w:ascii="Inter" w:hAnsi="Inter" w:cs="Inter"/>
          <w:b w:val="0"/>
          <w:i w:val="0"/>
          <w:color w:val="2D2D2D"/>
          <w:sz w:val="22"/>
        </w:rPr>
        <w:t xml:space="preserve"> The three to five annual priorities have been reviewed and signed off by the head of the MOA before the AWP is finalized.</w:t>
      </w:r>
    </w:p>
    <w:p>
      <w:pPr>
        <w:pStyle w:val="ListBullet"/>
      </w:pPr>
      <w:r>
        <w:rPr>
          <w:rFonts w:ascii="Inter" w:hAnsi="Inter" w:cs="Inter"/>
          <w:b w:val="0"/>
          <w:i w:val="0"/>
          <w:color w:val="2D2D2D"/>
          <w:sz w:val="22"/>
        </w:rPr>
        <w:t xml:space="preserve">[ ] </w:t>
      </w:r>
      <w:r>
        <w:rPr>
          <w:rFonts w:ascii="Inter" w:hAnsi="Inter" w:cs="Inter"/>
          <w:b/>
          <w:i w:val="0"/>
          <w:color w:val="2D2D2D"/>
          <w:sz w:val="22"/>
        </w:rPr>
        <w:t>All AWP targets are measurable and time-bound.</w:t>
      </w:r>
      <w:r>
        <w:rPr>
          <w:rFonts w:ascii="Inter" w:hAnsi="Inter" w:cs="Inter"/>
          <w:b w:val="0"/>
          <w:i w:val="0"/>
          <w:color w:val="2D2D2D"/>
          <w:sz w:val="22"/>
        </w:rPr>
        <w:t xml:space="preserve"> Each annual target is expressed in a specific quantity and unit. Each quarterly milestone describes a concrete deliverable, not a percentage of effort.</w:t>
      </w:r>
    </w:p>
    <w:p>
      <w:pPr>
        <w:pStyle w:val="ListBullet"/>
      </w:pPr>
      <w:r>
        <w:rPr>
          <w:rFonts w:ascii="Inter" w:hAnsi="Inter" w:cs="Inter"/>
          <w:b w:val="0"/>
          <w:i w:val="0"/>
          <w:color w:val="2D2D2D"/>
          <w:sz w:val="22"/>
        </w:rPr>
        <w:t xml:space="preserve">[ ] </w:t>
      </w:r>
      <w:r>
        <w:rPr>
          <w:rFonts w:ascii="Inter" w:hAnsi="Inter" w:cs="Inter"/>
          <w:b/>
          <w:i w:val="0"/>
          <w:color w:val="2D2D2D"/>
          <w:sz w:val="22"/>
        </w:rPr>
        <w:t>Quarterly milestones add up to the annual target.</w:t>
      </w:r>
      <w:r>
        <w:rPr>
          <w:rFonts w:ascii="Inter" w:hAnsi="Inter" w:cs="Inter"/>
          <w:b w:val="0"/>
          <w:i w:val="0"/>
          <w:color w:val="2D2D2D"/>
          <w:sz w:val="22"/>
        </w:rPr>
        <w:t xml:space="preserve"> The sum of Q1 + Q2 + Q3 + Q4 milestones equals the annual target for each PPA. No rounding gaps.</w:t>
      </w:r>
    </w:p>
    <w:p>
      <w:pPr>
        <w:pStyle w:val="ListBullet"/>
      </w:pPr>
      <w:r>
        <w:rPr>
          <w:rFonts w:ascii="Inter" w:hAnsi="Inter" w:cs="Inter"/>
          <w:b w:val="0"/>
          <w:i w:val="0"/>
          <w:color w:val="2D2D2D"/>
          <w:sz w:val="22"/>
        </w:rPr>
        <w:t xml:space="preserve">[ ] </w:t>
      </w:r>
      <w:r>
        <w:rPr>
          <w:rFonts w:ascii="Inter" w:hAnsi="Inter" w:cs="Inter"/>
          <w:b/>
          <w:i w:val="0"/>
          <w:color w:val="2D2D2D"/>
          <w:sz w:val="22"/>
        </w:rPr>
        <w:t>Responsible units and lead officers designated.</w:t>
      </w:r>
      <w:r>
        <w:rPr>
          <w:rFonts w:ascii="Inter" w:hAnsi="Inter" w:cs="Inter"/>
          <w:b w:val="0"/>
          <w:i w:val="0"/>
          <w:color w:val="2D2D2D"/>
          <w:sz w:val="22"/>
        </w:rPr>
        <w:t xml:space="preserve"> Every AWP PPA has a named responsible unit and a specific lead officer — not a generic attribution to "the Ministry."</w:t>
      </w:r>
    </w:p>
    <w:p>
      <w:pPr>
        <w:pStyle w:val="ListBullet"/>
      </w:pPr>
      <w:r>
        <w:rPr>
          <w:rFonts w:ascii="Inter" w:hAnsi="Inter" w:cs="Inter"/>
          <w:b w:val="0"/>
          <w:i w:val="0"/>
          <w:color w:val="2D2D2D"/>
          <w:sz w:val="22"/>
        </w:rPr>
        <w:t xml:space="preserve">[ ] </w:t>
      </w:r>
      <w:r>
        <w:rPr>
          <w:rFonts w:ascii="Inter" w:hAnsi="Inter" w:cs="Inter"/>
          <w:b/>
          <w:i w:val="0"/>
          <w:color w:val="2D2D2D"/>
          <w:sz w:val="22"/>
        </w:rPr>
        <w:t>AFP balanced against approved ceiling.</w:t>
      </w:r>
      <w:r>
        <w:rPr>
          <w:rFonts w:ascii="Inter" w:hAnsi="Inter" w:cs="Inter"/>
          <w:b w:val="0"/>
          <w:i w:val="0"/>
          <w:color w:val="2D2D2D"/>
          <w:sz w:val="22"/>
        </w:rPr>
        <w:t xml:space="preserve"> The total AFP does not exceed the budget ceiling communicated in the MFBM Budget Call. The Budget Officer has certified this.</w:t>
      </w:r>
    </w:p>
    <w:p>
      <w:pPr>
        <w:pStyle w:val="ListBullet"/>
      </w:pPr>
      <w:r>
        <w:rPr>
          <w:rFonts w:ascii="Inter" w:hAnsi="Inter" w:cs="Inter"/>
          <w:b w:val="0"/>
          <w:i w:val="0"/>
          <w:color w:val="2D2D2D"/>
          <w:sz w:val="22"/>
        </w:rPr>
        <w:t xml:space="preserve">[ ] </w:t>
      </w:r>
      <w:r>
        <w:rPr>
          <w:rFonts w:ascii="Inter" w:hAnsi="Inter" w:cs="Inter"/>
          <w:b/>
          <w:i w:val="0"/>
          <w:color w:val="2D2D2D"/>
          <w:sz w:val="22"/>
        </w:rPr>
        <w:t>Expense class classifications correct.</w:t>
      </w:r>
      <w:r>
        <w:rPr>
          <w:rFonts w:ascii="Inter" w:hAnsi="Inter" w:cs="Inter"/>
          <w:b w:val="0"/>
          <w:i w:val="0"/>
          <w:color w:val="2D2D2D"/>
          <w:sz w:val="22"/>
        </w:rPr>
        <w:t xml:space="preserve"> PS covers only salary and personnel costs. MOOE covers operating expenses. CO covers capital purchases. No misclassification that will require correction during budget hearings.</w:t>
      </w:r>
    </w:p>
    <w:p>
      <w:pPr>
        <w:pStyle w:val="ListBullet"/>
      </w:pPr>
      <w:r>
        <w:rPr>
          <w:rFonts w:ascii="Inter" w:hAnsi="Inter" w:cs="Inter"/>
          <w:b w:val="0"/>
          <w:i w:val="0"/>
          <w:color w:val="2D2D2D"/>
          <w:sz w:val="22"/>
        </w:rPr>
        <w:t xml:space="preserve">[ ] </w:t>
      </w:r>
      <w:r>
        <w:rPr>
          <w:rFonts w:ascii="Inter" w:hAnsi="Inter" w:cs="Inter"/>
          <w:b/>
          <w:i w:val="0"/>
          <w:color w:val="2D2D2D"/>
          <w:sz w:val="22"/>
        </w:rPr>
        <w:t>Every AWP PPA has an AFP line.</w:t>
      </w:r>
      <w:r>
        <w:rPr>
          <w:rFonts w:ascii="Inter" w:hAnsi="Inter" w:cs="Inter"/>
          <w:b w:val="0"/>
          <w:i w:val="0"/>
          <w:color w:val="2D2D2D"/>
          <w:sz w:val="22"/>
        </w:rPr>
        <w:t xml:space="preserve"> No planned activity is unfunded. No funded line is unplanned.</w:t>
      </w:r>
    </w:p>
    <w:p>
      <w:pPr>
        <w:pStyle w:val="ListBullet"/>
      </w:pPr>
      <w:r>
        <w:rPr>
          <w:rFonts w:ascii="Inter" w:hAnsi="Inter" w:cs="Inter"/>
          <w:b w:val="0"/>
          <w:i w:val="0"/>
          <w:color w:val="2D2D2D"/>
          <w:sz w:val="22"/>
        </w:rPr>
        <w:t xml:space="preserve">[ ] </w:t>
      </w:r>
      <w:r>
        <w:rPr>
          <w:rFonts w:ascii="Inter" w:hAnsi="Inter" w:cs="Inter"/>
          <w:b/>
          <w:i w:val="0"/>
          <w:color w:val="2D2D2D"/>
          <w:sz w:val="22"/>
        </w:rPr>
        <w:t>Every APP item is linked to a PPA code and AWP activity.</w:t>
      </w:r>
      <w:r>
        <w:rPr>
          <w:rFonts w:ascii="Inter" w:hAnsi="Inter" w:cs="Inter"/>
          <w:b w:val="0"/>
          <w:i w:val="0"/>
          <w:color w:val="2D2D2D"/>
          <w:sz w:val="22"/>
        </w:rPr>
        <w:t xml:space="preserve"> No APP item floats without a corresponding AWP activity. No AWP activity requiring external procurement is missing from the APP.</w:t>
      </w:r>
    </w:p>
    <w:p>
      <w:pPr>
        <w:pStyle w:val="ListBullet"/>
      </w:pPr>
      <w:r>
        <w:rPr>
          <w:rFonts w:ascii="Inter" w:hAnsi="Inter" w:cs="Inter"/>
          <w:b w:val="0"/>
          <w:i w:val="0"/>
          <w:color w:val="2D2D2D"/>
          <w:sz w:val="22"/>
        </w:rPr>
        <w:t xml:space="preserve">[ ] </w:t>
      </w:r>
      <w:r>
        <w:rPr>
          <w:rFonts w:ascii="Inter" w:hAnsi="Inter" w:cs="Inter"/>
          <w:b/>
          <w:i w:val="0"/>
          <w:color w:val="2D2D2D"/>
          <w:sz w:val="22"/>
        </w:rPr>
        <w:t>Procurement schedules allow delivery before AWP milestone dates.</w:t>
      </w:r>
      <w:r>
        <w:rPr>
          <w:rFonts w:ascii="Inter" w:hAnsi="Inter" w:cs="Inter"/>
          <w:b w:val="0"/>
          <w:i w:val="0"/>
          <w:color w:val="2D2D2D"/>
          <w:sz w:val="22"/>
        </w:rPr>
        <w:t xml:space="preserve"> For each APP item, the delivery or completion date falls before or concurrent with the AWP quarterly milestone that requires the item. No procurement scheduled so late that it cannot support the planned activity.</w:t>
      </w:r>
    </w:p>
    <w:p>
      <w:pPr>
        <w:spacing w:after="120" w:line="276" w:lineRule="auto"/>
      </w:pPr>
      <w:r>
        <w:rPr>
          <w:rFonts w:ascii="Inter" w:hAnsi="Inter" w:cs="Inter"/>
          <w:b w:val="0"/>
          <w:i w:val="0"/>
          <w:color w:val="2D2D2D"/>
          <w:sz w:val="22"/>
        </w:rPr>
        <w:t>[^1]: BAA No. 84, Sec. 2(b) — requiring M/O/As to bear responsibility for "proposing, executing, and delivering the committed results in the Bangsamoro Appropriations Act in a timely, predictable, and economical manner." Budget proposals submitted to MFBM under the annual Budget Call must demonstrate implementation readiness by linking appropriation requests to planned PPAs and their expected outputs.</w:t>
      </w:r>
    </w:p>
    <w:p>
      <w:pPr>
        <w:spacing w:after="120" w:line="276" w:lineRule="auto"/>
      </w:pPr>
      <w:r>
        <w:rPr>
          <w:rFonts w:ascii="Inter" w:hAnsi="Inter" w:cs="Inter"/>
          <w:b w:val="0"/>
          <w:i w:val="0"/>
          <w:color w:val="2D2D2D"/>
          <w:sz w:val="22"/>
        </w:rPr>
        <w:t>[^2]: BAA No. 84, Sec. 4(c) — defining "Allotment Class" as the classification of expenditures under an item of appropriation, categorized into Personnel Services, Maintenance and Other Operating Expenses (MOOE), Financial Expenses, and Capital Outlays. The AFP organizes appropriation requests according to these allotment classes as a precondition for MFBM review.</w:t>
      </w:r>
    </w:p>
    <w:p>
      <w:pPr>
        <w:spacing w:after="120" w:line="276" w:lineRule="auto"/>
      </w:pPr>
      <w:r>
        <w:rPr>
          <w:rFonts w:ascii="Inter" w:hAnsi="Inter" w:cs="Inter"/>
          <w:b w:val="0"/>
          <w:i w:val="0"/>
          <w:color w:val="2D2D2D"/>
          <w:sz w:val="22"/>
        </w:rPr>
        <w:t>[^3]: BAA No. 84, Sec. 4(aj) — defining "Obligation" as "a commitment by an M/O/A arising from an act of a duly authorized official that binds the Bangsamoro Government to the immediate or eventual payment of a sum of money." The obligation-disbursement distinction is fundamental to AFP preparation: obligating an appropriation (by entering a contract, issuing a purchase order, or incurring a liability) is legally distinct from disbursing it (making the actual payment).</w:t>
      </w:r>
    </w:p>
    <w:p>
      <w:pPr>
        <w:spacing w:after="120" w:line="276" w:lineRule="auto"/>
      </w:pPr>
      <w:r>
        <w:rPr>
          <w:rFonts w:ascii="Inter" w:hAnsi="Inter" w:cs="Inter"/>
          <w:b w:val="0"/>
          <w:i w:val="0"/>
          <w:color w:val="2D2D2D"/>
          <w:sz w:val="22"/>
        </w:rPr>
        <w:t>[^4]: Republic Act No. 9184 (Government Procurement Reform Act) applies to all government procurement in the Philippines, including BARMM MOAs, subject to the regional government's fiscal autonomy under the Organic Law for the Bangsamoro Autonomous Region in Muslim Mindanao (RA No. 11054). The Implementing Rules and Regulations of RA 9184 prescribe the modes of procurement, eligibility requirements, bidding procedures, and post-qualification standards that govern APP preparation.</w:t>
      </w:r>
    </w:p>
    <w:p>
      <w:pPr>
        <w:spacing w:after="120" w:line="276" w:lineRule="auto"/>
      </w:pPr>
      <w:r>
        <w:rPr>
          <w:rFonts w:ascii="Inter" w:hAnsi="Inter" w:cs="Inter"/>
          <w:b w:val="0"/>
          <w:i w:val="0"/>
          <w:color w:val="2D2D2D"/>
          <w:sz w:val="22"/>
        </w:rPr>
        <w:t>[^5]: BAA No. 84, Sec. 4(l) — defining "Budget Endorsing Authorities" as Ministers or Heads of Bangsamoro Offices authorized by MFBM to review and endorse budget proposals. The MFBM Budget Call, issued annually, sets the timetable, ceilings, and submission requirements for the budget preparation cycle. MOAs must complete their AWP-AFP-APP package within the timetable established by the Budget Call.</w:t>
      </w:r>
    </w:p>
    <w:p>
      <w:pPr>
        <w:spacing w:after="120" w:line="276" w:lineRule="auto"/>
      </w:pPr>
      <w:r>
        <w:rPr>
          <w:rFonts w:ascii="Inter" w:hAnsi="Inter" w:cs="Inter"/>
          <w:b w:val="0"/>
          <w:i w:val="0"/>
          <w:color w:val="2D2D2D"/>
          <w:sz w:val="22"/>
        </w:rPr>
        <w:t>[^6]: BAA No. 84, Sec. 2(d) — requiring the strengthening of "integration of planning, programming, budgeting, accounting, disbursement, reporting, performance monitoring, and coordination in fiscal oversight." MFBM's quarterly obligation targets operationalize this integration requirement by ensuring that appropriations are put to work throughout the fiscal year, not concentrated in Q4.</w:t>
      </w:r>
    </w:p>
    <w:p>
      <w:pPr>
        <w:pageBreakBefore/>
      </w:pPr>
    </w:p>
    <w:p>
      <w:pPr>
        <w:pStyle w:val="Heading1"/>
      </w:pPr>
      <w:r>
        <w:rPr>
          <w:rFonts w:ascii="Inter" w:hAnsi="Inter" w:cs="Inter"/>
          <w:b/>
          <w:i w:val="0"/>
          <w:color w:val="1B365D"/>
          <w:sz w:val="44"/>
        </w:rPr>
        <w:t>Chapter 11: Setting Up Monitoring and Evaluation</w:t>
      </w:r>
    </w:p>
    <w:p>
      <w:pPr>
        <w:spacing w:after="120" w:line="276" w:lineRule="auto"/>
      </w:pPr>
      <w:r>
        <w:rPr>
          <w:rFonts w:ascii="Inter" w:hAnsi="Inter" w:cs="Inter"/>
          <w:b w:val="0"/>
          <w:i w:val="0"/>
          <w:color w:val="2D2D2D"/>
          <w:sz w:val="22"/>
        </w:rPr>
        <w:t>You have designed your PPAs (Chapter 8), planned your resources (Chapter 9), and built your operational plan with annual targets (Chapter 10). You know what you intend to do, who will do it, and when. But you do not yet have a way to know whether any of it is working.</w:t>
      </w:r>
    </w:p>
    <w:p>
      <w:pPr>
        <w:spacing w:after="120" w:line="276" w:lineRule="auto"/>
      </w:pPr>
      <w:r>
        <w:rPr>
          <w:rFonts w:ascii="Inter" w:hAnsi="Inter" w:cs="Inter"/>
          <w:b w:val="0"/>
          <w:i w:val="0"/>
          <w:color w:val="2D2D2D"/>
          <w:sz w:val="22"/>
        </w:rPr>
        <w:t>That is what this chapter does. Monitoring and Evaluation --- M&amp;E --- is the system that tells you whether your plan is producing results. Not whether activities were conducted or budget was spent. Whether the outputs you planned materialized, whether the outcomes you theorized followed, and whether your MOA is contributing to the impact goals in the Bangsamoro Development Plan.</w:t>
      </w:r>
    </w:p>
    <w:p>
      <w:pPr>
        <w:spacing w:after="120" w:line="276" w:lineRule="auto"/>
      </w:pPr>
      <w:r>
        <w:rPr>
          <w:rFonts w:ascii="Inter" w:hAnsi="Inter" w:cs="Inter"/>
          <w:b w:val="0"/>
          <w:i w:val="0"/>
          <w:color w:val="2D2D2D"/>
          <w:sz w:val="22"/>
        </w:rPr>
        <w:t>M&amp;E is not an afterthought. It is built into the plan from the start, linked directly to the Theory of Change you developed in Chapter 7. Every results level in your ToC --- impact, outcome, output --- should already have been designed with measurement in mind. This chapter makes that measurement system explicit, operational, and funded.</w:t>
      </w:r>
    </w:p>
    <w:p>
      <w:pPr>
        <w:spacing w:after="120" w:line="276" w:lineRule="auto"/>
      </w:pPr>
      <w:r>
        <w:rPr>
          <w:rFonts w:ascii="Inter" w:hAnsi="Inter" w:cs="Inter"/>
          <w:b w:val="0"/>
          <w:i w:val="0"/>
          <w:color w:val="2D2D2D"/>
          <w:sz w:val="22"/>
        </w:rPr>
        <w:t>The uncomfortable truth: most strategic plans in BARMM contain M&amp;E sections that nobody uses. Indicators are vague. Baselines are missing. Reports arrive late and tell leadership what activities occurred --- not what changed. The next decision is made based on instinct or political pressure rather than evidence.</w:t>
      </w:r>
    </w:p>
    <w:p>
      <w:pPr>
        <w:spacing w:after="120" w:line="276" w:lineRule="auto"/>
      </w:pPr>
      <w:r>
        <w:rPr>
          <w:rFonts w:ascii="Inter" w:hAnsi="Inter" w:cs="Inter"/>
          <w:b w:val="0"/>
          <w:i w:val="0"/>
          <w:color w:val="2D2D2D"/>
          <w:sz w:val="22"/>
        </w:rPr>
        <w:t>A well-designed M&amp;E system does three things: it tracks whether your plan is on course (monitoring), it tells you whether your interventions are working and why (evaluation), and it gives you the evidence to adjust course when they are not (adaptive management). The third function is the most neglected --- and the most important. M&amp;E is not a rearview mirror. It is a steering wheel.</w:t>
      </w:r>
    </w:p>
    <w:p>
      <w:pPr>
        <w:pStyle w:val="Heading2"/>
      </w:pPr>
      <w:r>
        <w:rPr>
          <w:rFonts w:ascii="Inter" w:hAnsi="Inter" w:cs="Inter"/>
          <w:b/>
          <w:i w:val="0"/>
          <w:color w:val="1B365D"/>
          <w:sz w:val="32"/>
        </w:rPr>
        <w:t>11.1 Purpose</w:t>
      </w:r>
    </w:p>
    <w:p>
      <w:pPr>
        <w:spacing w:after="120" w:line="276" w:lineRule="auto"/>
      </w:pPr>
      <w:r>
        <w:rPr>
          <w:rFonts w:ascii="Inter" w:hAnsi="Inter" w:cs="Inter"/>
          <w:b w:val="0"/>
          <w:i w:val="0"/>
          <w:color w:val="2D2D2D"/>
          <w:sz w:val="22"/>
        </w:rPr>
        <w:t>The purpose of this chapter is to help you design a Results-Based Monitoring and Evaluation (RBME) framework that tracks your plan's performance from activities through to impact and provides the evidence needed to make mid-course corrections.</w:t>
      </w:r>
    </w:p>
    <w:p>
      <w:pPr>
        <w:spacing w:after="120" w:line="276" w:lineRule="auto"/>
      </w:pPr>
      <w:r>
        <w:rPr>
          <w:rFonts w:ascii="Inter" w:hAnsi="Inter" w:cs="Inter"/>
          <w:b w:val="0"/>
          <w:i w:val="0"/>
          <w:color w:val="2D2D2D"/>
          <w:sz w:val="22"/>
        </w:rPr>
        <w:t>When this chapter is complete, you will have:</w:t>
      </w:r>
    </w:p>
    <w:p>
      <w:pPr>
        <w:pStyle w:val="ListNumber"/>
      </w:pPr>
      <w:r>
        <w:rPr>
          <w:rFonts w:ascii="Inter" w:hAnsi="Inter" w:cs="Inter"/>
          <w:b w:val="0"/>
          <w:i w:val="0"/>
          <w:color w:val="2D2D2D"/>
          <w:sz w:val="22"/>
        </w:rPr>
      </w:r>
      <w:r>
        <w:rPr>
          <w:rFonts w:ascii="Inter" w:hAnsi="Inter" w:cs="Inter"/>
          <w:b/>
          <w:i w:val="0"/>
          <w:color w:val="2D2D2D"/>
          <w:sz w:val="22"/>
        </w:rPr>
        <w:t>An M&amp;E Framework</w:t>
      </w:r>
      <w:r>
        <w:rPr>
          <w:rFonts w:ascii="Inter" w:hAnsi="Inter" w:cs="Inter"/>
          <w:b w:val="0"/>
          <w:i w:val="0"/>
          <w:color w:val="2D2D2D"/>
          <w:sz w:val="22"/>
        </w:rPr>
        <w:t xml:space="preserve"> that maps every level of your Theory of Change to specific, measurable indicators with defined baselines, targets, data sources, and collection schedules.</w:t>
      </w:r>
    </w:p>
    <w:p>
      <w:pPr>
        <w:pStyle w:val="ListNumber"/>
      </w:pPr>
      <w:r>
        <w:rPr>
          <w:rFonts w:ascii="Inter" w:hAnsi="Inter" w:cs="Inter"/>
          <w:b w:val="0"/>
          <w:i w:val="0"/>
          <w:color w:val="2D2D2D"/>
          <w:sz w:val="22"/>
        </w:rPr>
      </w:r>
      <w:r>
        <w:rPr>
          <w:rFonts w:ascii="Inter" w:hAnsi="Inter" w:cs="Inter"/>
          <w:b/>
          <w:i w:val="0"/>
          <w:color w:val="2D2D2D"/>
          <w:sz w:val="22"/>
        </w:rPr>
        <w:t>An Indicator Registry</w:t>
      </w:r>
      <w:r>
        <w:rPr>
          <w:rFonts w:ascii="Inter" w:hAnsi="Inter" w:cs="Inter"/>
          <w:b w:val="0"/>
          <w:i w:val="0"/>
          <w:color w:val="2D2D2D"/>
          <w:sz w:val="22"/>
        </w:rPr>
        <w:t xml:space="preserve"> that documents every indicator in detail --- its definition, unit of measure, baseline, annual targets, data source, collection method, frequency, responsible officer, and reporting line.</w:t>
      </w:r>
    </w:p>
    <w:p>
      <w:pPr>
        <w:pStyle w:val="ListNumber"/>
      </w:pPr>
      <w:r>
        <w:rPr>
          <w:rFonts w:ascii="Inter" w:hAnsi="Inter" w:cs="Inter"/>
          <w:b w:val="0"/>
          <w:i w:val="0"/>
          <w:color w:val="2D2D2D"/>
          <w:sz w:val="22"/>
        </w:rPr>
      </w:r>
      <w:r>
        <w:rPr>
          <w:rFonts w:ascii="Inter" w:hAnsi="Inter" w:cs="Inter"/>
          <w:b/>
          <w:i w:val="0"/>
          <w:color w:val="2D2D2D"/>
          <w:sz w:val="22"/>
        </w:rPr>
        <w:t>A data collection plan</w:t>
      </w:r>
      <w:r>
        <w:rPr>
          <w:rFonts w:ascii="Inter" w:hAnsi="Inter" w:cs="Inter"/>
          <w:b w:val="0"/>
          <w:i w:val="0"/>
          <w:color w:val="2D2D2D"/>
          <w:sz w:val="22"/>
        </w:rPr>
        <w:t xml:space="preserve"> that specifies who collects what data, when, how, and using what tools.</w:t>
      </w:r>
    </w:p>
    <w:p>
      <w:pPr>
        <w:pStyle w:val="ListNumber"/>
      </w:pPr>
      <w:r>
        <w:rPr>
          <w:rFonts w:ascii="Inter" w:hAnsi="Inter" w:cs="Inter"/>
          <w:b w:val="0"/>
          <w:i w:val="0"/>
          <w:color w:val="2D2D2D"/>
          <w:sz w:val="22"/>
        </w:rPr>
      </w:r>
      <w:r>
        <w:rPr>
          <w:rFonts w:ascii="Inter" w:hAnsi="Inter" w:cs="Inter"/>
          <w:b/>
          <w:i w:val="0"/>
          <w:color w:val="2D2D2D"/>
          <w:sz w:val="22"/>
        </w:rPr>
        <w:t>A reporting schedule</w:t>
      </w:r>
      <w:r>
        <w:rPr>
          <w:rFonts w:ascii="Inter" w:hAnsi="Inter" w:cs="Inter"/>
          <w:b w:val="0"/>
          <w:i w:val="0"/>
          <w:color w:val="2D2D2D"/>
          <w:sz w:val="22"/>
        </w:rPr>
        <w:t xml:space="preserve"> that defines what reports are produced, at what frequency, for what audience, and by what deadline.</w:t>
      </w:r>
    </w:p>
    <w:p>
      <w:pPr>
        <w:pStyle w:val="ListNumber"/>
      </w:pPr>
      <w:r>
        <w:rPr>
          <w:rFonts w:ascii="Inter" w:hAnsi="Inter" w:cs="Inter"/>
          <w:b w:val="0"/>
          <w:i w:val="0"/>
          <w:color w:val="2D2D2D"/>
          <w:sz w:val="22"/>
        </w:rPr>
      </w:r>
      <w:r>
        <w:rPr>
          <w:rFonts w:ascii="Inter" w:hAnsi="Inter" w:cs="Inter"/>
          <w:b/>
          <w:i w:val="0"/>
          <w:color w:val="2D2D2D"/>
          <w:sz w:val="22"/>
        </w:rPr>
        <w:t>An evaluation plan</w:t>
      </w:r>
      <w:r>
        <w:rPr>
          <w:rFonts w:ascii="Inter" w:hAnsi="Inter" w:cs="Inter"/>
          <w:b w:val="0"/>
          <w:i w:val="0"/>
          <w:color w:val="2D2D2D"/>
          <w:sz w:val="22"/>
        </w:rPr>
        <w:t xml:space="preserve"> that schedules mid-term and end-of-plan evaluations.</w:t>
      </w:r>
    </w:p>
    <w:p>
      <w:pPr>
        <w:pStyle w:val="ListNumber"/>
      </w:pPr>
      <w:r>
        <w:rPr>
          <w:rFonts w:ascii="Inter" w:hAnsi="Inter" w:cs="Inter"/>
          <w:b w:val="0"/>
          <w:i w:val="0"/>
          <w:color w:val="2D2D2D"/>
          <w:sz w:val="22"/>
        </w:rPr>
      </w:r>
      <w:r>
        <w:rPr>
          <w:rFonts w:ascii="Inter" w:hAnsi="Inter" w:cs="Inter"/>
          <w:b/>
          <w:i w:val="0"/>
          <w:color w:val="2D2D2D"/>
          <w:sz w:val="22"/>
        </w:rPr>
        <w:t>Adaptive management triggers</w:t>
      </w:r>
      <w:r>
        <w:rPr>
          <w:rFonts w:ascii="Inter" w:hAnsi="Inter" w:cs="Inter"/>
          <w:b w:val="0"/>
          <w:i w:val="0"/>
          <w:color w:val="2D2D2D"/>
          <w:sz w:val="22"/>
        </w:rPr>
        <w:t xml:space="preserve"> that define the conditions under which M&amp;E data will cause your MOA to revise its plan.</w:t>
      </w:r>
    </w:p>
    <w:p>
      <w:pPr>
        <w:pStyle w:val="ListNumber"/>
      </w:pPr>
      <w:r>
        <w:rPr>
          <w:rFonts w:ascii="Inter" w:hAnsi="Inter" w:cs="Inter"/>
          <w:b w:val="0"/>
          <w:i w:val="0"/>
          <w:color w:val="2D2D2D"/>
          <w:sz w:val="22"/>
        </w:rPr>
      </w:r>
      <w:r>
        <w:rPr>
          <w:rFonts w:ascii="Inter" w:hAnsi="Inter" w:cs="Inter"/>
          <w:b/>
          <w:i w:val="0"/>
          <w:color w:val="2D2D2D"/>
          <w:sz w:val="22"/>
        </w:rPr>
        <w:t>An M&amp;E budget</w:t>
      </w:r>
      <w:r>
        <w:rPr>
          <w:rFonts w:ascii="Inter" w:hAnsi="Inter" w:cs="Inter"/>
          <w:b w:val="0"/>
          <w:i w:val="0"/>
          <w:color w:val="2D2D2D"/>
          <w:sz w:val="22"/>
        </w:rPr>
        <w:t xml:space="preserve"> that ensures the resources for data collection, analysis, and evaluation are included in your resource plan (Chapter 9).</w:t>
      </w:r>
    </w:p>
    <w:p>
      <w:pPr>
        <w:spacing w:after="120" w:line="276" w:lineRule="auto"/>
      </w:pPr>
      <w:r>
        <w:rPr>
          <w:rFonts w:ascii="Inter" w:hAnsi="Inter" w:cs="Inter"/>
          <w:b w:val="0"/>
          <w:i w:val="0"/>
          <w:color w:val="2D2D2D"/>
          <w:sz w:val="22"/>
        </w:rPr>
        <w:t>The M&amp;E framework is part of the strategic plan, not a separate document. It should be developed alongside the ToC, PPAs, and resource plan. If you are reading this after your plan has been approved, go back and retrofit --- it will be harder, but better than having no system at all.</w:t>
      </w:r>
    </w:p>
    <w:p>
      <w:pPr>
        <w:pStyle w:val="Heading2"/>
      </w:pPr>
      <w:r>
        <w:rPr>
          <w:rFonts w:ascii="Inter" w:hAnsi="Inter" w:cs="Inter"/>
          <w:b/>
          <w:i w:val="0"/>
          <w:color w:val="1B365D"/>
          <w:sz w:val="32"/>
        </w:rPr>
        <w:t>11.2 Key Concepts</w:t>
      </w:r>
    </w:p>
    <w:p>
      <w:pPr>
        <w:pStyle w:val="Heading3"/>
      </w:pPr>
      <w:r>
        <w:rPr>
          <w:rFonts w:ascii="Inter" w:hAnsi="Inter" w:cs="Inter"/>
          <w:b/>
          <w:i w:val="0"/>
          <w:color w:val="2C5F7C"/>
          <w:sz w:val="26"/>
        </w:rPr>
        <w:t>Results-Based Monitoring and Evaluation (RBME)</w:t>
      </w:r>
    </w:p>
    <w:p>
      <w:pPr>
        <w:spacing w:after="120" w:line="276" w:lineRule="auto"/>
      </w:pPr>
      <w:r>
        <w:rPr>
          <w:rFonts w:ascii="Inter" w:hAnsi="Inter" w:cs="Inter"/>
          <w:b w:val="0"/>
          <w:i w:val="0"/>
          <w:color w:val="2D2D2D"/>
          <w:sz w:val="22"/>
        </w:rPr>
        <w:t>Traditional M&amp;E in government tracks activities and spending: How many trainings were conducted? How much of the budget was obligated? These are useful operational metrics, but they tell you nothing about results. You can conduct 50 trainings and obligate 95% of your budget while producing zero improvement in the competencies those trainings were supposed to build.</w:t>
      </w:r>
    </w:p>
    <w:p>
      <w:pPr>
        <w:spacing w:after="120" w:line="276" w:lineRule="auto"/>
      </w:pPr>
      <w:r>
        <w:rPr>
          <w:rFonts w:ascii="Inter" w:hAnsi="Inter" w:cs="Inter"/>
          <w:b w:val="0"/>
          <w:i w:val="0"/>
          <w:color w:val="2D2D2D"/>
          <w:sz w:val="22"/>
        </w:rPr>
        <w:t>Results-Based Monitoring and Evaluation shifts the focus to outcomes and impact. RBME asks: Did the intended change happen? An activity-focused M&amp;E system tells you the office conducted 8 community profiling FGDs. An RBME system tells you that 50 OBC communities now have completed profiles in the database, that 5 LGUs have signed coordination MOUs, and that 15% of registered OBC communities documented access to at least one BARMM service. The first tells you the activity happened. The second tells you whether it worked.</w:t>
      </w:r>
    </w:p>
    <w:p>
      <w:pPr>
        <w:spacing w:after="120" w:line="276" w:lineRule="auto"/>
      </w:pPr>
      <w:r>
        <w:rPr>
          <w:rFonts w:ascii="Inter" w:hAnsi="Inter" w:cs="Inter"/>
          <w:b w:val="0"/>
          <w:i w:val="0"/>
          <w:color w:val="2D2D2D"/>
          <w:sz w:val="22"/>
        </w:rPr>
        <w:t>RBME does not ignore activities --- it includes them. But it treats them as means, not ends.</w:t>
      </w:r>
    </w:p>
    <w:p>
      <w:pPr>
        <w:pStyle w:val="Heading3"/>
      </w:pPr>
      <w:r>
        <w:rPr>
          <w:rFonts w:ascii="Inter" w:hAnsi="Inter" w:cs="Inter"/>
          <w:b/>
          <w:i w:val="0"/>
          <w:color w:val="2C5F7C"/>
          <w:sz w:val="26"/>
        </w:rPr>
        <w:t>The Indicator Hierarchy</w:t>
      </w:r>
    </w:p>
    <w:p>
      <w:pPr>
        <w:spacing w:after="120" w:line="276" w:lineRule="auto"/>
      </w:pPr>
      <w:r>
        <w:rPr>
          <w:rFonts w:ascii="Inter" w:hAnsi="Inter" w:cs="Inter"/>
          <w:b w:val="0"/>
          <w:i w:val="0"/>
          <w:color w:val="2D2D2D"/>
          <w:sz w:val="22"/>
        </w:rPr>
        <w:t>Your Theory of Change (Chapter 7) described a causal chain from activities to impact. Your M&amp;E system needs indicators at every level of that chain. The indicator hierarchy mirrors the ToC:</w:t>
      </w:r>
    </w:p>
    <w:p>
      <w:pPr>
        <w:spacing w:after="120" w:line="276" w:lineRule="auto"/>
      </w:pPr>
      <w:r>
        <w:rPr>
          <w:rFonts w:ascii="Inter" w:hAnsi="Inter" w:cs="Inter"/>
          <w:b w:val="0"/>
          <w:i w:val="0"/>
          <w:color w:val="2D2D2D"/>
          <w:sz w:val="22"/>
        </w:rPr>
      </w:r>
      <w:r>
        <w:rPr>
          <w:rFonts w:ascii="Inter" w:hAnsi="Inter" w:cs="Inter"/>
          <w:b/>
          <w:i w:val="0"/>
          <w:color w:val="2D2D2D"/>
          <w:sz w:val="22"/>
        </w:rPr>
        <w:t>Impact indicators</w:t>
      </w:r>
      <w:r>
        <w:rPr>
          <w:rFonts w:ascii="Inter" w:hAnsi="Inter" w:cs="Inter"/>
          <w:b w:val="0"/>
          <w:i w:val="0"/>
          <w:color w:val="2D2D2D"/>
          <w:sz w:val="22"/>
        </w:rPr>
        <w:t xml:space="preserve"> measure long-term, population-level change aligned with BDP goals. They change slowly (years, not quarters), are influenced by many factors beyond your MOA's control, and require periodic surveys or studies to measure.</w:t>
      </w:r>
    </w:p>
    <w:p>
      <w:pPr>
        <w:spacing w:after="120" w:line="276" w:lineRule="auto"/>
      </w:pPr>
      <w:r>
        <w:rPr>
          <w:rFonts w:ascii="Inter" w:hAnsi="Inter" w:cs="Inter"/>
          <w:b w:val="0"/>
          <w:i w:val="0"/>
          <w:color w:val="2D2D2D"/>
          <w:sz w:val="22"/>
        </w:rPr>
      </w:r>
      <w:r>
        <w:rPr>
          <w:rFonts w:ascii="Inter" w:hAnsi="Inter" w:cs="Inter"/>
          <w:b/>
          <w:i w:val="0"/>
          <w:color w:val="2D2D2D"/>
          <w:sz w:val="22"/>
        </w:rPr>
        <w:t>Outcome indicators</w:t>
      </w:r>
      <w:r>
        <w:rPr>
          <w:rFonts w:ascii="Inter" w:hAnsi="Inter" w:cs="Inter"/>
          <w:b w:val="0"/>
          <w:i w:val="0"/>
          <w:color w:val="2D2D2D"/>
          <w:sz w:val="22"/>
        </w:rPr>
        <w:t xml:space="preserve"> measure the behavioral, institutional, or systemic changes your plan is designed to produce. They are more directly attributable to your MOA's work than impact indicators and should be measurable within the planning period.</w:t>
      </w:r>
    </w:p>
    <w:p>
      <w:pPr>
        <w:spacing w:after="120" w:line="276" w:lineRule="auto"/>
      </w:pPr>
      <w:r>
        <w:rPr>
          <w:rFonts w:ascii="Inter" w:hAnsi="Inter" w:cs="Inter"/>
          <w:b w:val="0"/>
          <w:i w:val="0"/>
          <w:color w:val="2D2D2D"/>
          <w:sz w:val="22"/>
        </w:rPr>
      </w:r>
      <w:r>
        <w:rPr>
          <w:rFonts w:ascii="Inter" w:hAnsi="Inter" w:cs="Inter"/>
          <w:b/>
          <w:i w:val="0"/>
          <w:color w:val="2D2D2D"/>
          <w:sz w:val="22"/>
        </w:rPr>
        <w:t>Output indicators</w:t>
      </w:r>
      <w:r>
        <w:rPr>
          <w:rFonts w:ascii="Inter" w:hAnsi="Inter" w:cs="Inter"/>
          <w:b w:val="0"/>
          <w:i w:val="0"/>
          <w:color w:val="2D2D2D"/>
          <w:sz w:val="22"/>
        </w:rPr>
        <w:t xml:space="preserve"> measure the direct products or deliverables of your PPAs. Outputs are fully within your MOA's control and form the backbone of quarterly progress reporting.</w:t>
      </w:r>
    </w:p>
    <w:p>
      <w:pPr>
        <w:spacing w:after="120" w:line="276" w:lineRule="auto"/>
      </w:pPr>
      <w:r>
        <w:rPr>
          <w:rFonts w:ascii="Inter" w:hAnsi="Inter" w:cs="Inter"/>
          <w:b w:val="0"/>
          <w:i w:val="0"/>
          <w:color w:val="2D2D2D"/>
          <w:sz w:val="22"/>
        </w:rPr>
      </w:r>
      <w:r>
        <w:rPr>
          <w:rFonts w:ascii="Inter" w:hAnsi="Inter" w:cs="Inter"/>
          <w:b/>
          <w:i w:val="0"/>
          <w:color w:val="2D2D2D"/>
          <w:sz w:val="22"/>
        </w:rPr>
        <w:t>Process and activity indicators</w:t>
      </w:r>
      <w:r>
        <w:rPr>
          <w:rFonts w:ascii="Inter" w:hAnsi="Inter" w:cs="Inter"/>
          <w:b w:val="0"/>
          <w:i w:val="0"/>
          <w:color w:val="2D2D2D"/>
          <w:sz w:val="22"/>
        </w:rPr>
        <w:t xml:space="preserve"> measure whether activities are being implemented as planned --- trainings conducted, inspections completed, reports submitted. These are useful for management oversight but do not, by themselves, tell you whether anything is changing.</w:t>
      </w:r>
    </w:p>
    <w:p>
      <w:pPr>
        <w:spacing w:after="120" w:line="276" w:lineRule="auto"/>
      </w:pPr>
      <w:r>
        <w:rPr>
          <w:rFonts w:ascii="Inter" w:hAnsi="Inter" w:cs="Inter"/>
          <w:b w:val="0"/>
          <w:i w:val="0"/>
          <w:color w:val="2D2D2D"/>
          <w:sz w:val="22"/>
        </w:rPr>
        <w:t>A common mistake is to populate your M&amp;E framework with only activity and output indicators. If your entire framework consists of "number of trainings conducted" and "percentage of budget obligated," you have an activity tracking system, not a results-based M&amp;E system.</w:t>
      </w:r>
    </w:p>
    <w:p>
      <w:pPr>
        <w:spacing w:after="120" w:line="276" w:lineRule="auto"/>
      </w:pPr>
      <w:r>
        <w:rPr>
          <w:rFonts w:ascii="Inter" w:hAnsi="Inter" w:cs="Inter"/>
          <w:b w:val="0"/>
          <w:i w:val="0"/>
          <w:color w:val="2D2D2D"/>
          <w:sz w:val="22"/>
        </w:rPr>
        <w:t>A balanced framework has indicators at every level: 2-3 impact indicators, 3-5 outcome indicators per strategic objective, 2-3 output indicators per PPA, and a small number of process indicators for management oversight.</w:t>
      </w:r>
    </w:p>
    <w:p>
      <w:pPr>
        <w:pStyle w:val="Heading3"/>
      </w:pPr>
      <w:r>
        <w:rPr>
          <w:rFonts w:ascii="Inter" w:hAnsi="Inter" w:cs="Inter"/>
          <w:b/>
          <w:i w:val="0"/>
          <w:color w:val="2C5F7C"/>
          <w:sz w:val="26"/>
        </w:rPr>
        <w:t>What Makes a Good Indicator</w:t>
      </w:r>
    </w:p>
    <w:p>
      <w:pPr>
        <w:spacing w:after="120" w:line="276" w:lineRule="auto"/>
      </w:pPr>
      <w:r>
        <w:rPr>
          <w:rFonts w:ascii="Inter" w:hAnsi="Inter" w:cs="Inter"/>
          <w:b w:val="0"/>
          <w:i w:val="0"/>
          <w:color w:val="2D2D2D"/>
          <w:sz w:val="22"/>
        </w:rPr>
        <w:t>Every indicator in your M&amp;E framework must have a complete definition. An indicator without a full definition is a source of confusion, inconsistent data, and unreliable reporting. Each indicator needs the following attributes: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Attribute</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Example</w:t>
            </w:r>
          </w:p>
        </w:tc>
      </w:tr>
      <w:tr>
        <w:tc>
          <w:tcPr>
            <w:tcW w:type="dxa" w:w="3120"/>
          </w:tcPr>
          <w:p>
            <w:r/>
            <w:r>
              <w:rPr>
                <w:rFonts w:ascii="Inter" w:hAnsi="Inter" w:cs="Inter"/>
                <w:b w:val="0"/>
                <w:i w:val="0"/>
                <w:color w:val="2D2D2D"/>
                <w:sz w:val="19"/>
              </w:rPr>
              <w:t>**Indicator name**</w:t>
            </w:r>
          </w:p>
        </w:tc>
        <w:tc>
          <w:tcPr>
            <w:tcW w:type="dxa" w:w="3120"/>
          </w:tcPr>
          <w:p>
            <w:r/>
            <w:r>
              <w:rPr>
                <w:rFonts w:ascii="Inter" w:hAnsi="Inter" w:cs="Inter"/>
                <w:b w:val="0"/>
                <w:i w:val="0"/>
                <w:color w:val="2D2D2D"/>
                <w:sz w:val="19"/>
              </w:rPr>
              <w:t>A concise, unambiguous statement of what is measured</w:t>
            </w:r>
          </w:p>
        </w:tc>
        <w:tc>
          <w:tcPr>
            <w:tcW w:type="dxa" w:w="3120"/>
          </w:tcPr>
          <w:p>
            <w:r/>
            <w:r>
              <w:rPr>
                <w:rFonts w:ascii="Inter" w:hAnsi="Inter" w:cs="Inter"/>
                <w:b w:val="0"/>
                <w:i w:val="0"/>
                <w:color w:val="2D2D2D"/>
                <w:sz w:val="19"/>
              </w:rPr>
              <w:t>OBC communities with documented BARMM service access</w:t>
            </w:r>
          </w:p>
        </w:tc>
      </w:tr>
      <w:tr>
        <w:tc>
          <w:tcPr>
            <w:tcW w:type="dxa" w:w="3120"/>
            <w:shd w:fill="F0F3F6"/>
          </w:tcPr>
          <w:p>
            <w:r/>
            <w:r>
              <w:rPr>
                <w:rFonts w:ascii="Inter" w:hAnsi="Inter" w:cs="Inter"/>
                <w:b w:val="0"/>
                <w:i w:val="0"/>
                <w:color w:val="2D2D2D"/>
                <w:sz w:val="19"/>
              </w:rPr>
              <w:t>**Definition**</w:t>
            </w:r>
          </w:p>
        </w:tc>
        <w:tc>
          <w:tcPr>
            <w:tcW w:type="dxa" w:w="3120"/>
            <w:shd w:fill="F0F3F6"/>
          </w:tcPr>
          <w:p>
            <w:r/>
            <w:r>
              <w:rPr>
                <w:rFonts w:ascii="Inter" w:hAnsi="Inter" w:cs="Inter"/>
                <w:b w:val="0"/>
                <w:i w:val="0"/>
                <w:color w:val="2D2D2D"/>
                <w:sz w:val="19"/>
              </w:rPr>
              <w:t>A precise explanation of what the indicator includes and excludes</w:t>
            </w:r>
          </w:p>
        </w:tc>
        <w:tc>
          <w:tcPr>
            <w:tcW w:type="dxa" w:w="3120"/>
            <w:shd w:fill="F0F3F6"/>
          </w:tcPr>
          <w:p>
            <w:r/>
            <w:r>
              <w:rPr>
                <w:rFonts w:ascii="Inter" w:hAnsi="Inter" w:cs="Inter"/>
                <w:b w:val="0"/>
                <w:i w:val="0"/>
                <w:color w:val="2D2D2D"/>
                <w:sz w:val="19"/>
              </w:rPr>
              <w:t>Of all identified OBC communities in OOBC's registry, the percentage that have at least one formally documented instance of accessing a BARMM program or service during the reporting year</w:t>
            </w:r>
          </w:p>
        </w:tc>
      </w:tr>
      <w:tr>
        <w:tc>
          <w:tcPr>
            <w:tcW w:type="dxa" w:w="3120"/>
          </w:tcPr>
          <w:p>
            <w:r/>
            <w:r>
              <w:rPr>
                <w:rFonts w:ascii="Inter" w:hAnsi="Inter" w:cs="Inter"/>
                <w:b w:val="0"/>
                <w:i w:val="0"/>
                <w:color w:val="2D2D2D"/>
                <w:sz w:val="19"/>
              </w:rPr>
              <w:t>**Unit of measure**</w:t>
            </w:r>
          </w:p>
        </w:tc>
        <w:tc>
          <w:tcPr>
            <w:tcW w:type="dxa" w:w="3120"/>
          </w:tcPr>
          <w:p>
            <w:r/>
            <w:r>
              <w:rPr>
                <w:rFonts w:ascii="Inter" w:hAnsi="Inter" w:cs="Inter"/>
                <w:b w:val="0"/>
                <w:i w:val="0"/>
                <w:color w:val="2D2D2D"/>
                <w:sz w:val="19"/>
              </w:rPr>
              <w:t>The quantitative unit</w:t>
            </w:r>
          </w:p>
        </w:tc>
        <w:tc>
          <w:tcPr>
            <w:tcW w:type="dxa" w:w="3120"/>
          </w:tcPr>
          <w:p>
            <w:r/>
            <w:r>
              <w:rPr>
                <w:rFonts w:ascii="Inter" w:hAnsi="Inter" w:cs="Inter"/>
                <w:b w:val="0"/>
                <w:i w:val="0"/>
                <w:color w:val="2D2D2D"/>
                <w:sz w:val="19"/>
              </w:rPr>
              <w:t>Percentage</w:t>
            </w:r>
          </w:p>
        </w:tc>
      </w:tr>
      <w:tr>
        <w:tc>
          <w:tcPr>
            <w:tcW w:type="dxa" w:w="3120"/>
            <w:shd w:fill="F0F3F6"/>
          </w:tcPr>
          <w:p>
            <w:r/>
            <w:r>
              <w:rPr>
                <w:rFonts w:ascii="Inter" w:hAnsi="Inter" w:cs="Inter"/>
                <w:b w:val="0"/>
                <w:i w:val="0"/>
                <w:color w:val="2D2D2D"/>
                <w:sz w:val="19"/>
              </w:rPr>
              <w:t>**Baseline value**</w:t>
            </w:r>
          </w:p>
        </w:tc>
        <w:tc>
          <w:tcPr>
            <w:tcW w:type="dxa" w:w="3120"/>
            <w:shd w:fill="F0F3F6"/>
          </w:tcPr>
          <w:p>
            <w:r/>
            <w:r>
              <w:rPr>
                <w:rFonts w:ascii="Inter" w:hAnsi="Inter" w:cs="Inter"/>
                <w:b w:val="0"/>
                <w:i w:val="0"/>
                <w:color w:val="2D2D2D"/>
                <w:sz w:val="19"/>
              </w:rPr>
              <w:t>The starting value before your plan's interventions</w:t>
            </w:r>
          </w:p>
        </w:tc>
        <w:tc>
          <w:tcPr>
            <w:tcW w:type="dxa" w:w="3120"/>
            <w:shd w:fill="F0F3F6"/>
          </w:tcPr>
          <w:p>
            <w:r/>
            <w:r>
              <w:rPr>
                <w:rFonts w:ascii="Inter" w:hAnsi="Inter" w:cs="Inter"/>
                <w:b w:val="0"/>
                <w:i w:val="0"/>
                <w:color w:val="2D2D2D"/>
                <w:sz w:val="19"/>
              </w:rPr>
              <w:t>To be established by June 2026 (pending OBC community registry)</w:t>
            </w:r>
          </w:p>
        </w:tc>
      </w:tr>
      <w:tr>
        <w:tc>
          <w:tcPr>
            <w:tcW w:type="dxa" w:w="3120"/>
          </w:tcPr>
          <w:p>
            <w:r/>
            <w:r>
              <w:rPr>
                <w:rFonts w:ascii="Inter" w:hAnsi="Inter" w:cs="Inter"/>
                <w:b w:val="0"/>
                <w:i w:val="0"/>
                <w:color w:val="2D2D2D"/>
                <w:sz w:val="19"/>
              </w:rPr>
              <w:t>**Annual targets**</w:t>
            </w:r>
          </w:p>
        </w:tc>
        <w:tc>
          <w:tcPr>
            <w:tcW w:type="dxa" w:w="3120"/>
          </w:tcPr>
          <w:p>
            <w:r/>
            <w:r>
              <w:rPr>
                <w:rFonts w:ascii="Inter" w:hAnsi="Inter" w:cs="Inter"/>
                <w:b w:val="0"/>
                <w:i w:val="0"/>
                <w:color w:val="2D2D2D"/>
                <w:sz w:val="19"/>
              </w:rPr>
              <w:t>The expected value at the end of each year of the plan</w:t>
            </w:r>
          </w:p>
        </w:tc>
        <w:tc>
          <w:tcPr>
            <w:tcW w:type="dxa" w:w="3120"/>
          </w:tcPr>
          <w:p>
            <w:r/>
            <w:r>
              <w:rPr>
                <w:rFonts w:ascii="Inter" w:hAnsi="Inter" w:cs="Inter"/>
                <w:b w:val="0"/>
                <w:i w:val="0"/>
                <w:color w:val="2D2D2D"/>
                <w:sz w:val="19"/>
              </w:rPr>
              <w:t>Yr 1: 15%; Yr 2: 30%; Yr 3: 50%</w:t>
            </w:r>
          </w:p>
        </w:tc>
      </w:tr>
      <w:tr>
        <w:tc>
          <w:tcPr>
            <w:tcW w:type="dxa" w:w="3120"/>
            <w:shd w:fill="F0F3F6"/>
          </w:tcPr>
          <w:p>
            <w:r/>
            <w:r>
              <w:rPr>
                <w:rFonts w:ascii="Inter" w:hAnsi="Inter" w:cs="Inter"/>
                <w:b w:val="0"/>
                <w:i w:val="0"/>
                <w:color w:val="2D2D2D"/>
                <w:sz w:val="19"/>
              </w:rPr>
              <w:t>**Data source**</w:t>
            </w:r>
          </w:p>
        </w:tc>
        <w:tc>
          <w:tcPr>
            <w:tcW w:type="dxa" w:w="3120"/>
            <w:shd w:fill="F0F3F6"/>
          </w:tcPr>
          <w:p>
            <w:r/>
            <w:r>
              <w:rPr>
                <w:rFonts w:ascii="Inter" w:hAnsi="Inter" w:cs="Inter"/>
                <w:b w:val="0"/>
                <w:i w:val="0"/>
                <w:color w:val="2D2D2D"/>
                <w:sz w:val="19"/>
              </w:rPr>
              <w:t>Where the data comes from</w:t>
            </w:r>
          </w:p>
        </w:tc>
        <w:tc>
          <w:tcPr>
            <w:tcW w:type="dxa" w:w="3120"/>
            <w:shd w:fill="F0F3F6"/>
          </w:tcPr>
          <w:p>
            <w:r/>
            <w:r>
              <w:rPr>
                <w:rFonts w:ascii="Inter" w:hAnsi="Inter" w:cs="Inter"/>
                <w:b w:val="0"/>
                <w:i w:val="0"/>
                <w:color w:val="2D2D2D"/>
                <w:sz w:val="19"/>
              </w:rPr>
              <w:t>OOBC Service Access Registry (compiled from field offices and LGU service records)</w:t>
            </w:r>
          </w:p>
        </w:tc>
      </w:tr>
      <w:tr>
        <w:tc>
          <w:tcPr>
            <w:tcW w:type="dxa" w:w="3120"/>
          </w:tcPr>
          <w:p>
            <w:r/>
            <w:r>
              <w:rPr>
                <w:rFonts w:ascii="Inter" w:hAnsi="Inter" w:cs="Inter"/>
                <w:b w:val="0"/>
                <w:i w:val="0"/>
                <w:color w:val="2D2D2D"/>
                <w:sz w:val="19"/>
              </w:rPr>
              <w:t>**Collection method**</w:t>
            </w:r>
          </w:p>
        </w:tc>
        <w:tc>
          <w:tcPr>
            <w:tcW w:type="dxa" w:w="3120"/>
          </w:tcPr>
          <w:p>
            <w:r/>
            <w:r>
              <w:rPr>
                <w:rFonts w:ascii="Inter" w:hAnsi="Inter" w:cs="Inter"/>
                <w:b w:val="0"/>
                <w:i w:val="0"/>
                <w:color w:val="2D2D2D"/>
                <w:sz w:val="19"/>
              </w:rPr>
              <w:t>How data is gathered</w:t>
            </w:r>
          </w:p>
        </w:tc>
        <w:tc>
          <w:tcPr>
            <w:tcW w:type="dxa" w:w="3120"/>
          </w:tcPr>
          <w:p>
            <w:r/>
            <w:r>
              <w:rPr>
                <w:rFonts w:ascii="Inter" w:hAnsi="Inter" w:cs="Inter"/>
                <w:b w:val="0"/>
                <w:i w:val="0"/>
                <w:color w:val="2D2D2D"/>
                <w:sz w:val="19"/>
              </w:rPr>
              <w:t>Compilation of service delivery records from OOBC field offices (Davao, Sultan Kudarat, Pagadian), cross-referenced with LGU records</w:t>
            </w:r>
          </w:p>
        </w:tc>
      </w:tr>
      <w:tr>
        <w:tc>
          <w:tcPr>
            <w:tcW w:type="dxa" w:w="3120"/>
            <w:shd w:fill="F0F3F6"/>
          </w:tcPr>
          <w:p>
            <w:r/>
            <w:r>
              <w:rPr>
                <w:rFonts w:ascii="Inter" w:hAnsi="Inter" w:cs="Inter"/>
                <w:b w:val="0"/>
                <w:i w:val="0"/>
                <w:color w:val="2D2D2D"/>
                <w:sz w:val="19"/>
              </w:rPr>
              <w:t>**Collection frequency**</w:t>
            </w:r>
          </w:p>
        </w:tc>
        <w:tc>
          <w:tcPr>
            <w:tcW w:type="dxa" w:w="3120"/>
            <w:shd w:fill="F0F3F6"/>
          </w:tcPr>
          <w:p>
            <w:r/>
            <w:r>
              <w:rPr>
                <w:rFonts w:ascii="Inter" w:hAnsi="Inter" w:cs="Inter"/>
                <w:b w:val="0"/>
                <w:i w:val="0"/>
                <w:color w:val="2D2D2D"/>
                <w:sz w:val="19"/>
              </w:rPr>
              <w:t>How often data is collected</w:t>
            </w:r>
          </w:p>
        </w:tc>
        <w:tc>
          <w:tcPr>
            <w:tcW w:type="dxa" w:w="3120"/>
            <w:shd w:fill="F0F3F6"/>
          </w:tcPr>
          <w:p>
            <w:r/>
            <w:r>
              <w:rPr>
                <w:rFonts w:ascii="Inter" w:hAnsi="Inter" w:cs="Inter"/>
                <w:b w:val="0"/>
                <w:i w:val="0"/>
                <w:color w:val="2D2D2D"/>
                <w:sz w:val="19"/>
              </w:rPr>
              <w:t>Annually</w:t>
            </w:r>
          </w:p>
        </w:tc>
      </w:tr>
      <w:tr>
        <w:tc>
          <w:tcPr>
            <w:tcW w:type="dxa" w:w="3120"/>
          </w:tcPr>
          <w:p>
            <w:r/>
            <w:r>
              <w:rPr>
                <w:rFonts w:ascii="Inter" w:hAnsi="Inter" w:cs="Inter"/>
                <w:b w:val="0"/>
                <w:i w:val="0"/>
                <w:color w:val="2D2D2D"/>
                <w:sz w:val="19"/>
              </w:rPr>
              <w:t>**Responsible officer**</w:t>
            </w:r>
          </w:p>
        </w:tc>
        <w:tc>
          <w:tcPr>
            <w:tcW w:type="dxa" w:w="3120"/>
          </w:tcPr>
          <w:p>
            <w:r/>
            <w:r>
              <w:rPr>
                <w:rFonts w:ascii="Inter" w:hAnsi="Inter" w:cs="Inter"/>
                <w:b w:val="0"/>
                <w:i w:val="0"/>
                <w:color w:val="2D2D2D"/>
                <w:sz w:val="19"/>
              </w:rPr>
              <w:t>The specific person accountable for data collection and reporting</w:t>
            </w:r>
          </w:p>
        </w:tc>
        <w:tc>
          <w:tcPr>
            <w:tcW w:type="dxa" w:w="3120"/>
          </w:tcPr>
          <w:p>
            <w:r/>
            <w:r>
              <w:rPr>
                <w:rFonts w:ascii="Inter" w:hAnsi="Inter" w:cs="Inter"/>
                <w:b w:val="0"/>
                <w:i w:val="0"/>
                <w:color w:val="2D2D2D"/>
                <w:sz w:val="19"/>
              </w:rPr>
              <w:t>Planning and M&amp;E Focal Person, OOBC</w:t>
            </w:r>
          </w:p>
        </w:tc>
      </w:tr>
      <w:tr>
        <w:tc>
          <w:tcPr>
            <w:tcW w:type="dxa" w:w="3120"/>
            <w:shd w:fill="F0F3F6"/>
          </w:tcPr>
          <w:p>
            <w:r/>
            <w:r>
              <w:rPr>
                <w:rFonts w:ascii="Inter" w:hAnsi="Inter" w:cs="Inter"/>
                <w:b w:val="0"/>
                <w:i w:val="0"/>
                <w:color w:val="2D2D2D"/>
                <w:sz w:val="19"/>
              </w:rPr>
              <w:t>**Reports to**</w:t>
            </w:r>
          </w:p>
        </w:tc>
        <w:tc>
          <w:tcPr>
            <w:tcW w:type="dxa" w:w="3120"/>
            <w:shd w:fill="F0F3F6"/>
          </w:tcPr>
          <w:p>
            <w:r/>
            <w:r>
              <w:rPr>
                <w:rFonts w:ascii="Inter" w:hAnsi="Inter" w:cs="Inter"/>
                <w:b w:val="0"/>
                <w:i w:val="0"/>
                <w:color w:val="2D2D2D"/>
                <w:sz w:val="19"/>
              </w:rPr>
              <w:t>Who receives the data</w:t>
            </w:r>
          </w:p>
        </w:tc>
        <w:tc>
          <w:tcPr>
            <w:tcW w:type="dxa" w:w="3120"/>
            <w:shd w:fill="F0F3F6"/>
          </w:tcPr>
          <w:p>
            <w:r/>
            <w:r>
              <w:rPr>
                <w:rFonts w:ascii="Inter" w:hAnsi="Inter" w:cs="Inter"/>
                <w:b w:val="0"/>
                <w:i w:val="0"/>
                <w:color w:val="2D2D2D"/>
                <w:sz w:val="19"/>
              </w:rPr>
              <w:t>Executive Director, then OCM</w:t>
            </w:r>
          </w:p>
        </w:tc>
      </w:tr>
    </w:tbl>
    <w:p/>
    <w:p>
      <w:pPr>
        <w:spacing w:after="120" w:line="276" w:lineRule="auto"/>
      </w:pPr>
      <w:r>
        <w:rPr>
          <w:rFonts w:ascii="Inter" w:hAnsi="Inter" w:cs="Inter"/>
          <w:b w:val="0"/>
          <w:i w:val="0"/>
          <w:color w:val="2D2D2D"/>
          <w:sz w:val="22"/>
        </w:rPr>
        <w:t>An indicator that lacks any of these attributes is incomplete and will produce data that cannot be compared across periods or support decisions. Define each indicator fully at the planning stage --- it is far easier than reconstructing definitions when the first quarterly report is due.</w:t>
      </w:r>
    </w:p>
    <w:p>
      <w:pPr>
        <w:pStyle w:val="Heading3"/>
      </w:pPr>
      <w:r>
        <w:rPr>
          <w:rFonts w:ascii="Inter" w:hAnsi="Inter" w:cs="Inter"/>
          <w:b/>
          <w:i w:val="0"/>
          <w:color w:val="2C5F7C"/>
          <w:sz w:val="26"/>
        </w:rPr>
        <w:t>Monitoring vs. Evaluation</w:t>
      </w:r>
    </w:p>
    <w:p>
      <w:pPr>
        <w:spacing w:after="120" w:line="276" w:lineRule="auto"/>
      </w:pPr>
      <w:r>
        <w:rPr>
          <w:rFonts w:ascii="Inter" w:hAnsi="Inter" w:cs="Inter"/>
          <w:b w:val="0"/>
          <w:i w:val="0"/>
          <w:color w:val="2D2D2D"/>
          <w:sz w:val="22"/>
        </w:rPr>
        <w:t>Monitoring and evaluation are different activities with different purposes, methods, and timing. Conflating them leads to confusion about what your M&amp;E system is supposed to do.</w:t>
      </w:r>
    </w:p>
    <w:p>
      <w:pPr>
        <w:spacing w:after="120" w:line="276" w:lineRule="auto"/>
      </w:pPr>
      <w:r>
        <w:rPr>
          <w:rFonts w:ascii="Inter" w:hAnsi="Inter" w:cs="Inter"/>
          <w:b w:val="0"/>
          <w:i w:val="0"/>
          <w:color w:val="2D2D2D"/>
          <w:sz w:val="22"/>
        </w:rPr>
      </w:r>
      <w:r>
        <w:rPr>
          <w:rFonts w:ascii="Inter" w:hAnsi="Inter" w:cs="Inter"/>
          <w:b/>
          <w:i w:val="0"/>
          <w:color w:val="2D2D2D"/>
          <w:sz w:val="22"/>
        </w:rPr>
        <w:t>Monitoring</w:t>
      </w:r>
      <w:r>
        <w:rPr>
          <w:rFonts w:ascii="Inter" w:hAnsi="Inter" w:cs="Inter"/>
          <w:b w:val="0"/>
          <w:i w:val="0"/>
          <w:color w:val="2D2D2D"/>
          <w:sz w:val="22"/>
        </w:rPr>
        <w:t xml:space="preserve"> is continuous, systematic tracking during implementation --- monthly or quarterly. It answers: *Are we on track?* It compares actuals against targets, identifies variances, and flags problems early. Monitoring is internal, operational, and management-focused.</w:t>
      </w:r>
    </w:p>
    <w:p>
      <w:pPr>
        <w:spacing w:after="120" w:line="276" w:lineRule="auto"/>
      </w:pPr>
      <w:r>
        <w:rPr>
          <w:rFonts w:ascii="Inter" w:hAnsi="Inter" w:cs="Inter"/>
          <w:b w:val="0"/>
          <w:i w:val="0"/>
          <w:color w:val="2D2D2D"/>
          <w:sz w:val="22"/>
        </w:rPr>
      </w:r>
      <w:r>
        <w:rPr>
          <w:rFonts w:ascii="Inter" w:hAnsi="Inter" w:cs="Inter"/>
          <w:b/>
          <w:i w:val="0"/>
          <w:color w:val="2D2D2D"/>
          <w:sz w:val="22"/>
        </w:rPr>
        <w:t>Evaluation</w:t>
      </w:r>
      <w:r>
        <w:rPr>
          <w:rFonts w:ascii="Inter" w:hAnsi="Inter" w:cs="Inter"/>
          <w:b w:val="0"/>
          <w:i w:val="0"/>
          <w:color w:val="2D2D2D"/>
          <w:sz w:val="22"/>
        </w:rPr>
        <w:t xml:space="preserve"> is periodic, in-depth assessment at defined points --- typically a mid-term review and an end-of-plan evaluation. It answers: *Did our interventions work? Why or why not? What should we do differently?* Evaluation often requires dedicated studies, external evaluators, and methods beyond routine data collection.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Dimension</w:t>
            </w:r>
          </w:p>
        </w:tc>
        <w:tc>
          <w:tcPr>
            <w:tcW w:type="dxa" w:w="3120"/>
            <w:shd w:fill="1B365D"/>
          </w:tcPr>
          <w:p>
            <w:r/>
            <w:r>
              <w:rPr>
                <w:rFonts w:ascii="Inter" w:hAnsi="Inter" w:cs="Inter"/>
                <w:b/>
                <w:i w:val="0"/>
                <w:color w:val="FFFFFF"/>
                <w:sz w:val="19"/>
              </w:rPr>
              <w:t>Monitoring</w:t>
            </w:r>
          </w:p>
        </w:tc>
        <w:tc>
          <w:tcPr>
            <w:tcW w:type="dxa" w:w="3120"/>
            <w:shd w:fill="1B365D"/>
          </w:tcPr>
          <w:p>
            <w:r/>
            <w:r>
              <w:rPr>
                <w:rFonts w:ascii="Inter" w:hAnsi="Inter" w:cs="Inter"/>
                <w:b/>
                <w:i w:val="0"/>
                <w:color w:val="FFFFFF"/>
                <w:sz w:val="19"/>
              </w:rPr>
              <w:t>Evaluation</w:t>
            </w:r>
          </w:p>
        </w:tc>
      </w:tr>
      <w:tr>
        <w:tc>
          <w:tcPr>
            <w:tcW w:type="dxa" w:w="3120"/>
          </w:tcPr>
          <w:p>
            <w:r/>
            <w:r>
              <w:rPr>
                <w:rFonts w:ascii="Inter" w:hAnsi="Inter" w:cs="Inter"/>
                <w:b w:val="0"/>
                <w:i w:val="0"/>
                <w:color w:val="2D2D2D"/>
                <w:sz w:val="19"/>
              </w:rPr>
              <w:t>**Timing**</w:t>
            </w:r>
          </w:p>
        </w:tc>
        <w:tc>
          <w:tcPr>
            <w:tcW w:type="dxa" w:w="3120"/>
          </w:tcPr>
          <w:p>
            <w:r/>
            <w:r>
              <w:rPr>
                <w:rFonts w:ascii="Inter" w:hAnsi="Inter" w:cs="Inter"/>
                <w:b w:val="0"/>
                <w:i w:val="0"/>
                <w:color w:val="2D2D2D"/>
                <w:sz w:val="19"/>
              </w:rPr>
              <w:t>Continuous (monthly/quarterly)</w:t>
            </w:r>
          </w:p>
        </w:tc>
        <w:tc>
          <w:tcPr>
            <w:tcW w:type="dxa" w:w="3120"/>
          </w:tcPr>
          <w:p>
            <w:r/>
            <w:r>
              <w:rPr>
                <w:rFonts w:ascii="Inter" w:hAnsi="Inter" w:cs="Inter"/>
                <w:b w:val="0"/>
                <w:i w:val="0"/>
                <w:color w:val="2D2D2D"/>
                <w:sz w:val="19"/>
              </w:rPr>
              <w:t>Periodic (mid-term, end-of-plan)</w:t>
            </w:r>
          </w:p>
        </w:tc>
      </w:tr>
      <w:tr>
        <w:tc>
          <w:tcPr>
            <w:tcW w:type="dxa" w:w="3120"/>
            <w:shd w:fill="F0F3F6"/>
          </w:tcPr>
          <w:p>
            <w:r/>
            <w:r>
              <w:rPr>
                <w:rFonts w:ascii="Inter" w:hAnsi="Inter" w:cs="Inter"/>
                <w:b w:val="0"/>
                <w:i w:val="0"/>
                <w:color w:val="2D2D2D"/>
                <w:sz w:val="19"/>
              </w:rPr>
              <w:t>**Question**</w:t>
            </w:r>
          </w:p>
        </w:tc>
        <w:tc>
          <w:tcPr>
            <w:tcW w:type="dxa" w:w="3120"/>
            <w:shd w:fill="F0F3F6"/>
          </w:tcPr>
          <w:p>
            <w:r/>
            <w:r>
              <w:rPr>
                <w:rFonts w:ascii="Inter" w:hAnsi="Inter" w:cs="Inter"/>
                <w:b w:val="0"/>
                <w:i w:val="0"/>
                <w:color w:val="2D2D2D"/>
                <w:sz w:val="19"/>
              </w:rPr>
              <w:t>Are we on track?</w:t>
            </w:r>
          </w:p>
        </w:tc>
        <w:tc>
          <w:tcPr>
            <w:tcW w:type="dxa" w:w="3120"/>
            <w:shd w:fill="F0F3F6"/>
          </w:tcPr>
          <w:p>
            <w:r/>
            <w:r>
              <w:rPr>
                <w:rFonts w:ascii="Inter" w:hAnsi="Inter" w:cs="Inter"/>
                <w:b w:val="0"/>
                <w:i w:val="0"/>
                <w:color w:val="2D2D2D"/>
                <w:sz w:val="19"/>
              </w:rPr>
              <w:t>Did it work? Why or why not?</w:t>
            </w:r>
          </w:p>
        </w:tc>
      </w:tr>
      <w:tr>
        <w:tc>
          <w:tcPr>
            <w:tcW w:type="dxa" w:w="3120"/>
          </w:tcPr>
          <w:p>
            <w:r/>
            <w:r>
              <w:rPr>
                <w:rFonts w:ascii="Inter" w:hAnsi="Inter" w:cs="Inter"/>
                <w:b w:val="0"/>
                <w:i w:val="0"/>
                <w:color w:val="2D2D2D"/>
                <w:sz w:val="19"/>
              </w:rPr>
              <w:t>**Focus**</w:t>
            </w:r>
          </w:p>
        </w:tc>
        <w:tc>
          <w:tcPr>
            <w:tcW w:type="dxa" w:w="3120"/>
          </w:tcPr>
          <w:p>
            <w:r/>
            <w:r>
              <w:rPr>
                <w:rFonts w:ascii="Inter" w:hAnsi="Inter" w:cs="Inter"/>
                <w:b w:val="0"/>
                <w:i w:val="0"/>
                <w:color w:val="2D2D2D"/>
                <w:sz w:val="19"/>
              </w:rPr>
              <w:t>Outputs, activities, budget execution</w:t>
            </w:r>
          </w:p>
        </w:tc>
        <w:tc>
          <w:tcPr>
            <w:tcW w:type="dxa" w:w="3120"/>
          </w:tcPr>
          <w:p>
            <w:r/>
            <w:r>
              <w:rPr>
                <w:rFonts w:ascii="Inter" w:hAnsi="Inter" w:cs="Inter"/>
                <w:b w:val="0"/>
                <w:i w:val="0"/>
                <w:color w:val="2D2D2D"/>
                <w:sz w:val="19"/>
              </w:rPr>
              <w:t>Outcomes, impact, effectiveness</w:t>
            </w:r>
          </w:p>
        </w:tc>
      </w:tr>
      <w:tr>
        <w:tc>
          <w:tcPr>
            <w:tcW w:type="dxa" w:w="3120"/>
            <w:shd w:fill="F0F3F6"/>
          </w:tcPr>
          <w:p>
            <w:r/>
            <w:r>
              <w:rPr>
                <w:rFonts w:ascii="Inter" w:hAnsi="Inter" w:cs="Inter"/>
                <w:b w:val="0"/>
                <w:i w:val="0"/>
                <w:color w:val="2D2D2D"/>
                <w:sz w:val="19"/>
              </w:rPr>
              <w:t>**Method**</w:t>
            </w:r>
          </w:p>
        </w:tc>
        <w:tc>
          <w:tcPr>
            <w:tcW w:type="dxa" w:w="3120"/>
            <w:shd w:fill="F0F3F6"/>
          </w:tcPr>
          <w:p>
            <w:r/>
            <w:r>
              <w:rPr>
                <w:rFonts w:ascii="Inter" w:hAnsi="Inter" w:cs="Inter"/>
                <w:b w:val="0"/>
                <w:i w:val="0"/>
                <w:color w:val="2D2D2D"/>
                <w:sz w:val="19"/>
              </w:rPr>
              <w:t>Routine data collection, variance analysis</w:t>
            </w:r>
          </w:p>
        </w:tc>
        <w:tc>
          <w:tcPr>
            <w:tcW w:type="dxa" w:w="3120"/>
            <w:shd w:fill="F0F3F6"/>
          </w:tcPr>
          <w:p>
            <w:r/>
            <w:r>
              <w:rPr>
                <w:rFonts w:ascii="Inter" w:hAnsi="Inter" w:cs="Inter"/>
                <w:b w:val="0"/>
                <w:i w:val="0"/>
                <w:color w:val="2D2D2D"/>
                <w:sz w:val="19"/>
              </w:rPr>
              <w:t>Studies, surveys, in-depth analysis</w:t>
            </w:r>
          </w:p>
        </w:tc>
      </w:tr>
      <w:tr>
        <w:tc>
          <w:tcPr>
            <w:tcW w:type="dxa" w:w="3120"/>
          </w:tcPr>
          <w:p>
            <w:r/>
            <w:r>
              <w:rPr>
                <w:rFonts w:ascii="Inter" w:hAnsi="Inter" w:cs="Inter"/>
                <w:b w:val="0"/>
                <w:i w:val="0"/>
                <w:color w:val="2D2D2D"/>
                <w:sz w:val="19"/>
              </w:rPr>
              <w:t>**Users**</w:t>
            </w:r>
          </w:p>
        </w:tc>
        <w:tc>
          <w:tcPr>
            <w:tcW w:type="dxa" w:w="3120"/>
          </w:tcPr>
          <w:p>
            <w:r/>
            <w:r>
              <w:rPr>
                <w:rFonts w:ascii="Inter" w:hAnsi="Inter" w:cs="Inter"/>
                <w:b w:val="0"/>
                <w:i w:val="0"/>
                <w:color w:val="2D2D2D"/>
                <w:sz w:val="19"/>
              </w:rPr>
              <w:t>Program managers, division chiefs</w:t>
            </w:r>
          </w:p>
        </w:tc>
        <w:tc>
          <w:tcPr>
            <w:tcW w:type="dxa" w:w="3120"/>
          </w:tcPr>
          <w:p>
            <w:r/>
            <w:r>
              <w:rPr>
                <w:rFonts w:ascii="Inter" w:hAnsi="Inter" w:cs="Inter"/>
                <w:b w:val="0"/>
                <w:i w:val="0"/>
                <w:color w:val="2D2D2D"/>
                <w:sz w:val="19"/>
              </w:rPr>
              <w:t>Leadership, BPDA, Parliament, donors</w:t>
            </w:r>
          </w:p>
        </w:tc>
      </w:tr>
      <w:tr>
        <w:tc>
          <w:tcPr>
            <w:tcW w:type="dxa" w:w="3120"/>
            <w:shd w:fill="F0F3F6"/>
          </w:tcPr>
          <w:p>
            <w:r/>
            <w:r>
              <w:rPr>
                <w:rFonts w:ascii="Inter" w:hAnsi="Inter" w:cs="Inter"/>
                <w:b w:val="0"/>
                <w:i w:val="0"/>
                <w:color w:val="2D2D2D"/>
                <w:sz w:val="19"/>
              </w:rPr>
              <w:t>**Action**</w:t>
            </w:r>
          </w:p>
        </w:tc>
        <w:tc>
          <w:tcPr>
            <w:tcW w:type="dxa" w:w="3120"/>
            <w:shd w:fill="F0F3F6"/>
          </w:tcPr>
          <w:p>
            <w:r/>
            <w:r>
              <w:rPr>
                <w:rFonts w:ascii="Inter" w:hAnsi="Inter" w:cs="Inter"/>
                <w:b w:val="0"/>
                <w:i w:val="0"/>
                <w:color w:val="2D2D2D"/>
                <w:sz w:val="19"/>
              </w:rPr>
              <w:t>Operational adjustments</w:t>
            </w:r>
          </w:p>
        </w:tc>
        <w:tc>
          <w:tcPr>
            <w:tcW w:type="dxa" w:w="3120"/>
            <w:shd w:fill="F0F3F6"/>
          </w:tcPr>
          <w:p>
            <w:r/>
            <w:r>
              <w:rPr>
                <w:rFonts w:ascii="Inter" w:hAnsi="Inter" w:cs="Inter"/>
                <w:b w:val="0"/>
                <w:i w:val="0"/>
                <w:color w:val="2D2D2D"/>
                <w:sz w:val="19"/>
              </w:rPr>
              <w:t>Strategic revisions</w:t>
            </w:r>
          </w:p>
        </w:tc>
      </w:tr>
    </w:tbl>
    <w:p/>
    <w:p>
      <w:pPr>
        <w:spacing w:after="120" w:line="276" w:lineRule="auto"/>
      </w:pPr>
      <w:r>
        <w:rPr>
          <w:rFonts w:ascii="Inter" w:hAnsi="Inter" w:cs="Inter"/>
          <w:b w:val="0"/>
          <w:i w:val="0"/>
          <w:color w:val="2D2D2D"/>
          <w:sz w:val="22"/>
        </w:rPr>
        <w:t>Your M&amp;E framework must include both. Monitoring without evaluation tells you targets were met but not whether that produced change. Evaluation without monitoring leaves you with no data to evaluate.</w:t>
      </w:r>
    </w:p>
    <w:p>
      <w:pPr>
        <w:pStyle w:val="Heading3"/>
      </w:pPr>
      <w:r>
        <w:rPr>
          <w:rFonts w:ascii="Inter" w:hAnsi="Inter" w:cs="Inter"/>
          <w:b/>
          <w:i w:val="0"/>
          <w:color w:val="2C5F7C"/>
          <w:sz w:val="26"/>
        </w:rPr>
        <w:t>Adaptive Management</w:t>
      </w:r>
    </w:p>
    <w:p>
      <w:pPr>
        <w:spacing w:after="120" w:line="276" w:lineRule="auto"/>
      </w:pPr>
      <w:r>
        <w:rPr>
          <w:rFonts w:ascii="Inter" w:hAnsi="Inter" w:cs="Inter"/>
          <w:b w:val="0"/>
          <w:i w:val="0"/>
          <w:color w:val="2D2D2D"/>
          <w:sz w:val="22"/>
        </w:rPr>
        <w:t>This is the concept that separates a useful M&amp;E system from a compliance exercise. Adaptive management means using M&amp;E data to adjust the plan while it is being implemented --- not just to report on what happened.</w:t>
      </w:r>
    </w:p>
    <w:p>
      <w:pPr>
        <w:spacing w:after="120" w:line="276" w:lineRule="auto"/>
      </w:pPr>
      <w:r>
        <w:rPr>
          <w:rFonts w:ascii="Inter" w:hAnsi="Inter" w:cs="Inter"/>
          <w:b w:val="0"/>
          <w:i w:val="0"/>
          <w:color w:val="2D2D2D"/>
          <w:sz w:val="22"/>
        </w:rPr>
        <w:t>Most M&amp;E systems in government operate as accountability tools: data flows upward to oversight bodies but rarely flows *backward* into management decisions. Adaptive management requires that your MOA define, in advance, the conditions under which M&amp;E data will trigger a management response --- specific thresholds that, when crossed, require a review and potential revision of the plan.</w:t>
      </w:r>
    </w:p>
    <w:p>
      <w:pPr>
        <w:spacing w:after="120" w:line="276" w:lineRule="auto"/>
      </w:pPr>
      <w:r>
        <w:rPr>
          <w:rFonts w:ascii="Inter" w:hAnsi="Inter" w:cs="Inter"/>
          <w:b w:val="0"/>
          <w:i w:val="0"/>
          <w:color w:val="2D2D2D"/>
          <w:sz w:val="22"/>
        </w:rPr>
        <w:t>Examples of adaptive management triggers:</w:t>
      </w:r>
    </w:p>
    <w:p>
      <w:pPr>
        <w:pStyle w:val="ListBullet"/>
      </w:pPr>
      <w:r>
        <w:rPr>
          <w:rFonts w:ascii="Inter" w:hAnsi="Inter" w:cs="Inter"/>
          <w:b w:val="0"/>
          <w:i w:val="0"/>
          <w:color w:val="2D2D2D"/>
          <w:sz w:val="22"/>
        </w:rPr>
        <w:t>If a PPA achieves less than 50% of its quarterly output target for two consecutive quarters, the responsible division chief must convene a review meeting within 10 working days and submit a corrective action plan to the Director.</w:t>
      </w:r>
    </w:p>
    <w:p>
      <w:pPr>
        <w:pStyle w:val="ListBullet"/>
      </w:pPr>
      <w:r>
        <w:rPr>
          <w:rFonts w:ascii="Inter" w:hAnsi="Inter" w:cs="Inter"/>
          <w:b w:val="0"/>
          <w:i w:val="0"/>
          <w:color w:val="2D2D2D"/>
          <w:sz w:val="22"/>
        </w:rPr>
        <w:t>If an outcome indicator shows no improvement after four quarters of implementation, the Planning Officer must initiate a root-cause analysis and present findings to the executive committee.</w:t>
      </w:r>
    </w:p>
    <w:p>
      <w:pPr>
        <w:pStyle w:val="ListBullet"/>
      </w:pPr>
      <w:r>
        <w:rPr>
          <w:rFonts w:ascii="Inter" w:hAnsi="Inter" w:cs="Inter"/>
          <w:b w:val="0"/>
          <w:i w:val="0"/>
          <w:color w:val="2D2D2D"/>
          <w:sz w:val="22"/>
        </w:rPr>
        <w:t>If a critical variance (beyond 50% deviation from target) is identified in any indicator, the matter is escalated to the Minister or Head of Office within five working days.</w:t>
      </w:r>
    </w:p>
    <w:p>
      <w:pPr>
        <w:pStyle w:val="ListBullet"/>
      </w:pPr>
      <w:r>
        <w:rPr>
          <w:rFonts w:ascii="Inter" w:hAnsi="Inter" w:cs="Inter"/>
          <w:b w:val="0"/>
          <w:i w:val="0"/>
          <w:color w:val="2D2D2D"/>
          <w:sz w:val="22"/>
        </w:rPr>
        <w:t>If the mid-term evaluation finds that a key assumption in the Theory of Change is not holding, the strategic plan must be revised before the next annual planning cycle.</w:t>
      </w:r>
    </w:p>
    <w:p>
      <w:pPr>
        <w:spacing w:after="120" w:line="276" w:lineRule="auto"/>
      </w:pPr>
      <w:r>
        <w:rPr>
          <w:rFonts w:ascii="Inter" w:hAnsi="Inter" w:cs="Inter"/>
          <w:b w:val="0"/>
          <w:i w:val="0"/>
          <w:color w:val="2D2D2D"/>
          <w:sz w:val="22"/>
        </w:rPr>
        <w:t>Without triggers like these, M&amp;E data has no teeth. Define your triggers before implementation begins. Write them into the plan.</w:t>
      </w:r>
    </w:p>
    <w:p>
      <w:pPr>
        <w:pStyle w:val="Heading3"/>
      </w:pPr>
      <w:r>
        <w:rPr>
          <w:rFonts w:ascii="Inter" w:hAnsi="Inter" w:cs="Inter"/>
          <w:b/>
          <w:i w:val="0"/>
          <w:color w:val="2C5F7C"/>
          <w:sz w:val="26"/>
        </w:rPr>
        <w:t>Variance Analysis</w:t>
      </w:r>
    </w:p>
    <w:p>
      <w:pPr>
        <w:spacing w:after="120" w:line="276" w:lineRule="auto"/>
      </w:pPr>
      <w:r>
        <w:rPr>
          <w:rFonts w:ascii="Inter" w:hAnsi="Inter" w:cs="Inter"/>
          <w:b w:val="0"/>
          <w:i w:val="0"/>
          <w:color w:val="2D2D2D"/>
          <w:sz w:val="22"/>
        </w:rPr>
        <w:t>Variance analysis compares actual performance against targets and classifies the deviation. A practical classification system uses four levels:[^1]</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Variance Level</w:t>
            </w:r>
          </w:p>
        </w:tc>
        <w:tc>
          <w:tcPr>
            <w:tcW w:type="dxa" w:w="3120"/>
            <w:shd w:fill="1B365D"/>
          </w:tcPr>
          <w:p>
            <w:r/>
            <w:r>
              <w:rPr>
                <w:rFonts w:ascii="Inter" w:hAnsi="Inter" w:cs="Inter"/>
                <w:b/>
                <w:i w:val="0"/>
                <w:color w:val="FFFFFF"/>
                <w:sz w:val="19"/>
              </w:rPr>
              <w:t>Threshold</w:t>
            </w:r>
          </w:p>
        </w:tc>
        <w:tc>
          <w:tcPr>
            <w:tcW w:type="dxa" w:w="3120"/>
            <w:shd w:fill="1B365D"/>
          </w:tcPr>
          <w:p>
            <w:r/>
            <w:r>
              <w:rPr>
                <w:rFonts w:ascii="Inter" w:hAnsi="Inter" w:cs="Inter"/>
                <w:b/>
                <w:i w:val="0"/>
                <w:color w:val="FFFFFF"/>
                <w:sz w:val="19"/>
              </w:rPr>
              <w:t>Required Action</w:t>
            </w:r>
          </w:p>
        </w:tc>
      </w:tr>
      <w:tr>
        <w:tc>
          <w:tcPr>
            <w:tcW w:type="dxa" w:w="3120"/>
          </w:tcPr>
          <w:p>
            <w:r/>
            <w:r>
              <w:rPr>
                <w:rFonts w:ascii="Inter" w:hAnsi="Inter" w:cs="Inter"/>
                <w:b w:val="0"/>
                <w:i w:val="0"/>
                <w:color w:val="2D2D2D"/>
                <w:sz w:val="19"/>
              </w:rPr>
              <w:t>**On Track**</w:t>
            </w:r>
          </w:p>
        </w:tc>
        <w:tc>
          <w:tcPr>
            <w:tcW w:type="dxa" w:w="3120"/>
          </w:tcPr>
          <w:p>
            <w:r/>
            <w:r>
              <w:rPr>
                <w:rFonts w:ascii="Inter" w:hAnsi="Inter" w:cs="Inter"/>
                <w:b w:val="0"/>
                <w:i w:val="0"/>
                <w:color w:val="2D2D2D"/>
                <w:sz w:val="19"/>
              </w:rPr>
              <w:t>Within +/-10% of target</w:t>
            </w:r>
          </w:p>
        </w:tc>
        <w:tc>
          <w:tcPr>
            <w:tcW w:type="dxa" w:w="3120"/>
          </w:tcPr>
          <w:p>
            <w:r/>
            <w:r>
              <w:rPr>
                <w:rFonts w:ascii="Inter" w:hAnsi="Inter" w:cs="Inter"/>
                <w:b w:val="0"/>
                <w:i w:val="0"/>
                <w:color w:val="2D2D2D"/>
                <w:sz w:val="19"/>
              </w:rPr>
              <w:t>Continue as planned</w:t>
            </w:r>
          </w:p>
        </w:tc>
      </w:tr>
      <w:tr>
        <w:tc>
          <w:tcPr>
            <w:tcW w:type="dxa" w:w="3120"/>
            <w:shd w:fill="F0F3F6"/>
          </w:tcPr>
          <w:p>
            <w:r/>
            <w:r>
              <w:rPr>
                <w:rFonts w:ascii="Inter" w:hAnsi="Inter" w:cs="Inter"/>
                <w:b w:val="0"/>
                <w:i w:val="0"/>
                <w:color w:val="2D2D2D"/>
                <w:sz w:val="19"/>
              </w:rPr>
              <w:t>**Minor Variance**</w:t>
            </w:r>
          </w:p>
        </w:tc>
        <w:tc>
          <w:tcPr>
            <w:tcW w:type="dxa" w:w="3120"/>
            <w:shd w:fill="F0F3F6"/>
          </w:tcPr>
          <w:p>
            <w:r/>
            <w:r>
              <w:rPr>
                <w:rFonts w:ascii="Inter" w:hAnsi="Inter" w:cs="Inter"/>
                <w:b w:val="0"/>
                <w:i w:val="0"/>
                <w:color w:val="2D2D2D"/>
                <w:sz w:val="19"/>
              </w:rPr>
              <w:t>+/-10% to 25%</w:t>
            </w:r>
          </w:p>
        </w:tc>
        <w:tc>
          <w:tcPr>
            <w:tcW w:type="dxa" w:w="3120"/>
            <w:shd w:fill="F0F3F6"/>
          </w:tcPr>
          <w:p>
            <w:r/>
            <w:r>
              <w:rPr>
                <w:rFonts w:ascii="Inter" w:hAnsi="Inter" w:cs="Inter"/>
                <w:b w:val="0"/>
                <w:i w:val="0"/>
                <w:color w:val="2D2D2D"/>
                <w:sz w:val="19"/>
              </w:rPr>
              <w:t>Document cause in progress report; identify corrective measures</w:t>
            </w:r>
          </w:p>
        </w:tc>
      </w:tr>
      <w:tr>
        <w:tc>
          <w:tcPr>
            <w:tcW w:type="dxa" w:w="3120"/>
          </w:tcPr>
          <w:p>
            <w:r/>
            <w:r>
              <w:rPr>
                <w:rFonts w:ascii="Inter" w:hAnsi="Inter" w:cs="Inter"/>
                <w:b w:val="0"/>
                <w:i w:val="0"/>
                <w:color w:val="2D2D2D"/>
                <w:sz w:val="19"/>
              </w:rPr>
              <w:t>**Significant Variance**</w:t>
            </w:r>
          </w:p>
        </w:tc>
        <w:tc>
          <w:tcPr>
            <w:tcW w:type="dxa" w:w="3120"/>
          </w:tcPr>
          <w:p>
            <w:r/>
            <w:r>
              <w:rPr>
                <w:rFonts w:ascii="Inter" w:hAnsi="Inter" w:cs="Inter"/>
                <w:b w:val="0"/>
                <w:i w:val="0"/>
                <w:color w:val="2D2D2D"/>
                <w:sz w:val="19"/>
              </w:rPr>
              <w:t>+/-25% to 50%</w:t>
            </w:r>
          </w:p>
        </w:tc>
        <w:tc>
          <w:tcPr>
            <w:tcW w:type="dxa" w:w="3120"/>
          </w:tcPr>
          <w:p>
            <w:r/>
            <w:r>
              <w:rPr>
                <w:rFonts w:ascii="Inter" w:hAnsi="Inter" w:cs="Inter"/>
                <w:b w:val="0"/>
                <w:i w:val="0"/>
                <w:color w:val="2D2D2D"/>
                <w:sz w:val="19"/>
              </w:rPr>
              <w:t>Prepare corrective action plan; management review required</w:t>
            </w:r>
          </w:p>
        </w:tc>
      </w:tr>
      <w:tr>
        <w:tc>
          <w:tcPr>
            <w:tcW w:type="dxa" w:w="3120"/>
            <w:shd w:fill="F0F3F6"/>
          </w:tcPr>
          <w:p>
            <w:r/>
            <w:r>
              <w:rPr>
                <w:rFonts w:ascii="Inter" w:hAnsi="Inter" w:cs="Inter"/>
                <w:b w:val="0"/>
                <w:i w:val="0"/>
                <w:color w:val="2D2D2D"/>
                <w:sz w:val="19"/>
              </w:rPr>
              <w:t>**Critical Variance**</w:t>
            </w:r>
          </w:p>
        </w:tc>
        <w:tc>
          <w:tcPr>
            <w:tcW w:type="dxa" w:w="3120"/>
            <w:shd w:fill="F0F3F6"/>
          </w:tcPr>
          <w:p>
            <w:r/>
            <w:r>
              <w:rPr>
                <w:rFonts w:ascii="Inter" w:hAnsi="Inter" w:cs="Inter"/>
                <w:b w:val="0"/>
                <w:i w:val="0"/>
                <w:color w:val="2D2D2D"/>
                <w:sz w:val="19"/>
              </w:rPr>
              <w:t>Beyond +/-50%</w:t>
            </w:r>
          </w:p>
        </w:tc>
        <w:tc>
          <w:tcPr>
            <w:tcW w:type="dxa" w:w="3120"/>
            <w:shd w:fill="F0F3F6"/>
          </w:tcPr>
          <w:p>
            <w:r/>
            <w:r>
              <w:rPr>
                <w:rFonts w:ascii="Inter" w:hAnsi="Inter" w:cs="Inter"/>
                <w:b w:val="0"/>
                <w:i w:val="0"/>
                <w:color w:val="2D2D2D"/>
                <w:sz w:val="19"/>
              </w:rPr>
              <w:t>Escalate to leadership; major intervention or plan revision needed</w:t>
            </w:r>
          </w:p>
        </w:tc>
      </w:tr>
    </w:tbl>
    <w:p/>
    <w:p>
      <w:pPr>
        <w:spacing w:after="120" w:line="276" w:lineRule="auto"/>
      </w:pPr>
      <w:r>
        <w:rPr>
          <w:rFonts w:ascii="Inter" w:hAnsi="Inter" w:cs="Inter"/>
          <w:b w:val="0"/>
          <w:i w:val="0"/>
          <w:color w:val="2D2D2D"/>
          <w:sz w:val="22"/>
        </w:rPr>
        <w:t>Variance analysis is only useful when it includes *cause analysis*. Knowing that an indicator is 35% below target tells you there is a problem. Knowing the cause is delayed fund release tells you what to do about it. Every significant or critical variance should be accompanied by a documented cause and a corrective action.</w:t>
      </w:r>
    </w:p>
    <w:p>
      <w:pPr>
        <w:pStyle w:val="Heading3"/>
      </w:pPr>
      <w:r>
        <w:rPr>
          <w:rFonts w:ascii="Inter" w:hAnsi="Inter" w:cs="Inter"/>
          <w:b/>
          <w:i w:val="0"/>
          <w:color w:val="2C5F7C"/>
          <w:sz w:val="26"/>
        </w:rPr>
        <w:t>Reporting Levels</w:t>
      </w:r>
    </w:p>
    <w:p>
      <w:pPr>
        <w:spacing w:after="120" w:line="276" w:lineRule="auto"/>
      </w:pPr>
      <w:r>
        <w:rPr>
          <w:rFonts w:ascii="Inter" w:hAnsi="Inter" w:cs="Inter"/>
          <w:b w:val="0"/>
          <w:i w:val="0"/>
          <w:color w:val="2D2D2D"/>
          <w:sz w:val="22"/>
        </w:rPr>
        <w:t>Your M&amp;E system produces different reports for different audiences:</w:t>
      </w:r>
    </w:p>
    <w:p>
      <w:pPr>
        <w:pStyle w:val="ListBullet"/>
      </w:pPr>
      <w:r>
        <w:rPr>
          <w:rFonts w:ascii="Inter" w:hAnsi="Inter" w:cs="Inter"/>
          <w:b w:val="0"/>
          <w:i w:val="0"/>
          <w:color w:val="2D2D2D"/>
          <w:sz w:val="22"/>
        </w:rPr>
      </w:r>
      <w:r>
        <w:rPr>
          <w:rFonts w:ascii="Inter" w:hAnsi="Inter" w:cs="Inter"/>
          <w:b/>
          <w:i w:val="0"/>
          <w:color w:val="2D2D2D"/>
          <w:sz w:val="22"/>
        </w:rPr>
        <w:t>Monthly progress reports:</w:t>
      </w:r>
      <w:r>
        <w:rPr>
          <w:rFonts w:ascii="Inter" w:hAnsi="Inter" w:cs="Inter"/>
          <w:b w:val="0"/>
          <w:i w:val="0"/>
          <w:color w:val="2D2D2D"/>
          <w:sz w:val="22"/>
        </w:rPr>
        <w:t xml:space="preserve"> Internal management tools tracking activity completion and budget utilization. Short, data-heavy, action-oriented.</w:t>
      </w:r>
    </w:p>
    <w:p>
      <w:pPr>
        <w:pStyle w:val="ListBullet"/>
      </w:pPr>
      <w:r>
        <w:rPr>
          <w:rFonts w:ascii="Inter" w:hAnsi="Inter" w:cs="Inter"/>
          <w:b w:val="0"/>
          <w:i w:val="0"/>
          <w:color w:val="2D2D2D"/>
          <w:sz w:val="22"/>
        </w:rPr>
      </w:r>
      <w:r>
        <w:rPr>
          <w:rFonts w:ascii="Inter" w:hAnsi="Inter" w:cs="Inter"/>
          <w:b/>
          <w:i w:val="0"/>
          <w:color w:val="2D2D2D"/>
          <w:sz w:val="22"/>
        </w:rPr>
        <w:t>Quarterly performance reports:</w:t>
      </w:r>
      <w:r>
        <w:rPr>
          <w:rFonts w:ascii="Inter" w:hAnsi="Inter" w:cs="Inter"/>
          <w:b w:val="0"/>
          <w:i w:val="0"/>
          <w:color w:val="2D2D2D"/>
          <w:sz w:val="22"/>
        </w:rPr>
        <w:t xml:space="preserve"> The primary accountability instrument, comparing output and outcome indicators against targets with variance analysis. Submitted to the Head of Office, MFBM, and BPDA.[^2]</w:t>
      </w:r>
    </w:p>
    <w:p>
      <w:pPr>
        <w:pStyle w:val="ListBullet"/>
      </w:pPr>
      <w:r>
        <w:rPr>
          <w:rFonts w:ascii="Inter" w:hAnsi="Inter" w:cs="Inter"/>
          <w:b w:val="0"/>
          <w:i w:val="0"/>
          <w:color w:val="2D2D2D"/>
          <w:sz w:val="22"/>
        </w:rPr>
      </w:r>
      <w:r>
        <w:rPr>
          <w:rFonts w:ascii="Inter" w:hAnsi="Inter" w:cs="Inter"/>
          <w:b/>
          <w:i w:val="0"/>
          <w:color w:val="2D2D2D"/>
          <w:sz w:val="22"/>
        </w:rPr>
        <w:t>Annual performance reports:</w:t>
      </w:r>
      <w:r>
        <w:rPr>
          <w:rFonts w:ascii="Inter" w:hAnsi="Inter" w:cs="Inter"/>
          <w:b w:val="0"/>
          <w:i w:val="0"/>
          <w:color w:val="2D2D2D"/>
          <w:sz w:val="22"/>
        </w:rPr>
        <w:t xml:space="preserve"> Comprehensive year-end assessments consolidating quarterly data and assessing outcome and impact indicators. Submitted to BPDA and MFBM.[^3]</w:t>
      </w:r>
    </w:p>
    <w:p>
      <w:pPr>
        <w:pStyle w:val="ListBullet"/>
      </w:pPr>
      <w:r>
        <w:rPr>
          <w:rFonts w:ascii="Inter" w:hAnsi="Inter" w:cs="Inter"/>
          <w:b w:val="0"/>
          <w:i w:val="0"/>
          <w:color w:val="2D2D2D"/>
          <w:sz w:val="22"/>
        </w:rPr>
      </w:r>
      <w:r>
        <w:rPr>
          <w:rFonts w:ascii="Inter" w:hAnsi="Inter" w:cs="Inter"/>
          <w:b/>
          <w:i w:val="0"/>
          <w:color w:val="2D2D2D"/>
          <w:sz w:val="22"/>
        </w:rPr>
        <w:t>Mid-term evaluation:</w:t>
      </w:r>
      <w:r>
        <w:rPr>
          <w:rFonts w:ascii="Inter" w:hAnsi="Inter" w:cs="Inter"/>
          <w:b w:val="0"/>
          <w:i w:val="0"/>
          <w:color w:val="2D2D2D"/>
          <w:sz w:val="22"/>
        </w:rPr>
        <w:t xml:space="preserve"> Conducted at the planning period midpoint to assess whether the ToC is holding and whether strategic adjustments are needed.</w:t>
      </w:r>
    </w:p>
    <w:p>
      <w:pPr>
        <w:pStyle w:val="ListBullet"/>
      </w:pPr>
      <w:r>
        <w:rPr>
          <w:rFonts w:ascii="Inter" w:hAnsi="Inter" w:cs="Inter"/>
          <w:b w:val="0"/>
          <w:i w:val="0"/>
          <w:color w:val="2D2D2D"/>
          <w:sz w:val="22"/>
        </w:rPr>
      </w:r>
      <w:r>
        <w:rPr>
          <w:rFonts w:ascii="Inter" w:hAnsi="Inter" w:cs="Inter"/>
          <w:b/>
          <w:i w:val="0"/>
          <w:color w:val="2D2D2D"/>
          <w:sz w:val="22"/>
        </w:rPr>
        <w:t>End-of-plan evaluation:</w:t>
      </w:r>
      <w:r>
        <w:rPr>
          <w:rFonts w:ascii="Inter" w:hAnsi="Inter" w:cs="Inter"/>
          <w:b w:val="0"/>
          <w:i w:val="0"/>
          <w:color w:val="2D2D2D"/>
          <w:sz w:val="22"/>
        </w:rPr>
        <w:t xml:space="preserve"> Comprehensive assessment of effectiveness, efficiency, relevance, sustainability, and impact. Informs the next strategic plan.</w:t>
      </w:r>
    </w:p>
    <w:p>
      <w:pPr>
        <w:pStyle w:val="Heading3"/>
      </w:pPr>
      <w:r>
        <w:rPr>
          <w:rFonts w:ascii="Inter" w:hAnsi="Inter" w:cs="Inter"/>
          <w:b/>
          <w:i w:val="0"/>
          <w:color w:val="2C5F7C"/>
          <w:sz w:val="26"/>
        </w:rPr>
        <w:t>Data Quality</w:t>
      </w:r>
    </w:p>
    <w:p>
      <w:pPr>
        <w:spacing w:after="120" w:line="276" w:lineRule="auto"/>
      </w:pPr>
      <w:r>
        <w:rPr>
          <w:rFonts w:ascii="Inter" w:hAnsi="Inter" w:cs="Inter"/>
          <w:b w:val="0"/>
          <w:i w:val="0"/>
          <w:color w:val="2D2D2D"/>
          <w:sz w:val="22"/>
        </w:rPr>
        <w:t xml:space="preserve">Indicators are only as useful as the data behind them. Your M&amp;E framework must address data quality through six criteria:[^4] (1) </w:t>
      </w:r>
      <w:r>
        <w:rPr>
          <w:rFonts w:ascii="Inter" w:hAnsi="Inter" w:cs="Inter"/>
          <w:b/>
          <w:i w:val="0"/>
          <w:color w:val="2D2D2D"/>
          <w:sz w:val="22"/>
        </w:rPr>
        <w:t>Validity</w:t>
      </w:r>
      <w:r>
        <w:rPr>
          <w:rFonts w:ascii="Inter" w:hAnsi="Inter" w:cs="Inter"/>
          <w:b w:val="0"/>
          <w:i w:val="0"/>
          <w:color w:val="2D2D2D"/>
          <w:sz w:val="22"/>
        </w:rPr>
        <w:t xml:space="preserve"> --- does the data measure what it claims to measure? (2) </w:t>
      </w:r>
      <w:r>
        <w:rPr>
          <w:rFonts w:ascii="Inter" w:hAnsi="Inter" w:cs="Inter"/>
          <w:b/>
          <w:i w:val="0"/>
          <w:color w:val="2D2D2D"/>
          <w:sz w:val="22"/>
        </w:rPr>
        <w:t>Reliability</w:t>
      </w:r>
      <w:r>
        <w:rPr>
          <w:rFonts w:ascii="Inter" w:hAnsi="Inter" w:cs="Inter"/>
          <w:b w:val="0"/>
          <w:i w:val="0"/>
          <w:color w:val="2D2D2D"/>
          <w:sz w:val="22"/>
        </w:rPr>
        <w:t xml:space="preserve"> --- would the same method produce the same result if repeated? (3) </w:t>
      </w:r>
      <w:r>
        <w:rPr>
          <w:rFonts w:ascii="Inter" w:hAnsi="Inter" w:cs="Inter"/>
          <w:b/>
          <w:i w:val="0"/>
          <w:color w:val="2D2D2D"/>
          <w:sz w:val="22"/>
        </w:rPr>
        <w:t>Timeliness</w:t>
      </w:r>
      <w:r>
        <w:rPr>
          <w:rFonts w:ascii="Inter" w:hAnsi="Inter" w:cs="Inter"/>
          <w:b w:val="0"/>
          <w:i w:val="0"/>
          <w:color w:val="2D2D2D"/>
          <w:sz w:val="22"/>
        </w:rPr>
        <w:t xml:space="preserve"> --- is data available when needed for decisions? (4) </w:t>
      </w:r>
      <w:r>
        <w:rPr>
          <w:rFonts w:ascii="Inter" w:hAnsi="Inter" w:cs="Inter"/>
          <w:b/>
          <w:i w:val="0"/>
          <w:color w:val="2D2D2D"/>
          <w:sz w:val="22"/>
        </w:rPr>
        <w:t>Completeness</w:t>
      </w:r>
      <w:r>
        <w:rPr>
          <w:rFonts w:ascii="Inter" w:hAnsi="Inter" w:cs="Inter"/>
          <w:b w:val="0"/>
          <w:i w:val="0"/>
          <w:color w:val="2D2D2D"/>
          <w:sz w:val="22"/>
        </w:rPr>
        <w:t xml:space="preserve"> --- does data cover all target populations and areas? (5) </w:t>
      </w:r>
      <w:r>
        <w:rPr>
          <w:rFonts w:ascii="Inter" w:hAnsi="Inter" w:cs="Inter"/>
          <w:b/>
          <w:i w:val="0"/>
          <w:color w:val="2D2D2D"/>
          <w:sz w:val="22"/>
        </w:rPr>
        <w:t>Precision</w:t>
      </w:r>
      <w:r>
        <w:rPr>
          <w:rFonts w:ascii="Inter" w:hAnsi="Inter" w:cs="Inter"/>
          <w:b w:val="0"/>
          <w:i w:val="0"/>
          <w:color w:val="2D2D2D"/>
          <w:sz w:val="22"/>
        </w:rPr>
        <w:t xml:space="preserve"> --- is the margin of error acceptable? (6) </w:t>
      </w:r>
      <w:r>
        <w:rPr>
          <w:rFonts w:ascii="Inter" w:hAnsi="Inter" w:cs="Inter"/>
          <w:b/>
          <w:i w:val="0"/>
          <w:color w:val="2D2D2D"/>
          <w:sz w:val="22"/>
        </w:rPr>
        <w:t>Integrity</w:t>
      </w:r>
      <w:r>
        <w:rPr>
          <w:rFonts w:ascii="Inter" w:hAnsi="Inter" w:cs="Inter"/>
          <w:b w:val="0"/>
          <w:i w:val="0"/>
          <w:color w:val="2D2D2D"/>
          <w:sz w:val="22"/>
        </w:rPr>
        <w:t xml:space="preserve"> --- is data protected from manipulation or systematic bias?</w:t>
      </w:r>
    </w:p>
    <w:p>
      <w:pPr>
        <w:spacing w:after="120" w:line="276" w:lineRule="auto"/>
      </w:pPr>
      <w:r>
        <w:rPr>
          <w:rFonts w:ascii="Inter" w:hAnsi="Inter" w:cs="Inter"/>
          <w:b w:val="0"/>
          <w:i w:val="0"/>
          <w:color w:val="2D2D2D"/>
          <w:sz w:val="22"/>
        </w:rPr>
        <w:t>For each indicator, specify what quality assurance measures are in place --- verification procedures, spot checks, supervisory review, or independent validation.</w:t>
      </w:r>
    </w:p>
    <w:p>
      <w:pPr>
        <w:pStyle w:val="Heading2"/>
      </w:pPr>
      <w:r>
        <w:rPr>
          <w:rFonts w:ascii="Inter" w:hAnsi="Inter" w:cs="Inter"/>
          <w:b/>
          <w:i w:val="0"/>
          <w:color w:val="1B365D"/>
          <w:sz w:val="32"/>
        </w:rPr>
        <w:t>11.3 Step-by-Step Instructions</w:t>
      </w:r>
    </w:p>
    <w:p>
      <w:pPr>
        <w:pStyle w:val="Heading3"/>
      </w:pPr>
      <w:r>
        <w:rPr>
          <w:rFonts w:ascii="Inter" w:hAnsi="Inter" w:cs="Inter"/>
          <w:b/>
          <w:i w:val="0"/>
          <w:color w:val="2C5F7C"/>
          <w:sz w:val="26"/>
        </w:rPr>
        <w:t>Step 1: Review Your Theory of Change</w:t>
      </w:r>
    </w:p>
    <w:p>
      <w:pPr>
        <w:spacing w:after="120" w:line="276" w:lineRule="auto"/>
      </w:pPr>
      <w:r>
        <w:rPr>
          <w:rFonts w:ascii="Inter" w:hAnsi="Inter" w:cs="Inter"/>
          <w:b w:val="0"/>
          <w:i w:val="0"/>
          <w:color w:val="2D2D2D"/>
          <w:sz w:val="22"/>
        </w:rPr>
        <w:t>Open your Theory of Change (Chapter 7). Confirm that every result statement at each level --- impact, outcomes, outputs --- is clear and measurable. If any is vague, sharpen it before designing indicators. List every result organized by level: this is your indicator map.</w:t>
      </w:r>
    </w:p>
    <w:p>
      <w:pPr>
        <w:pStyle w:val="Heading3"/>
      </w:pPr>
      <w:r>
        <w:rPr>
          <w:rFonts w:ascii="Inter" w:hAnsi="Inter" w:cs="Inter"/>
          <w:b/>
          <w:i w:val="0"/>
          <w:color w:val="2C5F7C"/>
          <w:sz w:val="26"/>
        </w:rPr>
        <w:t>Step 2: Design Indicators for Each Level</w:t>
      </w:r>
    </w:p>
    <w:p>
      <w:pPr>
        <w:spacing w:after="120" w:line="276" w:lineRule="auto"/>
      </w:pPr>
      <w:r>
        <w:rPr>
          <w:rFonts w:ascii="Inter" w:hAnsi="Inter" w:cs="Inter"/>
          <w:b w:val="0"/>
          <w:i w:val="0"/>
          <w:color w:val="2D2D2D"/>
          <w:sz w:val="22"/>
        </w:rPr>
        <w:t>Work top-down: 2-3 impact indicators, 3-5 outcome indicators per strategic objective, 2-3 output indicators per PPA, and a small number of process indicators.</w:t>
      </w:r>
    </w:p>
    <w:p>
      <w:pPr>
        <w:spacing w:after="120" w:line="276" w:lineRule="auto"/>
      </w:pPr>
      <w:r>
        <w:rPr>
          <w:rFonts w:ascii="Inter" w:hAnsi="Inter" w:cs="Inter"/>
          <w:b w:val="0"/>
          <w:i w:val="0"/>
          <w:color w:val="2D2D2D"/>
          <w:sz w:val="22"/>
        </w:rPr>
        <w:t xml:space="preserve">For each indicator, apply the SMART+ criteria: Is it </w:t>
      </w:r>
      <w:r>
        <w:rPr>
          <w:rFonts w:ascii="Inter" w:hAnsi="Inter" w:cs="Inter"/>
          <w:b/>
          <w:i w:val="0"/>
          <w:color w:val="2D2D2D"/>
          <w:sz w:val="22"/>
        </w:rPr>
        <w:t>Specific</w:t>
      </w:r>
      <w:r>
        <w:rPr>
          <w:rFonts w:ascii="Inter" w:hAnsi="Inter" w:cs="Inter"/>
          <w:b w:val="0"/>
          <w:i w:val="0"/>
          <w:color w:val="2D2D2D"/>
          <w:sz w:val="22"/>
        </w:rPr>
        <w:t xml:space="preserve"> (two people would measure the same thing)? </w:t>
      </w:r>
      <w:r>
        <w:rPr>
          <w:rFonts w:ascii="Inter" w:hAnsi="Inter" w:cs="Inter"/>
          <w:b/>
          <w:i w:val="0"/>
          <w:color w:val="2D2D2D"/>
          <w:sz w:val="22"/>
        </w:rPr>
        <w:t>Measurable</w:t>
      </w:r>
      <w:r>
        <w:rPr>
          <w:rFonts w:ascii="Inter" w:hAnsi="Inter" w:cs="Inter"/>
          <w:b w:val="0"/>
          <w:i w:val="0"/>
          <w:color w:val="2D2D2D"/>
          <w:sz w:val="22"/>
        </w:rPr>
        <w:t xml:space="preserve"> (quantifiable with available data)? </w:t>
      </w:r>
      <w:r>
        <w:rPr>
          <w:rFonts w:ascii="Inter" w:hAnsi="Inter" w:cs="Inter"/>
          <w:b/>
          <w:i w:val="0"/>
          <w:color w:val="2D2D2D"/>
          <w:sz w:val="22"/>
        </w:rPr>
        <w:t>Achievable</w:t>
      </w:r>
      <w:r>
        <w:rPr>
          <w:rFonts w:ascii="Inter" w:hAnsi="Inter" w:cs="Inter"/>
          <w:b w:val="0"/>
          <w:i w:val="0"/>
          <w:color w:val="2D2D2D"/>
          <w:sz w:val="22"/>
        </w:rPr>
        <w:t xml:space="preserve"> (realistic given baseline and resources)? </w:t>
      </w:r>
      <w:r>
        <w:rPr>
          <w:rFonts w:ascii="Inter" w:hAnsi="Inter" w:cs="Inter"/>
          <w:b/>
          <w:i w:val="0"/>
          <w:color w:val="2D2D2D"/>
          <w:sz w:val="22"/>
        </w:rPr>
        <w:t>Relevant</w:t>
      </w:r>
      <w:r>
        <w:rPr>
          <w:rFonts w:ascii="Inter" w:hAnsi="Inter" w:cs="Inter"/>
          <w:b w:val="0"/>
          <w:i w:val="0"/>
          <w:color w:val="2D2D2D"/>
          <w:sz w:val="22"/>
        </w:rPr>
        <w:t xml:space="preserve"> (measures what matters for this result)? </w:t>
      </w:r>
      <w:r>
        <w:rPr>
          <w:rFonts w:ascii="Inter" w:hAnsi="Inter" w:cs="Inter"/>
          <w:b/>
          <w:i w:val="0"/>
          <w:color w:val="2D2D2D"/>
          <w:sz w:val="22"/>
        </w:rPr>
        <w:t>Time-bound</w:t>
      </w:r>
      <w:r>
        <w:rPr>
          <w:rFonts w:ascii="Inter" w:hAnsi="Inter" w:cs="Inter"/>
          <w:b w:val="0"/>
          <w:i w:val="0"/>
          <w:color w:val="2D2D2D"/>
          <w:sz w:val="22"/>
        </w:rPr>
        <w:t xml:space="preserve"> (has a defined measurement period)? </w:t>
      </w:r>
      <w:r>
        <w:rPr>
          <w:rFonts w:ascii="Inter" w:hAnsi="Inter" w:cs="Inter"/>
          <w:b/>
          <w:i w:val="0"/>
          <w:color w:val="2D2D2D"/>
          <w:sz w:val="22"/>
        </w:rPr>
        <w:t>Attributable</w:t>
      </w:r>
      <w:r>
        <w:rPr>
          <w:rFonts w:ascii="Inter" w:hAnsi="Inter" w:cs="Inter"/>
          <w:b w:val="0"/>
          <w:i w:val="0"/>
          <w:color w:val="2D2D2D"/>
          <w:sz w:val="22"/>
        </w:rPr>
        <w:t xml:space="preserve"> (changes can be linked to your MOA's interventions)? </w:t>
      </w:r>
      <w:r>
        <w:rPr>
          <w:rFonts w:ascii="Inter" w:hAnsi="Inter" w:cs="Inter"/>
          <w:b/>
          <w:i w:val="0"/>
          <w:color w:val="2D2D2D"/>
          <w:sz w:val="22"/>
        </w:rPr>
        <w:t>Disaggregated</w:t>
      </w:r>
      <w:r>
        <w:rPr>
          <w:rFonts w:ascii="Inter" w:hAnsi="Inter" w:cs="Inter"/>
          <w:b w:val="0"/>
          <w:i w:val="0"/>
          <w:color w:val="2D2D2D"/>
          <w:sz w:val="22"/>
        </w:rPr>
        <w:t xml:space="preserve"> (can be broken down by gender, province, age group)?</w:t>
      </w:r>
    </w:p>
    <w:p>
      <w:pPr>
        <w:spacing w:after="120" w:line="276" w:lineRule="auto"/>
      </w:pPr>
      <w:r>
        <w:rPr>
          <w:rFonts w:ascii="Inter" w:hAnsi="Inter" w:cs="Inter"/>
          <w:b w:val="0"/>
          <w:i w:val="0"/>
          <w:color w:val="2D2D2D"/>
          <w:sz w:val="22"/>
        </w:rPr>
        <w:t>Every indicator should meet all seven criteria. If an indicator fails on attributability, it may still be worth tracking for context --- but it should not be your primary performance indicator.</w:t>
      </w:r>
    </w:p>
    <w:p>
      <w:pPr>
        <w:pStyle w:val="Heading3"/>
      </w:pPr>
      <w:r>
        <w:rPr>
          <w:rFonts w:ascii="Inter" w:hAnsi="Inter" w:cs="Inter"/>
          <w:b/>
          <w:i w:val="0"/>
          <w:color w:val="2C5F7C"/>
          <w:sz w:val="26"/>
        </w:rPr>
        <w:t>Step 3: Define Each Indicator Fully</w:t>
      </w:r>
    </w:p>
    <w:p>
      <w:pPr>
        <w:spacing w:after="120" w:line="276" w:lineRule="auto"/>
      </w:pPr>
      <w:r>
        <w:rPr>
          <w:rFonts w:ascii="Inter" w:hAnsi="Inter" w:cs="Inter"/>
          <w:b w:val="0"/>
          <w:i w:val="0"/>
          <w:color w:val="2D2D2D"/>
          <w:sz w:val="22"/>
        </w:rPr>
        <w:t>For each indicator, complete every attribute in the definition table. Do not leave any column blank. If baseline data is not yet available, write "To be established by [date]" and include baseline data collection as a Year 1 activity. Without a baseline, you cannot measure change --- establish baselines for all indicators before or at the start of implementation.</w:t>
      </w:r>
    </w:p>
    <w:p>
      <w:pPr>
        <w:pStyle w:val="Heading3"/>
      </w:pPr>
      <w:r>
        <w:rPr>
          <w:rFonts w:ascii="Inter" w:hAnsi="Inter" w:cs="Inter"/>
          <w:b/>
          <w:i w:val="0"/>
          <w:color w:val="2C5F7C"/>
          <w:sz w:val="26"/>
        </w:rPr>
        <w:t>Step 4: Compile the Indicator Registry</w:t>
      </w:r>
    </w:p>
    <w:p>
      <w:pPr>
        <w:spacing w:after="120" w:line="276" w:lineRule="auto"/>
      </w:pPr>
      <w:r>
        <w:rPr>
          <w:rFonts w:ascii="Inter" w:hAnsi="Inter" w:cs="Inter"/>
          <w:b w:val="0"/>
          <w:i w:val="0"/>
          <w:color w:val="2D2D2D"/>
          <w:sz w:val="22"/>
        </w:rPr>
        <w:t>Compile all indicators into the Indicator Registry (Template 2 in Section 11.7). Assign each a unique ID code (IMP-01, OUT-01, OTP-01, etc.) for consistent reference across reports and discussions.</w:t>
      </w:r>
    </w:p>
    <w:p>
      <w:pPr>
        <w:pStyle w:val="Heading3"/>
      </w:pPr>
      <w:r>
        <w:rPr>
          <w:rFonts w:ascii="Inter" w:hAnsi="Inter" w:cs="Inter"/>
          <w:b/>
          <w:i w:val="0"/>
          <w:color w:val="2C5F7C"/>
          <w:sz w:val="26"/>
        </w:rPr>
        <w:t>Step 5: Design the Data Collection Plan</w:t>
      </w:r>
    </w:p>
    <w:p>
      <w:pPr>
        <w:spacing w:after="120" w:line="276" w:lineRule="auto"/>
      </w:pPr>
      <w:r>
        <w:rPr>
          <w:rFonts w:ascii="Inter" w:hAnsi="Inter" w:cs="Inter"/>
          <w:b w:val="0"/>
          <w:i w:val="0"/>
          <w:color w:val="2D2D2D"/>
          <w:sz w:val="22"/>
        </w:rPr>
        <w:t xml:space="preserve">For each indicator, specify: </w:t>
      </w:r>
      <w:r>
        <w:rPr>
          <w:rFonts w:ascii="Inter" w:hAnsi="Inter" w:cs="Inter"/>
          <w:b/>
          <w:i w:val="0"/>
          <w:color w:val="2D2D2D"/>
          <w:sz w:val="22"/>
        </w:rPr>
        <w:t>Who</w:t>
      </w:r>
      <w:r>
        <w:rPr>
          <w:rFonts w:ascii="Inter" w:hAnsi="Inter" w:cs="Inter"/>
          <w:b w:val="0"/>
          <w:i w:val="0"/>
          <w:color w:val="2D2D2D"/>
          <w:sz w:val="22"/>
        </w:rPr>
        <w:t xml:space="preserve"> collects the data (name the responsible officer)? </w:t>
      </w:r>
      <w:r>
        <w:rPr>
          <w:rFonts w:ascii="Inter" w:hAnsi="Inter" w:cs="Inter"/>
          <w:b/>
          <w:i w:val="0"/>
          <w:color w:val="2D2D2D"/>
          <w:sz w:val="22"/>
        </w:rPr>
        <w:t>When</w:t>
      </w:r>
      <w:r>
        <w:rPr>
          <w:rFonts w:ascii="Inter" w:hAnsi="Inter" w:cs="Inter"/>
          <w:b w:val="0"/>
          <w:i w:val="0"/>
          <w:color w:val="2D2D2D"/>
          <w:sz w:val="22"/>
        </w:rPr>
        <w:t xml:space="preserve"> (frequency and exact deadlines)? </w:t>
      </w:r>
      <w:r>
        <w:rPr>
          <w:rFonts w:ascii="Inter" w:hAnsi="Inter" w:cs="Inter"/>
          <w:b/>
          <w:i w:val="0"/>
          <w:color w:val="2D2D2D"/>
          <w:sz w:val="22"/>
        </w:rPr>
        <w:t>How</w:t>
      </w:r>
      <w:r>
        <w:rPr>
          <w:rFonts w:ascii="Inter" w:hAnsi="Inter" w:cs="Inter"/>
          <w:b w:val="0"/>
          <w:i w:val="0"/>
          <w:color w:val="2D2D2D"/>
          <w:sz w:val="22"/>
        </w:rPr>
        <w:t xml:space="preserve"> (method --- administrative records, field surveys, satellite imagery, database extraction)? </w:t>
      </w:r>
      <w:r>
        <w:rPr>
          <w:rFonts w:ascii="Inter" w:hAnsi="Inter" w:cs="Inter"/>
          <w:b/>
          <w:i w:val="0"/>
          <w:color w:val="2D2D2D"/>
          <w:sz w:val="22"/>
        </w:rPr>
        <w:t>What tools</w:t>
      </w:r>
      <w:r>
        <w:rPr>
          <w:rFonts w:ascii="Inter" w:hAnsi="Inter" w:cs="Inter"/>
          <w:b w:val="0"/>
          <w:i w:val="0"/>
          <w:color w:val="2D2D2D"/>
          <w:sz w:val="22"/>
        </w:rPr>
        <w:t xml:space="preserve"> (standardized forms, checklists, mobile apps)? </w:t>
      </w:r>
      <w:r>
        <w:rPr>
          <w:rFonts w:ascii="Inter" w:hAnsi="Inter" w:cs="Inter"/>
          <w:b/>
          <w:i w:val="0"/>
          <w:color w:val="2D2D2D"/>
          <w:sz w:val="22"/>
        </w:rPr>
        <w:t>What quality assurance</w:t>
      </w:r>
      <w:r>
        <w:rPr>
          <w:rFonts w:ascii="Inter" w:hAnsi="Inter" w:cs="Inter"/>
          <w:b w:val="0"/>
          <w:i w:val="0"/>
          <w:color w:val="2D2D2D"/>
          <w:sz w:val="22"/>
        </w:rPr>
        <w:t xml:space="preserve"> applies (verification procedures, spot checks, supervisory review)?</w:t>
      </w:r>
    </w:p>
    <w:p>
      <w:pPr>
        <w:spacing w:after="120" w:line="276" w:lineRule="auto"/>
      </w:pPr>
      <w:r>
        <w:rPr>
          <w:rFonts w:ascii="Inter" w:hAnsi="Inter" w:cs="Inter"/>
          <w:b w:val="0"/>
          <w:i w:val="0"/>
          <w:color w:val="2D2D2D"/>
          <w:sz w:val="22"/>
        </w:rPr>
        <w:t>A plan that says "M&amp;E Officer will collect data quarterly" is not specific enough. A plan that says "the Planning and M&amp;E Focal Person will extract community profiling completion data from the OBC Needs Database on the 5th working day after each quarter-end, cross-check against field profiling reports from the Davao and Sultan Kudarat offices, and submit the validated figure to the Executive Director by the 10th working day" is actionable.</w:t>
      </w:r>
    </w:p>
    <w:p>
      <w:pPr>
        <w:pStyle w:val="Heading3"/>
      </w:pPr>
      <w:r>
        <w:rPr>
          <w:rFonts w:ascii="Inter" w:hAnsi="Inter" w:cs="Inter"/>
          <w:b/>
          <w:i w:val="0"/>
          <w:color w:val="2C5F7C"/>
          <w:sz w:val="26"/>
        </w:rPr>
        <w:t>Step 6: Define the Reporting Schedule</w:t>
      </w:r>
    </w:p>
    <w:p>
      <w:pPr>
        <w:spacing w:after="120" w:line="276" w:lineRule="auto"/>
      </w:pPr>
      <w:r>
        <w:rPr>
          <w:rFonts w:ascii="Inter" w:hAnsi="Inter" w:cs="Inter"/>
          <w:b w:val="0"/>
          <w:i w:val="0"/>
          <w:color w:val="2D2D2D"/>
          <w:sz w:val="22"/>
        </w:rPr>
        <w:t>Establish a reporting calendar with specific due dates: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Report</w:t>
            </w:r>
          </w:p>
        </w:tc>
        <w:tc>
          <w:tcPr>
            <w:tcW w:type="dxa" w:w="1872"/>
            <w:shd w:fill="1B365D"/>
          </w:tcPr>
          <w:p>
            <w:r/>
            <w:r>
              <w:rPr>
                <w:rFonts w:ascii="Inter" w:hAnsi="Inter" w:cs="Inter"/>
                <w:b/>
                <w:i w:val="0"/>
                <w:color w:val="FFFFFF"/>
                <w:sz w:val="19"/>
              </w:rPr>
              <w:t>Frequency</w:t>
            </w:r>
          </w:p>
        </w:tc>
        <w:tc>
          <w:tcPr>
            <w:tcW w:type="dxa" w:w="1872"/>
            <w:shd w:fill="1B365D"/>
          </w:tcPr>
          <w:p>
            <w:r/>
            <w:r>
              <w:rPr>
                <w:rFonts w:ascii="Inter" w:hAnsi="Inter" w:cs="Inter"/>
                <w:b/>
                <w:i w:val="0"/>
                <w:color w:val="FFFFFF"/>
                <w:sz w:val="19"/>
              </w:rPr>
              <w:t>Draft Due</w:t>
            </w:r>
          </w:p>
        </w:tc>
        <w:tc>
          <w:tcPr>
            <w:tcW w:type="dxa" w:w="1872"/>
            <w:shd w:fill="1B365D"/>
          </w:tcPr>
          <w:p>
            <w:r/>
            <w:r>
              <w:rPr>
                <w:rFonts w:ascii="Inter" w:hAnsi="Inter" w:cs="Inter"/>
                <w:b/>
                <w:i w:val="0"/>
                <w:color w:val="FFFFFF"/>
                <w:sz w:val="19"/>
              </w:rPr>
              <w:t>Final Due</w:t>
            </w:r>
          </w:p>
        </w:tc>
        <w:tc>
          <w:tcPr>
            <w:tcW w:type="dxa" w:w="1872"/>
            <w:shd w:fill="1B365D"/>
          </w:tcPr>
          <w:p>
            <w:r/>
            <w:r>
              <w:rPr>
                <w:rFonts w:ascii="Inter" w:hAnsi="Inter" w:cs="Inter"/>
                <w:b/>
                <w:i w:val="0"/>
                <w:color w:val="FFFFFF"/>
                <w:sz w:val="19"/>
              </w:rPr>
              <w:t>Recipients</w:t>
            </w:r>
          </w:p>
        </w:tc>
      </w:tr>
      <w:tr>
        <w:tc>
          <w:tcPr>
            <w:tcW w:type="dxa" w:w="1872"/>
          </w:tcPr>
          <w:p>
            <w:r/>
            <w:r>
              <w:rPr>
                <w:rFonts w:ascii="Inter" w:hAnsi="Inter" w:cs="Inter"/>
                <w:b w:val="0"/>
                <w:i w:val="0"/>
                <w:color w:val="2D2D2D"/>
                <w:sz w:val="19"/>
              </w:rPr>
              <w:t>Monthly Progress</w:t>
            </w:r>
          </w:p>
        </w:tc>
        <w:tc>
          <w:tcPr>
            <w:tcW w:type="dxa" w:w="1872"/>
          </w:tcPr>
          <w:p>
            <w:r/>
            <w:r>
              <w:rPr>
                <w:rFonts w:ascii="Inter" w:hAnsi="Inter" w:cs="Inter"/>
                <w:b w:val="0"/>
                <w:i w:val="0"/>
                <w:color w:val="2D2D2D"/>
                <w:sz w:val="19"/>
              </w:rPr>
              <w:t>Monthly</w:t>
            </w:r>
          </w:p>
        </w:tc>
        <w:tc>
          <w:tcPr>
            <w:tcW w:type="dxa" w:w="1872"/>
          </w:tcPr>
          <w:p>
            <w:r/>
            <w:r>
              <w:rPr>
                <w:rFonts w:ascii="Inter" w:hAnsi="Inter" w:cs="Inter"/>
                <w:b w:val="0"/>
                <w:i w:val="0"/>
                <w:color w:val="2D2D2D"/>
                <w:sz w:val="19"/>
              </w:rPr>
              <w:t>3rd working day</w:t>
            </w:r>
          </w:p>
        </w:tc>
        <w:tc>
          <w:tcPr>
            <w:tcW w:type="dxa" w:w="1872"/>
          </w:tcPr>
          <w:p>
            <w:r/>
            <w:r>
              <w:rPr>
                <w:rFonts w:ascii="Inter" w:hAnsi="Inter" w:cs="Inter"/>
                <w:b w:val="0"/>
                <w:i w:val="0"/>
                <w:color w:val="2D2D2D"/>
                <w:sz w:val="19"/>
              </w:rPr>
              <w:t>5th working day</w:t>
            </w:r>
          </w:p>
        </w:tc>
        <w:tc>
          <w:tcPr>
            <w:tcW w:type="dxa" w:w="1872"/>
          </w:tcPr>
          <w:p>
            <w:r/>
            <w:r>
              <w:rPr>
                <w:rFonts w:ascii="Inter" w:hAnsi="Inter" w:cs="Inter"/>
                <w:b w:val="0"/>
                <w:i w:val="0"/>
                <w:color w:val="2D2D2D"/>
                <w:sz w:val="19"/>
              </w:rPr>
              <w:t>Division Chief, Head of Office</w:t>
            </w:r>
          </w:p>
        </w:tc>
      </w:tr>
      <w:tr>
        <w:tc>
          <w:tcPr>
            <w:tcW w:type="dxa" w:w="1872"/>
            <w:shd w:fill="F0F3F6"/>
          </w:tcPr>
          <w:p>
            <w:r/>
            <w:r>
              <w:rPr>
                <w:rFonts w:ascii="Inter" w:hAnsi="Inter" w:cs="Inter"/>
                <w:b w:val="0"/>
                <w:i w:val="0"/>
                <w:color w:val="2D2D2D"/>
                <w:sz w:val="19"/>
              </w:rPr>
              <w:t>Quarterly Performance</w:t>
            </w:r>
          </w:p>
        </w:tc>
        <w:tc>
          <w:tcPr>
            <w:tcW w:type="dxa" w:w="1872"/>
            <w:shd w:fill="F0F3F6"/>
          </w:tcPr>
          <w:p>
            <w:r/>
            <w:r>
              <w:rPr>
                <w:rFonts w:ascii="Inter" w:hAnsi="Inter" w:cs="Inter"/>
                <w:b w:val="0"/>
                <w:i w:val="0"/>
                <w:color w:val="2D2D2D"/>
                <w:sz w:val="19"/>
              </w:rPr>
              <w:t>Quarterly</w:t>
            </w:r>
          </w:p>
        </w:tc>
        <w:tc>
          <w:tcPr>
            <w:tcW w:type="dxa" w:w="1872"/>
            <w:shd w:fill="F0F3F6"/>
          </w:tcPr>
          <w:p>
            <w:r/>
            <w:r>
              <w:rPr>
                <w:rFonts w:ascii="Inter" w:hAnsi="Inter" w:cs="Inter"/>
                <w:b w:val="0"/>
                <w:i w:val="0"/>
                <w:color w:val="2D2D2D"/>
                <w:sz w:val="19"/>
              </w:rPr>
              <w:t>10th working day</w:t>
            </w:r>
          </w:p>
        </w:tc>
        <w:tc>
          <w:tcPr>
            <w:tcW w:type="dxa" w:w="1872"/>
            <w:shd w:fill="F0F3F6"/>
          </w:tcPr>
          <w:p>
            <w:r/>
            <w:r>
              <w:rPr>
                <w:rFonts w:ascii="Inter" w:hAnsi="Inter" w:cs="Inter"/>
                <w:b w:val="0"/>
                <w:i w:val="0"/>
                <w:color w:val="2D2D2D"/>
                <w:sz w:val="19"/>
              </w:rPr>
              <w:t>15th working day</w:t>
            </w:r>
          </w:p>
        </w:tc>
        <w:tc>
          <w:tcPr>
            <w:tcW w:type="dxa" w:w="1872"/>
            <w:shd w:fill="F0F3F6"/>
          </w:tcPr>
          <w:p>
            <w:r/>
            <w:r>
              <w:rPr>
                <w:rFonts w:ascii="Inter" w:hAnsi="Inter" w:cs="Inter"/>
                <w:b w:val="0"/>
                <w:i w:val="0"/>
                <w:color w:val="2D2D2D"/>
                <w:sz w:val="19"/>
              </w:rPr>
              <w:t>Head of Office, MFBM, BPDA</w:t>
            </w:r>
          </w:p>
        </w:tc>
      </w:tr>
      <w:tr>
        <w:tc>
          <w:tcPr>
            <w:tcW w:type="dxa" w:w="1872"/>
          </w:tcPr>
          <w:p>
            <w:r/>
            <w:r>
              <w:rPr>
                <w:rFonts w:ascii="Inter" w:hAnsi="Inter" w:cs="Inter"/>
                <w:b w:val="0"/>
                <w:i w:val="0"/>
                <w:color w:val="2D2D2D"/>
                <w:sz w:val="19"/>
              </w:rPr>
              <w:t>Annual Performance</w:t>
            </w:r>
          </w:p>
        </w:tc>
        <w:tc>
          <w:tcPr>
            <w:tcW w:type="dxa" w:w="1872"/>
          </w:tcPr>
          <w:p>
            <w:r/>
            <w:r>
              <w:rPr>
                <w:rFonts w:ascii="Inter" w:hAnsi="Inter" w:cs="Inter"/>
                <w:b w:val="0"/>
                <w:i w:val="0"/>
                <w:color w:val="2D2D2D"/>
                <w:sz w:val="19"/>
              </w:rPr>
              <w:t>Annually</w:t>
            </w:r>
          </w:p>
        </w:tc>
        <w:tc>
          <w:tcPr>
            <w:tcW w:type="dxa" w:w="1872"/>
          </w:tcPr>
          <w:p>
            <w:r/>
            <w:r>
              <w:rPr>
                <w:rFonts w:ascii="Inter" w:hAnsi="Inter" w:cs="Inter"/>
                <w:b w:val="0"/>
                <w:i w:val="0"/>
                <w:color w:val="2D2D2D"/>
                <w:sz w:val="19"/>
              </w:rPr>
              <w:t>January 15</w:t>
            </w:r>
          </w:p>
        </w:tc>
        <w:tc>
          <w:tcPr>
            <w:tcW w:type="dxa" w:w="1872"/>
          </w:tcPr>
          <w:p>
            <w:r/>
            <w:r>
              <w:rPr>
                <w:rFonts w:ascii="Inter" w:hAnsi="Inter" w:cs="Inter"/>
                <w:b w:val="0"/>
                <w:i w:val="0"/>
                <w:color w:val="2D2D2D"/>
                <w:sz w:val="19"/>
              </w:rPr>
              <w:t>January 31</w:t>
            </w:r>
          </w:p>
        </w:tc>
        <w:tc>
          <w:tcPr>
            <w:tcW w:type="dxa" w:w="1872"/>
          </w:tcPr>
          <w:p>
            <w:r/>
            <w:r>
              <w:rPr>
                <w:rFonts w:ascii="Inter" w:hAnsi="Inter" w:cs="Inter"/>
                <w:b w:val="0"/>
                <w:i w:val="0"/>
                <w:color w:val="2D2D2D"/>
                <w:sz w:val="19"/>
              </w:rPr>
              <w:t>Head of Office, BPDA, MFBM, OCM</w:t>
            </w:r>
          </w:p>
        </w:tc>
      </w:tr>
    </w:tbl>
    <w:p/>
    <w:p>
      <w:pPr>
        <w:spacing w:after="120" w:line="276" w:lineRule="auto"/>
      </w:pPr>
      <w:r>
        <w:rPr>
          <w:rFonts w:ascii="Inter" w:hAnsi="Inter" w:cs="Inter"/>
          <w:b w:val="0"/>
          <w:i w:val="0"/>
          <w:color w:val="2D2D2D"/>
          <w:sz w:val="22"/>
        </w:rPr>
        <w:t>Communicate the schedule to all responsible officers at the start of the planning period. Late reporting is the most common M&amp;E failure.</w:t>
      </w:r>
    </w:p>
    <w:p>
      <w:pPr>
        <w:pStyle w:val="Heading3"/>
      </w:pPr>
      <w:r>
        <w:rPr>
          <w:rFonts w:ascii="Inter" w:hAnsi="Inter" w:cs="Inter"/>
          <w:b/>
          <w:i w:val="0"/>
          <w:color w:val="2C5F7C"/>
          <w:sz w:val="26"/>
        </w:rPr>
        <w:t>Step 7: Plan Evaluations</w:t>
      </w:r>
    </w:p>
    <w:p>
      <w:pPr>
        <w:spacing w:after="120" w:line="276" w:lineRule="auto"/>
      </w:pPr>
      <w:r>
        <w:rPr>
          <w:rFonts w:ascii="Inter" w:hAnsi="Inter" w:cs="Inter"/>
          <w:b w:val="0"/>
          <w:i w:val="0"/>
          <w:color w:val="2D2D2D"/>
          <w:sz w:val="22"/>
        </w:rPr>
        <w:t>Schedule your evaluations at the time you design your M&amp;E framework, not when evaluation time arrives.</w:t>
      </w:r>
    </w:p>
    <w:p>
      <w:pPr>
        <w:spacing w:after="120" w:line="276" w:lineRule="auto"/>
      </w:pPr>
      <w:r>
        <w:rPr>
          <w:rFonts w:ascii="Inter" w:hAnsi="Inter" w:cs="Inter"/>
          <w:b w:val="0"/>
          <w:i w:val="0"/>
          <w:color w:val="2D2D2D"/>
          <w:sz w:val="22"/>
        </w:rPr>
      </w:r>
      <w:r>
        <w:rPr>
          <w:rFonts w:ascii="Inter" w:hAnsi="Inter" w:cs="Inter"/>
          <w:b/>
          <w:i w:val="0"/>
          <w:color w:val="2D2D2D"/>
          <w:sz w:val="22"/>
        </w:rPr>
        <w:t>Mid-term review:</w:t>
      </w:r>
      <w:r>
        <w:rPr>
          <w:rFonts w:ascii="Inter" w:hAnsi="Inter" w:cs="Inter"/>
          <w:b w:val="0"/>
          <w:i w:val="0"/>
          <w:color w:val="2D2D2D"/>
          <w:sz w:val="22"/>
        </w:rPr>
        <w:t xml:space="preserve"> Schedule for the midpoint of your planning period (18 months for a three-year plan, 30 months for a five-year plan). Assess whether ToC assumptions are holding and whether outcomes are materializing. An external evaluator is recommended for objectivity --- budget for it.</w:t>
      </w:r>
    </w:p>
    <w:p>
      <w:pPr>
        <w:spacing w:after="120" w:line="276" w:lineRule="auto"/>
      </w:pPr>
      <w:r>
        <w:rPr>
          <w:rFonts w:ascii="Inter" w:hAnsi="Inter" w:cs="Inter"/>
          <w:b w:val="0"/>
          <w:i w:val="0"/>
          <w:color w:val="2D2D2D"/>
          <w:sz w:val="22"/>
        </w:rPr>
      </w:r>
      <w:r>
        <w:rPr>
          <w:rFonts w:ascii="Inter" w:hAnsi="Inter" w:cs="Inter"/>
          <w:b/>
          <w:i w:val="0"/>
          <w:color w:val="2D2D2D"/>
          <w:sz w:val="22"/>
        </w:rPr>
        <w:t>End-of-plan evaluation:</w:t>
      </w:r>
      <w:r>
        <w:rPr>
          <w:rFonts w:ascii="Inter" w:hAnsi="Inter" w:cs="Inter"/>
          <w:b w:val="0"/>
          <w:i w:val="0"/>
          <w:color w:val="2D2D2D"/>
          <w:sz w:val="22"/>
        </w:rPr>
        <w:t xml:space="preserve"> Schedule for the final quarter. Assess effectiveness, efficiency, relevance, sustainability, and impact. Findings inform the next strategic plan. An external evaluation is strongly recommended --- budget for it in your resource plan.</w:t>
      </w:r>
    </w:p>
    <w:p>
      <w:pPr>
        <w:pStyle w:val="Heading3"/>
      </w:pPr>
      <w:r>
        <w:rPr>
          <w:rFonts w:ascii="Inter" w:hAnsi="Inter" w:cs="Inter"/>
          <w:b/>
          <w:i w:val="0"/>
          <w:color w:val="2C5F7C"/>
          <w:sz w:val="26"/>
        </w:rPr>
        <w:t>Step 8: Establish Adaptive Management Triggers</w:t>
      </w:r>
    </w:p>
    <w:p>
      <w:pPr>
        <w:spacing w:after="120" w:line="276" w:lineRule="auto"/>
      </w:pPr>
      <w:r>
        <w:rPr>
          <w:rFonts w:ascii="Inter" w:hAnsi="Inter" w:cs="Inter"/>
          <w:b w:val="0"/>
          <w:i w:val="0"/>
          <w:color w:val="2D2D2D"/>
          <w:sz w:val="22"/>
        </w:rPr>
        <w:t>Define, in writing, the conditions under which M&amp;E data triggers a management response. At minimum:</w:t>
      </w:r>
    </w:p>
    <w:p>
      <w:pPr>
        <w:pStyle w:val="ListBullet"/>
      </w:pPr>
      <w:r>
        <w:rPr>
          <w:rFonts w:ascii="Inter" w:hAnsi="Inter" w:cs="Inter"/>
          <w:b w:val="0"/>
          <w:i w:val="0"/>
          <w:color w:val="2D2D2D"/>
          <w:sz w:val="22"/>
        </w:rPr>
      </w:r>
      <w:r>
        <w:rPr>
          <w:rFonts w:ascii="Inter" w:hAnsi="Inter" w:cs="Inter"/>
          <w:b/>
          <w:i w:val="0"/>
          <w:color w:val="2D2D2D"/>
          <w:sz w:val="22"/>
        </w:rPr>
        <w:t>Output underperformance:</w:t>
      </w:r>
      <w:r>
        <w:rPr>
          <w:rFonts w:ascii="Inter" w:hAnsi="Inter" w:cs="Inter"/>
          <w:b w:val="0"/>
          <w:i w:val="0"/>
          <w:color w:val="2D2D2D"/>
          <w:sz w:val="22"/>
        </w:rPr>
        <w:t xml:space="preserve"> PPA achieves less than 50% of quarterly target for two consecutive quarters --- division chief convenes review within 10 working days.</w:t>
      </w:r>
    </w:p>
    <w:p>
      <w:pPr>
        <w:pStyle w:val="ListBullet"/>
      </w:pPr>
      <w:r>
        <w:rPr>
          <w:rFonts w:ascii="Inter" w:hAnsi="Inter" w:cs="Inter"/>
          <w:b w:val="0"/>
          <w:i w:val="0"/>
          <w:color w:val="2D2D2D"/>
          <w:sz w:val="22"/>
        </w:rPr>
      </w:r>
      <w:r>
        <w:rPr>
          <w:rFonts w:ascii="Inter" w:hAnsi="Inter" w:cs="Inter"/>
          <w:b/>
          <w:i w:val="0"/>
          <w:color w:val="2D2D2D"/>
          <w:sz w:val="22"/>
        </w:rPr>
        <w:t>Outcome stagnation:</w:t>
      </w:r>
      <w:r>
        <w:rPr>
          <w:rFonts w:ascii="Inter" w:hAnsi="Inter" w:cs="Inter"/>
          <w:b w:val="0"/>
          <w:i w:val="0"/>
          <w:color w:val="2D2D2D"/>
          <w:sz w:val="22"/>
        </w:rPr>
        <w:t xml:space="preserve"> Outcome indicator shows no improvement after four quarters --- root-cause analysis presented to executive committee.</w:t>
      </w:r>
    </w:p>
    <w:p>
      <w:pPr>
        <w:pStyle w:val="ListBullet"/>
      </w:pPr>
      <w:r>
        <w:rPr>
          <w:rFonts w:ascii="Inter" w:hAnsi="Inter" w:cs="Inter"/>
          <w:b w:val="0"/>
          <w:i w:val="0"/>
          <w:color w:val="2D2D2D"/>
          <w:sz w:val="22"/>
        </w:rPr>
      </w:r>
      <w:r>
        <w:rPr>
          <w:rFonts w:ascii="Inter" w:hAnsi="Inter" w:cs="Inter"/>
          <w:b/>
          <w:i w:val="0"/>
          <w:color w:val="2D2D2D"/>
          <w:sz w:val="22"/>
        </w:rPr>
        <w:t>Critical variance:</w:t>
      </w:r>
      <w:r>
        <w:rPr>
          <w:rFonts w:ascii="Inter" w:hAnsi="Inter" w:cs="Inter"/>
          <w:b w:val="0"/>
          <w:i w:val="0"/>
          <w:color w:val="2D2D2D"/>
          <w:sz w:val="22"/>
        </w:rPr>
        <w:t xml:space="preserve"> Any indicator beyond 50% deviation --- escalated to Head of Office within five working days.</w:t>
      </w:r>
    </w:p>
    <w:p>
      <w:pPr>
        <w:pStyle w:val="ListBullet"/>
      </w:pPr>
      <w:r>
        <w:rPr>
          <w:rFonts w:ascii="Inter" w:hAnsi="Inter" w:cs="Inter"/>
          <w:b w:val="0"/>
          <w:i w:val="0"/>
          <w:color w:val="2D2D2D"/>
          <w:sz w:val="22"/>
        </w:rPr>
      </w:r>
      <w:r>
        <w:rPr>
          <w:rFonts w:ascii="Inter" w:hAnsi="Inter" w:cs="Inter"/>
          <w:b/>
          <w:i w:val="0"/>
          <w:color w:val="2D2D2D"/>
          <w:sz w:val="22"/>
        </w:rPr>
        <w:t>Assumption failure:</w:t>
      </w:r>
      <w:r>
        <w:rPr>
          <w:rFonts w:ascii="Inter" w:hAnsi="Inter" w:cs="Inter"/>
          <w:b w:val="0"/>
          <w:i w:val="0"/>
          <w:color w:val="2D2D2D"/>
          <w:sz w:val="22"/>
        </w:rPr>
        <w:t xml:space="preserve"> Mid-term evaluation finds a key ToC assumption is not holding --- strategic plan revised before next annual cycle.</w:t>
      </w:r>
    </w:p>
    <w:p>
      <w:pPr>
        <w:spacing w:after="120" w:line="276" w:lineRule="auto"/>
      </w:pPr>
      <w:r>
        <w:rPr>
          <w:rFonts w:ascii="Inter" w:hAnsi="Inter" w:cs="Inter"/>
          <w:b w:val="0"/>
          <w:i w:val="0"/>
          <w:color w:val="2D2D2D"/>
          <w:sz w:val="22"/>
        </w:rPr>
        <w:t>Triggers remove discretion from the response. The question becomes "what do we do?" --- because the trigger has already answered "should we do something?"</w:t>
      </w:r>
    </w:p>
    <w:p>
      <w:pPr>
        <w:pStyle w:val="Heading3"/>
      </w:pPr>
      <w:r>
        <w:rPr>
          <w:rFonts w:ascii="Inter" w:hAnsi="Inter" w:cs="Inter"/>
          <w:b/>
          <w:i w:val="0"/>
          <w:color w:val="2C5F7C"/>
          <w:sz w:val="26"/>
        </w:rPr>
        <w:t>Step 9: Budget for M&amp;E Activities</w:t>
      </w:r>
    </w:p>
    <w:p>
      <w:pPr>
        <w:spacing w:after="120" w:line="276" w:lineRule="auto"/>
      </w:pPr>
      <w:r>
        <w:rPr>
          <w:rFonts w:ascii="Inter" w:hAnsi="Inter" w:cs="Inter"/>
          <w:b w:val="0"/>
          <w:i w:val="0"/>
          <w:color w:val="2D2D2D"/>
          <w:sz w:val="22"/>
        </w:rPr>
        <w:t>M&amp;E costs money. Data collection requires travel, field surveys, data processing, and sometimes equipment. Evaluations require evaluators (internal or external), survey instruments, and analysis. Reporting requires staff time, printing, and dissemination. These costs must be included in your resource plan (Chapter 9) and reflected in your annual financial plan (Chapter 10).</w:t>
      </w:r>
    </w:p>
    <w:p>
      <w:pPr>
        <w:spacing w:after="120" w:line="276" w:lineRule="auto"/>
      </w:pPr>
      <w:r>
        <w:rPr>
          <w:rFonts w:ascii="Inter" w:hAnsi="Inter" w:cs="Inter"/>
          <w:b w:val="0"/>
          <w:i w:val="0"/>
          <w:color w:val="2D2D2D"/>
          <w:sz w:val="22"/>
        </w:rPr>
        <w:t>Common M&amp;E budget items include: data collection travel, baseline and outcome surveys, external evaluation consultancy fees, data management tools, report printing and dissemination, and training for M&amp;E staff. A rule of thumb: allocate 3-7% of total program budget to M&amp;E.[^5] Budget for it explicitly --- do not assume it will be absorbed into general operating expenses.</w:t>
      </w:r>
    </w:p>
    <w:p>
      <w:pPr>
        <w:pStyle w:val="Heading3"/>
      </w:pPr>
      <w:r>
        <w:rPr>
          <w:rFonts w:ascii="Inter" w:hAnsi="Inter" w:cs="Inter"/>
          <w:b/>
          <w:i w:val="0"/>
          <w:color w:val="2C5F7C"/>
          <w:sz w:val="26"/>
        </w:rPr>
        <w:t>Step 10: Complete the M&amp;E Framework and Indicator Registry</w:t>
      </w:r>
    </w:p>
    <w:p>
      <w:pPr>
        <w:spacing w:after="120" w:line="276" w:lineRule="auto"/>
      </w:pPr>
      <w:r>
        <w:rPr>
          <w:rFonts w:ascii="Inter" w:hAnsi="Inter" w:cs="Inter"/>
          <w:b w:val="0"/>
          <w:i w:val="0"/>
          <w:color w:val="2D2D2D"/>
          <w:sz w:val="22"/>
        </w:rPr>
        <w:t>Assemble all components: the M&amp;E Framework (Template 1), the Indicator Registry (Template 2), the reporting schedule, evaluation plan, adaptive management triggers, and M&amp;E budget. These constitute your complete M&amp;E system. Include them as an annex to your strategic plan.</w:t>
      </w:r>
    </w:p>
    <w:p>
      <w:pPr>
        <w:pStyle w:val="Heading2"/>
      </w:pPr>
      <w:r>
        <w:rPr>
          <w:rFonts w:ascii="Inter" w:hAnsi="Inter" w:cs="Inter"/>
          <w:b/>
          <w:i w:val="0"/>
          <w:color w:val="1B365D"/>
          <w:sz w:val="32"/>
        </w:rPr>
        <w:t>11.4 Worked Example: Office for Other Bangsamoro Communities (OOBC)</w:t>
      </w:r>
    </w:p>
    <w:p>
      <w:pPr>
        <w:spacing w:after="120" w:line="276" w:lineRule="auto"/>
      </w:pPr>
      <w:r>
        <w:rPr>
          <w:rFonts w:ascii="Inter" w:hAnsi="Inter" w:cs="Inter"/>
          <w:b w:val="0"/>
          <w:i w:val="0"/>
          <w:color w:val="2D2D2D"/>
          <w:sz w:val="22"/>
        </w:rPr>
        <w:t>Continuing the OOBC example, this section builds an M&amp;E framework from the ToC (Chapter 7) and PPAs (Chapter 8). Recall OOBC's results structure:</w:t>
      </w:r>
    </w:p>
    <w:p>
      <w:pPr>
        <w:pStyle w:val="ListBullet"/>
      </w:pPr>
      <w:r>
        <w:rPr>
          <w:rFonts w:ascii="Inter" w:hAnsi="Inter" w:cs="Inter"/>
          <w:b w:val="0"/>
          <w:i w:val="0"/>
          <w:color w:val="2D2D2D"/>
          <w:sz w:val="22"/>
        </w:rPr>
      </w:r>
      <w:r>
        <w:rPr>
          <w:rFonts w:ascii="Inter" w:hAnsi="Inter" w:cs="Inter"/>
          <w:b/>
          <w:i w:val="0"/>
          <w:color w:val="2D2D2D"/>
          <w:sz w:val="22"/>
        </w:rPr>
        <w:t>Impact:</w:t>
      </w:r>
      <w:r>
        <w:rPr>
          <w:rFonts w:ascii="Inter" w:hAnsi="Inter" w:cs="Inter"/>
          <w:b w:val="0"/>
          <w:i w:val="0"/>
          <w:color w:val="2D2D2D"/>
          <w:sz w:val="22"/>
        </w:rPr>
        <w:t xml:space="preserve"> All Bangsamoro communities outside BARMM's core territory have equitable, documented access to BARMM programs and services (BDP Goals 1, 3, 4).</w:t>
      </w:r>
    </w:p>
    <w:p>
      <w:pPr>
        <w:pStyle w:val="ListBullet"/>
      </w:pPr>
      <w:r>
        <w:rPr>
          <w:rFonts w:ascii="Inter" w:hAnsi="Inter" w:cs="Inter"/>
          <w:b w:val="0"/>
          <w:i w:val="0"/>
          <w:color w:val="2D2D2D"/>
          <w:sz w:val="22"/>
        </w:rPr>
      </w:r>
      <w:r>
        <w:rPr>
          <w:rFonts w:ascii="Inter" w:hAnsi="Inter" w:cs="Inter"/>
          <w:b/>
          <w:i w:val="0"/>
          <w:color w:val="2D2D2D"/>
          <w:sz w:val="22"/>
        </w:rPr>
        <w:t>Medium-Term Outcome 1:</w:t>
      </w:r>
      <w:r>
        <w:rPr>
          <w:rFonts w:ascii="Inter" w:hAnsi="Inter" w:cs="Inter"/>
          <w:b w:val="0"/>
          <w:i w:val="0"/>
          <w:color w:val="2D2D2D"/>
          <w:sz w:val="22"/>
        </w:rPr>
        <w:t xml:space="preserve"> Comprehensive OBC community database established and integrated into BARMM planning systems.</w:t>
      </w:r>
    </w:p>
    <w:p>
      <w:pPr>
        <w:pStyle w:val="ListBullet"/>
      </w:pPr>
      <w:r>
        <w:rPr>
          <w:rFonts w:ascii="Inter" w:hAnsi="Inter" w:cs="Inter"/>
          <w:b w:val="0"/>
          <w:i w:val="0"/>
          <w:color w:val="2D2D2D"/>
          <w:sz w:val="22"/>
        </w:rPr>
      </w:r>
      <w:r>
        <w:rPr>
          <w:rFonts w:ascii="Inter" w:hAnsi="Inter" w:cs="Inter"/>
          <w:b/>
          <w:i w:val="0"/>
          <w:color w:val="2D2D2D"/>
          <w:sz w:val="22"/>
        </w:rPr>
        <w:t>Medium-Term Outcome 2:</w:t>
      </w:r>
      <w:r>
        <w:rPr>
          <w:rFonts w:ascii="Inter" w:hAnsi="Inter" w:cs="Inter"/>
          <w:b w:val="0"/>
          <w:i w:val="0"/>
          <w:color w:val="2D2D2D"/>
          <w:sz w:val="22"/>
        </w:rPr>
        <w:t xml:space="preserve"> Formalized coordination mechanisms with LGUs and NGAs for OBC service delivery.</w:t>
      </w:r>
    </w:p>
    <w:p>
      <w:pPr>
        <w:pStyle w:val="ListBullet"/>
      </w:pPr>
      <w:r>
        <w:rPr>
          <w:rFonts w:ascii="Inter" w:hAnsi="Inter" w:cs="Inter"/>
          <w:b w:val="0"/>
          <w:i w:val="0"/>
          <w:color w:val="2D2D2D"/>
          <w:sz w:val="22"/>
        </w:rPr>
      </w:r>
      <w:r>
        <w:rPr>
          <w:rFonts w:ascii="Inter" w:hAnsi="Inter" w:cs="Inter"/>
          <w:b/>
          <w:i w:val="0"/>
          <w:color w:val="2D2D2D"/>
          <w:sz w:val="22"/>
        </w:rPr>
        <w:t>Medium-Term Outcome 3:</w:t>
      </w:r>
      <w:r>
        <w:rPr>
          <w:rFonts w:ascii="Inter" w:hAnsi="Inter" w:cs="Inter"/>
          <w:b w:val="0"/>
          <w:i w:val="0"/>
          <w:color w:val="2D2D2D"/>
          <w:sz w:val="22"/>
        </w:rPr>
        <w:t xml:space="preserve"> Increased percentage of OBC communities with documented access to BARMM services.</w:t>
      </w:r>
    </w:p>
    <w:p>
      <w:pPr>
        <w:pStyle w:val="ListBullet"/>
      </w:pPr>
      <w:r>
        <w:rPr>
          <w:rFonts w:ascii="Inter" w:hAnsi="Inter" w:cs="Inter"/>
          <w:b w:val="0"/>
          <w:i w:val="0"/>
          <w:color w:val="2D2D2D"/>
          <w:sz w:val="22"/>
        </w:rPr>
      </w:r>
      <w:r>
        <w:rPr>
          <w:rFonts w:ascii="Inter" w:hAnsi="Inter" w:cs="Inter"/>
          <w:b/>
          <w:i w:val="0"/>
          <w:color w:val="2D2D2D"/>
          <w:sz w:val="22"/>
        </w:rPr>
        <w:t>Key Outputs (MTO-1):</w:t>
      </w:r>
      <w:r>
        <w:rPr>
          <w:rFonts w:ascii="Inter" w:hAnsi="Inter" w:cs="Inter"/>
          <w:b w:val="0"/>
          <w:i w:val="0"/>
          <w:color w:val="2D2D2D"/>
          <w:sz w:val="22"/>
        </w:rPr>
        <w:t xml:space="preserve"> OBC Needs Database, PSRRS operational, community profiles completed across target provinces.</w:t>
      </w:r>
    </w:p>
    <w:p>
      <w:pPr>
        <w:pStyle w:val="Heading3"/>
      </w:pPr>
      <w:r>
        <w:rPr>
          <w:rFonts w:ascii="Inter" w:hAnsi="Inter" w:cs="Inter"/>
          <w:b/>
          <w:i w:val="0"/>
          <w:color w:val="2C5F7C"/>
          <w:sz w:val="26"/>
        </w:rPr>
        <w:t>Impact Indicator</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Attribute</w:t>
            </w:r>
          </w:p>
        </w:tc>
        <w:tc>
          <w:tcPr>
            <w:tcW w:type="dxa" w:w="4680"/>
            <w:shd w:fill="1B365D"/>
          </w:tcPr>
          <w:p>
            <w:r/>
            <w:r>
              <w:rPr>
                <w:rFonts w:ascii="Inter" w:hAnsi="Inter" w:cs="Inter"/>
                <w:b/>
                <w:i w:val="0"/>
                <w:color w:val="FFFFFF"/>
                <w:sz w:val="19"/>
              </w:rPr>
              <w:t>Value</w:t>
            </w:r>
          </w:p>
        </w:tc>
      </w:tr>
      <w:tr>
        <w:tc>
          <w:tcPr>
            <w:tcW w:type="dxa" w:w="4680"/>
          </w:tcPr>
          <w:p>
            <w:r/>
            <w:r>
              <w:rPr>
                <w:rFonts w:ascii="Inter" w:hAnsi="Inter" w:cs="Inter"/>
                <w:b w:val="0"/>
                <w:i w:val="0"/>
                <w:color w:val="2D2D2D"/>
                <w:sz w:val="19"/>
              </w:rPr>
              <w:t>**Indicator ID**</w:t>
            </w:r>
          </w:p>
        </w:tc>
        <w:tc>
          <w:tcPr>
            <w:tcW w:type="dxa" w:w="4680"/>
          </w:tcPr>
          <w:p>
            <w:r/>
            <w:r>
              <w:rPr>
                <w:rFonts w:ascii="Inter" w:hAnsi="Inter" w:cs="Inter"/>
                <w:b w:val="0"/>
                <w:i w:val="0"/>
                <w:color w:val="2D2D2D"/>
                <w:sz w:val="19"/>
              </w:rPr>
              <w:t>IMP-01</w:t>
            </w:r>
          </w:p>
        </w:tc>
      </w:tr>
      <w:tr>
        <w:tc>
          <w:tcPr>
            <w:tcW w:type="dxa" w:w="4680"/>
            <w:shd w:fill="F0F3F6"/>
          </w:tcPr>
          <w:p>
            <w:r/>
            <w:r>
              <w:rPr>
                <w:rFonts w:ascii="Inter" w:hAnsi="Inter" w:cs="Inter"/>
                <w:b w:val="0"/>
                <w:i w:val="0"/>
                <w:color w:val="2D2D2D"/>
                <w:sz w:val="19"/>
              </w:rPr>
              <w:t>**Indicator Name**</w:t>
            </w:r>
          </w:p>
        </w:tc>
        <w:tc>
          <w:tcPr>
            <w:tcW w:type="dxa" w:w="4680"/>
            <w:shd w:fill="F0F3F6"/>
          </w:tcPr>
          <w:p>
            <w:r/>
            <w:r>
              <w:rPr>
                <w:rFonts w:ascii="Inter" w:hAnsi="Inter" w:cs="Inter"/>
                <w:b w:val="0"/>
                <w:i w:val="0"/>
                <w:color w:val="2D2D2D"/>
                <w:sz w:val="19"/>
              </w:rPr>
              <w:t>Percentage of Bangsamoro communities outside BARMM with documented access to BARMM programs and services</w:t>
            </w:r>
          </w:p>
        </w:tc>
      </w:tr>
      <w:tr>
        <w:tc>
          <w:tcPr>
            <w:tcW w:type="dxa" w:w="4680"/>
          </w:tcPr>
          <w:p>
            <w:r/>
            <w:r>
              <w:rPr>
                <w:rFonts w:ascii="Inter" w:hAnsi="Inter" w:cs="Inter"/>
                <w:b w:val="0"/>
                <w:i w:val="0"/>
                <w:color w:val="2D2D2D"/>
                <w:sz w:val="19"/>
              </w:rPr>
              <w:t>**Definition**</w:t>
            </w:r>
          </w:p>
        </w:tc>
        <w:tc>
          <w:tcPr>
            <w:tcW w:type="dxa" w:w="4680"/>
          </w:tcPr>
          <w:p>
            <w:r/>
            <w:r>
              <w:rPr>
                <w:rFonts w:ascii="Inter" w:hAnsi="Inter" w:cs="Inter"/>
                <w:b w:val="0"/>
                <w:i w:val="0"/>
                <w:color w:val="2D2D2D"/>
                <w:sz w:val="19"/>
              </w:rPr>
              <w:t>Of all identified OBC communities in OOBC's registry, the percentage that have at least one formally documented instance of accessing a BARMM program or service (scholarship, livelihood assistance, legal aid, health referral, or other service) during the reporting year, as verified by OOBC service records and LGU confirmation</w:t>
            </w:r>
          </w:p>
        </w:tc>
      </w:tr>
      <w:tr>
        <w:tc>
          <w:tcPr>
            <w:tcW w:type="dxa" w:w="4680"/>
            <w:shd w:fill="F0F3F6"/>
          </w:tcPr>
          <w:p>
            <w:r/>
            <w:r>
              <w:rPr>
                <w:rFonts w:ascii="Inter" w:hAnsi="Inter" w:cs="Inter"/>
                <w:b w:val="0"/>
                <w:i w:val="0"/>
                <w:color w:val="2D2D2D"/>
                <w:sz w:val="19"/>
              </w:rPr>
              <w:t>**Unit**</w:t>
            </w:r>
          </w:p>
        </w:tc>
        <w:tc>
          <w:tcPr>
            <w:tcW w:type="dxa" w:w="4680"/>
            <w:shd w:fill="F0F3F6"/>
          </w:tcPr>
          <w:p>
            <w:r/>
            <w:r>
              <w:rPr>
                <w:rFonts w:ascii="Inter" w:hAnsi="Inter" w:cs="Inter"/>
                <w:b w:val="0"/>
                <w:i w:val="0"/>
                <w:color w:val="2D2D2D"/>
                <w:sz w:val="19"/>
              </w:rPr>
              <w:t>Percentage</w:t>
            </w:r>
          </w:p>
        </w:tc>
      </w:tr>
      <w:tr>
        <w:tc>
          <w:tcPr>
            <w:tcW w:type="dxa" w:w="4680"/>
          </w:tcPr>
          <w:p>
            <w:r/>
            <w:r>
              <w:rPr>
                <w:rFonts w:ascii="Inter" w:hAnsi="Inter" w:cs="Inter"/>
                <w:b w:val="0"/>
                <w:i w:val="0"/>
                <w:color w:val="2D2D2D"/>
                <w:sz w:val="19"/>
              </w:rPr>
              <w:t>**Baseline**</w:t>
            </w:r>
          </w:p>
        </w:tc>
        <w:tc>
          <w:tcPr>
            <w:tcW w:type="dxa" w:w="4680"/>
          </w:tcPr>
          <w:p>
            <w:r/>
            <w:r>
              <w:rPr>
                <w:rFonts w:ascii="Inter" w:hAnsi="Inter" w:cs="Inter"/>
                <w:b w:val="0"/>
                <w:i w:val="0"/>
                <w:color w:val="2D2D2D"/>
                <w:sz w:val="19"/>
              </w:rPr>
              <w:t>To be established by June 2026 (pending completion of OBC community registry)</w:t>
            </w:r>
          </w:p>
        </w:tc>
      </w:tr>
      <w:tr>
        <w:tc>
          <w:tcPr>
            <w:tcW w:type="dxa" w:w="4680"/>
            <w:shd w:fill="F0F3F6"/>
          </w:tcPr>
          <w:p>
            <w:r/>
            <w:r>
              <w:rPr>
                <w:rFonts w:ascii="Inter" w:hAnsi="Inter" w:cs="Inter"/>
                <w:b w:val="0"/>
                <w:i w:val="0"/>
                <w:color w:val="2D2D2D"/>
                <w:sz w:val="19"/>
              </w:rPr>
              <w:t>**Year 1 Target**</w:t>
            </w:r>
          </w:p>
        </w:tc>
        <w:tc>
          <w:tcPr>
            <w:tcW w:type="dxa" w:w="4680"/>
            <w:shd w:fill="F0F3F6"/>
          </w:tcPr>
          <w:p>
            <w:r/>
            <w:r>
              <w:rPr>
                <w:rFonts w:ascii="Inter" w:hAnsi="Inter" w:cs="Inter"/>
                <w:b w:val="0"/>
                <w:i w:val="0"/>
                <w:color w:val="2D2D2D"/>
                <w:sz w:val="19"/>
              </w:rPr>
              <w:t>15% of registered OBC communities</w:t>
            </w:r>
          </w:p>
        </w:tc>
      </w:tr>
      <w:tr>
        <w:tc>
          <w:tcPr>
            <w:tcW w:type="dxa" w:w="4680"/>
          </w:tcPr>
          <w:p>
            <w:r/>
            <w:r>
              <w:rPr>
                <w:rFonts w:ascii="Inter" w:hAnsi="Inter" w:cs="Inter"/>
                <w:b w:val="0"/>
                <w:i w:val="0"/>
                <w:color w:val="2D2D2D"/>
                <w:sz w:val="19"/>
              </w:rPr>
              <w:t>**Year 2 Target**</w:t>
            </w:r>
          </w:p>
        </w:tc>
        <w:tc>
          <w:tcPr>
            <w:tcW w:type="dxa" w:w="4680"/>
          </w:tcPr>
          <w:p>
            <w:r/>
            <w:r>
              <w:rPr>
                <w:rFonts w:ascii="Inter" w:hAnsi="Inter" w:cs="Inter"/>
                <w:b w:val="0"/>
                <w:i w:val="0"/>
                <w:color w:val="2D2D2D"/>
                <w:sz w:val="19"/>
              </w:rPr>
              <w:t>30% of registered OBC communities</w:t>
            </w:r>
          </w:p>
        </w:tc>
      </w:tr>
      <w:tr>
        <w:tc>
          <w:tcPr>
            <w:tcW w:type="dxa" w:w="4680"/>
            <w:shd w:fill="F0F3F6"/>
          </w:tcPr>
          <w:p>
            <w:r/>
            <w:r>
              <w:rPr>
                <w:rFonts w:ascii="Inter" w:hAnsi="Inter" w:cs="Inter"/>
                <w:b w:val="0"/>
                <w:i w:val="0"/>
                <w:color w:val="2D2D2D"/>
                <w:sz w:val="19"/>
              </w:rPr>
              <w:t>**Year 3 Target**</w:t>
            </w:r>
          </w:p>
        </w:tc>
        <w:tc>
          <w:tcPr>
            <w:tcW w:type="dxa" w:w="4680"/>
            <w:shd w:fill="F0F3F6"/>
          </w:tcPr>
          <w:p>
            <w:r/>
            <w:r>
              <w:rPr>
                <w:rFonts w:ascii="Inter" w:hAnsi="Inter" w:cs="Inter"/>
                <w:b w:val="0"/>
                <w:i w:val="0"/>
                <w:color w:val="2D2D2D"/>
                <w:sz w:val="19"/>
              </w:rPr>
              <w:t>50% of registered OBC communities</w:t>
            </w:r>
          </w:p>
        </w:tc>
      </w:tr>
      <w:tr>
        <w:tc>
          <w:tcPr>
            <w:tcW w:type="dxa" w:w="4680"/>
          </w:tcPr>
          <w:p>
            <w:r/>
            <w:r>
              <w:rPr>
                <w:rFonts w:ascii="Inter" w:hAnsi="Inter" w:cs="Inter"/>
                <w:b w:val="0"/>
                <w:i w:val="0"/>
                <w:color w:val="2D2D2D"/>
                <w:sz w:val="19"/>
              </w:rPr>
              <w:t>**Data Source**</w:t>
            </w:r>
          </w:p>
        </w:tc>
        <w:tc>
          <w:tcPr>
            <w:tcW w:type="dxa" w:w="4680"/>
          </w:tcPr>
          <w:p>
            <w:r/>
            <w:r>
              <w:rPr>
                <w:rFonts w:ascii="Inter" w:hAnsi="Inter" w:cs="Inter"/>
                <w:b w:val="0"/>
                <w:i w:val="0"/>
                <w:color w:val="2D2D2D"/>
                <w:sz w:val="19"/>
              </w:rPr>
              <w:t>OOBC Service Access Registry (once operational); manual tracking log (until system deployed)</w:t>
            </w:r>
          </w:p>
        </w:tc>
      </w:tr>
      <w:tr>
        <w:tc>
          <w:tcPr>
            <w:tcW w:type="dxa" w:w="4680"/>
            <w:shd w:fill="F0F3F6"/>
          </w:tcPr>
          <w:p>
            <w:r/>
            <w:r>
              <w:rPr>
                <w:rFonts w:ascii="Inter" w:hAnsi="Inter" w:cs="Inter"/>
                <w:b w:val="0"/>
                <w:i w:val="0"/>
                <w:color w:val="2D2D2D"/>
                <w:sz w:val="19"/>
              </w:rPr>
              <w:t>**Collection Method**</w:t>
            </w:r>
          </w:p>
        </w:tc>
        <w:tc>
          <w:tcPr>
            <w:tcW w:type="dxa" w:w="4680"/>
            <w:shd w:fill="F0F3F6"/>
          </w:tcPr>
          <w:p>
            <w:r/>
            <w:r>
              <w:rPr>
                <w:rFonts w:ascii="Inter" w:hAnsi="Inter" w:cs="Inter"/>
                <w:b w:val="0"/>
                <w:i w:val="0"/>
                <w:color w:val="2D2D2D"/>
                <w:sz w:val="19"/>
              </w:rPr>
              <w:t>Compilation of service delivery records from OOBC field offices (Davao, Sultan Kudarat, Pagadian) and Cotabato City HQ, cross-referenced with LGU service records</w:t>
            </w:r>
          </w:p>
        </w:tc>
      </w:tr>
      <w:tr>
        <w:tc>
          <w:tcPr>
            <w:tcW w:type="dxa" w:w="4680"/>
          </w:tcPr>
          <w:p>
            <w:r/>
            <w:r>
              <w:rPr>
                <w:rFonts w:ascii="Inter" w:hAnsi="Inter" w:cs="Inter"/>
                <w:b w:val="0"/>
                <w:i w:val="0"/>
                <w:color w:val="2D2D2D"/>
                <w:sz w:val="19"/>
              </w:rPr>
              <w:t>**Collection Frequency**</w:t>
            </w:r>
          </w:p>
        </w:tc>
        <w:tc>
          <w:tcPr>
            <w:tcW w:type="dxa" w:w="4680"/>
          </w:tcPr>
          <w:p>
            <w:r/>
            <w:r>
              <w:rPr>
                <w:rFonts w:ascii="Inter" w:hAnsi="Inter" w:cs="Inter"/>
                <w:b w:val="0"/>
                <w:i w:val="0"/>
                <w:color w:val="2D2D2D"/>
                <w:sz w:val="19"/>
              </w:rPr>
              <w:t>Annually (completed by February of the following year)</w:t>
            </w:r>
          </w:p>
        </w:tc>
      </w:tr>
      <w:tr>
        <w:tc>
          <w:tcPr>
            <w:tcW w:type="dxa" w:w="4680"/>
            <w:shd w:fill="F0F3F6"/>
          </w:tcPr>
          <w:p>
            <w:r/>
            <w:r>
              <w:rPr>
                <w:rFonts w:ascii="Inter" w:hAnsi="Inter" w:cs="Inter"/>
                <w:b w:val="0"/>
                <w:i w:val="0"/>
                <w:color w:val="2D2D2D"/>
                <w:sz w:val="19"/>
              </w:rPr>
              <w:t>**Responsible Officer**</w:t>
            </w:r>
          </w:p>
        </w:tc>
        <w:tc>
          <w:tcPr>
            <w:tcW w:type="dxa" w:w="4680"/>
            <w:shd w:fill="F0F3F6"/>
          </w:tcPr>
          <w:p>
            <w:r/>
            <w:r>
              <w:rPr>
                <w:rFonts w:ascii="Inter" w:hAnsi="Inter" w:cs="Inter"/>
                <w:b w:val="0"/>
                <w:i w:val="0"/>
                <w:color w:val="2D2D2D"/>
                <w:sz w:val="19"/>
              </w:rPr>
              <w:t>Planning and M&amp;E Focal Person, OOBC</w:t>
            </w:r>
          </w:p>
        </w:tc>
      </w:tr>
      <w:tr>
        <w:tc>
          <w:tcPr>
            <w:tcW w:type="dxa" w:w="4680"/>
          </w:tcPr>
          <w:p>
            <w:r/>
            <w:r>
              <w:rPr>
                <w:rFonts w:ascii="Inter" w:hAnsi="Inter" w:cs="Inter"/>
                <w:b w:val="0"/>
                <w:i w:val="0"/>
                <w:color w:val="2D2D2D"/>
                <w:sz w:val="19"/>
              </w:rPr>
              <w:t>**Reports To**</w:t>
            </w:r>
          </w:p>
        </w:tc>
        <w:tc>
          <w:tcPr>
            <w:tcW w:type="dxa" w:w="4680"/>
          </w:tcPr>
          <w:p>
            <w:r/>
            <w:r>
              <w:rPr>
                <w:rFonts w:ascii="Inter" w:hAnsi="Inter" w:cs="Inter"/>
                <w:b w:val="0"/>
                <w:i w:val="0"/>
                <w:color w:val="2D2D2D"/>
                <w:sz w:val="19"/>
              </w:rPr>
              <w:t>Executive Director, then OCM</w:t>
            </w:r>
          </w:p>
        </w:tc>
      </w:tr>
      <w:tr>
        <w:tc>
          <w:tcPr>
            <w:tcW w:type="dxa" w:w="4680"/>
            <w:shd w:fill="F0F3F6"/>
          </w:tcPr>
          <w:p>
            <w:r/>
            <w:r>
              <w:rPr>
                <w:rFonts w:ascii="Inter" w:hAnsi="Inter" w:cs="Inter"/>
                <w:b w:val="0"/>
                <w:i w:val="0"/>
                <w:color w:val="2D2D2D"/>
                <w:sz w:val="19"/>
              </w:rPr>
              <w:t>**Disaggregation**</w:t>
            </w:r>
          </w:p>
        </w:tc>
        <w:tc>
          <w:tcPr>
            <w:tcW w:type="dxa" w:w="4680"/>
            <w:shd w:fill="F0F3F6"/>
          </w:tcPr>
          <w:p>
            <w:r/>
            <w:r>
              <w:rPr>
                <w:rFonts w:ascii="Inter" w:hAnsi="Inter" w:cs="Inter"/>
                <w:b w:val="0"/>
                <w:i w:val="0"/>
                <w:color w:val="2D2D2D"/>
                <w:sz w:val="19"/>
              </w:rPr>
              <w:t>By province/region, by type of service accessed, by vulnerable sector (IDPs, women, youth)</w:t>
            </w:r>
          </w:p>
        </w:tc>
      </w:tr>
    </w:tbl>
    <w:p/>
    <w:p>
      <w:pPr>
        <w:spacing w:after="120" w:line="276" w:lineRule="auto"/>
      </w:pPr>
      <w:r>
        <w:rPr>
          <w:rFonts w:ascii="Inter" w:hAnsi="Inter" w:cs="Inter"/>
          <w:b w:val="0"/>
          <w:i w:val="0"/>
          <w:color w:val="2D2D2D"/>
          <w:sz w:val="22"/>
        </w:rPr>
        <w:t>This impact indicator is influenced by many factors beyond OOBC's control — including the willingness of host LGUs to cooperate, the availability of BARMM program slots for OBCs, and the mobility of OBC communities. OOBC tracks it as the ultimate measure of OBC inclusion but does not claim sole attribution. The outcome indicators below measure what OOBC's interventions directly produce.</w:t>
      </w:r>
    </w:p>
    <w:p>
      <w:pPr>
        <w:pStyle w:val="Heading3"/>
      </w:pPr>
      <w:r>
        <w:rPr>
          <w:rFonts w:ascii="Inter" w:hAnsi="Inter" w:cs="Inter"/>
          <w:b/>
          <w:i w:val="0"/>
          <w:color w:val="2C5F7C"/>
          <w:sz w:val="26"/>
        </w:rPr>
        <w:t>Outcome Indicators (Selected)</w:t>
      </w:r>
    </w:p>
    <w:p>
      <w:pPr>
        <w:spacing w:after="120" w:line="276" w:lineRule="auto"/>
      </w:pPr>
      <w:r>
        <w:rPr>
          <w:rFonts w:ascii="Inter" w:hAnsi="Inter" w:cs="Inter"/>
          <w:b w:val="0"/>
          <w:i w:val="0"/>
          <w:color w:val="2D2D2D"/>
          <w:sz w:val="22"/>
        </w:rPr>
      </w:r>
      <w:r>
        <w:rPr>
          <w:rFonts w:ascii="Inter" w:hAnsi="Inter" w:cs="Inter"/>
          <w:b/>
          <w:i w:val="0"/>
          <w:color w:val="2D2D2D"/>
          <w:sz w:val="22"/>
        </w:rPr>
        <w:t>Outcome Indicator for MTO-1 (OBC Database and Documentation):</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Attribute</w:t>
            </w:r>
          </w:p>
        </w:tc>
        <w:tc>
          <w:tcPr>
            <w:tcW w:type="dxa" w:w="4680"/>
            <w:shd w:fill="1B365D"/>
          </w:tcPr>
          <w:p>
            <w:r/>
            <w:r>
              <w:rPr>
                <w:rFonts w:ascii="Inter" w:hAnsi="Inter" w:cs="Inter"/>
                <w:b/>
                <w:i w:val="0"/>
                <w:color w:val="FFFFFF"/>
                <w:sz w:val="19"/>
              </w:rPr>
              <w:t>Value</w:t>
            </w:r>
          </w:p>
        </w:tc>
      </w:tr>
      <w:tr>
        <w:tc>
          <w:tcPr>
            <w:tcW w:type="dxa" w:w="4680"/>
          </w:tcPr>
          <w:p>
            <w:r/>
            <w:r>
              <w:rPr>
                <w:rFonts w:ascii="Inter" w:hAnsi="Inter" w:cs="Inter"/>
                <w:b w:val="0"/>
                <w:i w:val="0"/>
                <w:color w:val="2D2D2D"/>
                <w:sz w:val="19"/>
              </w:rPr>
              <w:t>**Indicator ID**</w:t>
            </w:r>
          </w:p>
        </w:tc>
        <w:tc>
          <w:tcPr>
            <w:tcW w:type="dxa" w:w="4680"/>
          </w:tcPr>
          <w:p>
            <w:r/>
            <w:r>
              <w:rPr>
                <w:rFonts w:ascii="Inter" w:hAnsi="Inter" w:cs="Inter"/>
                <w:b w:val="0"/>
                <w:i w:val="0"/>
                <w:color w:val="2D2D2D"/>
                <w:sz w:val="19"/>
              </w:rPr>
              <w:t>OUT-01</w:t>
            </w:r>
          </w:p>
        </w:tc>
      </w:tr>
      <w:tr>
        <w:tc>
          <w:tcPr>
            <w:tcW w:type="dxa" w:w="4680"/>
            <w:shd w:fill="F0F3F6"/>
          </w:tcPr>
          <w:p>
            <w:r/>
            <w:r>
              <w:rPr>
                <w:rFonts w:ascii="Inter" w:hAnsi="Inter" w:cs="Inter"/>
                <w:b w:val="0"/>
                <w:i w:val="0"/>
                <w:color w:val="2D2D2D"/>
                <w:sz w:val="19"/>
              </w:rPr>
              <w:t>**Indicator Name**</w:t>
            </w:r>
          </w:p>
        </w:tc>
        <w:tc>
          <w:tcPr>
            <w:tcW w:type="dxa" w:w="4680"/>
            <w:shd w:fill="F0F3F6"/>
          </w:tcPr>
          <w:p>
            <w:r/>
            <w:r>
              <w:rPr>
                <w:rFonts w:ascii="Inter" w:hAnsi="Inter" w:cs="Inter"/>
                <w:b w:val="0"/>
                <w:i w:val="0"/>
                <w:color w:val="2D2D2D"/>
                <w:sz w:val="19"/>
              </w:rPr>
              <w:t>Percentage of target provinces with comprehensive OBC community profiles completed and integrated into OOBC database</w:t>
            </w:r>
          </w:p>
        </w:tc>
      </w:tr>
      <w:tr>
        <w:tc>
          <w:tcPr>
            <w:tcW w:type="dxa" w:w="4680"/>
          </w:tcPr>
          <w:p>
            <w:r/>
            <w:r>
              <w:rPr>
                <w:rFonts w:ascii="Inter" w:hAnsi="Inter" w:cs="Inter"/>
                <w:b w:val="0"/>
                <w:i w:val="0"/>
                <w:color w:val="2D2D2D"/>
                <w:sz w:val="19"/>
              </w:rPr>
              <w:t>**Definition**</w:t>
            </w:r>
          </w:p>
        </w:tc>
        <w:tc>
          <w:tcPr>
            <w:tcW w:type="dxa" w:w="4680"/>
          </w:tcPr>
          <w:p>
            <w:r/>
            <w:r>
              <w:rPr>
                <w:rFonts w:ascii="Inter" w:hAnsi="Inter" w:cs="Inter"/>
                <w:b w:val="0"/>
                <w:i w:val="0"/>
                <w:color w:val="2D2D2D"/>
                <w:sz w:val="19"/>
              </w:rPr>
              <w:t>Of all provinces and regions identified by OOBC as hosting significant OBC populations, the percentage for which community profiling has been completed (demographic data, needs assessment, service access status) and data has been encoded in the OBC Needs Database</w:t>
            </w:r>
          </w:p>
        </w:tc>
      </w:tr>
      <w:tr>
        <w:tc>
          <w:tcPr>
            <w:tcW w:type="dxa" w:w="4680"/>
            <w:shd w:fill="F0F3F6"/>
          </w:tcPr>
          <w:p>
            <w:r/>
            <w:r>
              <w:rPr>
                <w:rFonts w:ascii="Inter" w:hAnsi="Inter" w:cs="Inter"/>
                <w:b w:val="0"/>
                <w:i w:val="0"/>
                <w:color w:val="2D2D2D"/>
                <w:sz w:val="19"/>
              </w:rPr>
              <w:t>**Unit**</w:t>
            </w:r>
          </w:p>
        </w:tc>
        <w:tc>
          <w:tcPr>
            <w:tcW w:type="dxa" w:w="4680"/>
            <w:shd w:fill="F0F3F6"/>
          </w:tcPr>
          <w:p>
            <w:r/>
            <w:r>
              <w:rPr>
                <w:rFonts w:ascii="Inter" w:hAnsi="Inter" w:cs="Inter"/>
                <w:b w:val="0"/>
                <w:i w:val="0"/>
                <w:color w:val="2D2D2D"/>
                <w:sz w:val="19"/>
              </w:rPr>
              <w:t>Percentage</w:t>
            </w:r>
          </w:p>
        </w:tc>
      </w:tr>
      <w:tr>
        <w:tc>
          <w:tcPr>
            <w:tcW w:type="dxa" w:w="4680"/>
          </w:tcPr>
          <w:p>
            <w:r/>
            <w:r>
              <w:rPr>
                <w:rFonts w:ascii="Inter" w:hAnsi="Inter" w:cs="Inter"/>
                <w:b w:val="0"/>
                <w:i w:val="0"/>
                <w:color w:val="2D2D2D"/>
                <w:sz w:val="19"/>
              </w:rPr>
              <w:t>**Baseline**</w:t>
            </w:r>
          </w:p>
        </w:tc>
        <w:tc>
          <w:tcPr>
            <w:tcW w:type="dxa" w:w="4680"/>
          </w:tcPr>
          <w:p>
            <w:r/>
            <w:r>
              <w:rPr>
                <w:rFonts w:ascii="Inter" w:hAnsi="Inter" w:cs="Inter"/>
                <w:b w:val="0"/>
                <w:i w:val="0"/>
                <w:color w:val="2D2D2D"/>
                <w:sz w:val="19"/>
              </w:rPr>
              <w:t>0% (no systematic profiling database exists as of FY 2025)</w:t>
            </w:r>
          </w:p>
        </w:tc>
      </w:tr>
      <w:tr>
        <w:tc>
          <w:tcPr>
            <w:tcW w:type="dxa" w:w="4680"/>
            <w:shd w:fill="F0F3F6"/>
          </w:tcPr>
          <w:p>
            <w:r/>
            <w:r>
              <w:rPr>
                <w:rFonts w:ascii="Inter" w:hAnsi="Inter" w:cs="Inter"/>
                <w:b w:val="0"/>
                <w:i w:val="0"/>
                <w:color w:val="2D2D2D"/>
                <w:sz w:val="19"/>
              </w:rPr>
              <w:t>**Year 1 Target**</w:t>
            </w:r>
          </w:p>
        </w:tc>
        <w:tc>
          <w:tcPr>
            <w:tcW w:type="dxa" w:w="4680"/>
            <w:shd w:fill="F0F3F6"/>
          </w:tcPr>
          <w:p>
            <w:r/>
            <w:r>
              <w:rPr>
                <w:rFonts w:ascii="Inter" w:hAnsi="Inter" w:cs="Inter"/>
                <w:b w:val="0"/>
                <w:i w:val="0"/>
                <w:color w:val="2D2D2D"/>
                <w:sz w:val="19"/>
              </w:rPr>
              <w:t>40% of target provinces</w:t>
            </w:r>
          </w:p>
        </w:tc>
      </w:tr>
      <w:tr>
        <w:tc>
          <w:tcPr>
            <w:tcW w:type="dxa" w:w="4680"/>
          </w:tcPr>
          <w:p>
            <w:r/>
            <w:r>
              <w:rPr>
                <w:rFonts w:ascii="Inter" w:hAnsi="Inter" w:cs="Inter"/>
                <w:b w:val="0"/>
                <w:i w:val="0"/>
                <w:color w:val="2D2D2D"/>
                <w:sz w:val="19"/>
              </w:rPr>
              <w:t>**Year 2 Target**</w:t>
            </w:r>
          </w:p>
        </w:tc>
        <w:tc>
          <w:tcPr>
            <w:tcW w:type="dxa" w:w="4680"/>
          </w:tcPr>
          <w:p>
            <w:r/>
            <w:r>
              <w:rPr>
                <w:rFonts w:ascii="Inter" w:hAnsi="Inter" w:cs="Inter"/>
                <w:b w:val="0"/>
                <w:i w:val="0"/>
                <w:color w:val="2D2D2D"/>
                <w:sz w:val="19"/>
              </w:rPr>
              <w:t>75% of target provinces</w:t>
            </w:r>
          </w:p>
        </w:tc>
      </w:tr>
      <w:tr>
        <w:tc>
          <w:tcPr>
            <w:tcW w:type="dxa" w:w="4680"/>
            <w:shd w:fill="F0F3F6"/>
          </w:tcPr>
          <w:p>
            <w:r/>
            <w:r>
              <w:rPr>
                <w:rFonts w:ascii="Inter" w:hAnsi="Inter" w:cs="Inter"/>
                <w:b w:val="0"/>
                <w:i w:val="0"/>
                <w:color w:val="2D2D2D"/>
                <w:sz w:val="19"/>
              </w:rPr>
              <w:t>**Year 3 Target**</w:t>
            </w:r>
          </w:p>
        </w:tc>
        <w:tc>
          <w:tcPr>
            <w:tcW w:type="dxa" w:w="4680"/>
            <w:shd w:fill="F0F3F6"/>
          </w:tcPr>
          <w:p>
            <w:r/>
            <w:r>
              <w:rPr>
                <w:rFonts w:ascii="Inter" w:hAnsi="Inter" w:cs="Inter"/>
                <w:b w:val="0"/>
                <w:i w:val="0"/>
                <w:color w:val="2D2D2D"/>
                <w:sz w:val="19"/>
              </w:rPr>
              <w:t>100% of target provinces</w:t>
            </w:r>
          </w:p>
        </w:tc>
      </w:tr>
      <w:tr>
        <w:tc>
          <w:tcPr>
            <w:tcW w:type="dxa" w:w="4680"/>
          </w:tcPr>
          <w:p>
            <w:r/>
            <w:r>
              <w:rPr>
                <w:rFonts w:ascii="Inter" w:hAnsi="Inter" w:cs="Inter"/>
                <w:b w:val="0"/>
                <w:i w:val="0"/>
                <w:color w:val="2D2D2D"/>
                <w:sz w:val="19"/>
              </w:rPr>
              <w:t>**Data Source**</w:t>
            </w:r>
          </w:p>
        </w:tc>
        <w:tc>
          <w:tcPr>
            <w:tcW w:type="dxa" w:w="4680"/>
          </w:tcPr>
          <w:p>
            <w:r/>
            <w:r>
              <w:rPr>
                <w:rFonts w:ascii="Inter" w:hAnsi="Inter" w:cs="Inter"/>
                <w:b w:val="0"/>
                <w:i w:val="0"/>
                <w:color w:val="2D2D2D"/>
                <w:sz w:val="19"/>
              </w:rPr>
              <w:t>OBC Needs Database and PSRRS records</w:t>
            </w:r>
          </w:p>
        </w:tc>
      </w:tr>
      <w:tr>
        <w:tc>
          <w:tcPr>
            <w:tcW w:type="dxa" w:w="4680"/>
            <w:shd w:fill="F0F3F6"/>
          </w:tcPr>
          <w:p>
            <w:r/>
            <w:r>
              <w:rPr>
                <w:rFonts w:ascii="Inter" w:hAnsi="Inter" w:cs="Inter"/>
                <w:b w:val="0"/>
                <w:i w:val="0"/>
                <w:color w:val="2D2D2D"/>
                <w:sz w:val="19"/>
              </w:rPr>
              <w:t>**Collection Frequency**</w:t>
            </w:r>
          </w:p>
        </w:tc>
        <w:tc>
          <w:tcPr>
            <w:tcW w:type="dxa" w:w="4680"/>
            <w:shd w:fill="F0F3F6"/>
          </w:tcPr>
          <w:p>
            <w:r/>
            <w:r>
              <w:rPr>
                <w:rFonts w:ascii="Inter" w:hAnsi="Inter" w:cs="Inter"/>
                <w:b w:val="0"/>
                <w:i w:val="0"/>
                <w:color w:val="2D2D2D"/>
                <w:sz w:val="19"/>
              </w:rPr>
              <w:t>Quarterly</w:t>
            </w:r>
          </w:p>
        </w:tc>
      </w:tr>
      <w:tr>
        <w:tc>
          <w:tcPr>
            <w:tcW w:type="dxa" w:w="4680"/>
          </w:tcPr>
          <w:p>
            <w:r/>
            <w:r>
              <w:rPr>
                <w:rFonts w:ascii="Inter" w:hAnsi="Inter" w:cs="Inter"/>
                <w:b w:val="0"/>
                <w:i w:val="0"/>
                <w:color w:val="2D2D2D"/>
                <w:sz w:val="19"/>
              </w:rPr>
              <w:t>**Responsible Officer**</w:t>
            </w:r>
          </w:p>
        </w:tc>
        <w:tc>
          <w:tcPr>
            <w:tcW w:type="dxa" w:w="4680"/>
          </w:tcPr>
          <w:p>
            <w:r/>
            <w:r>
              <w:rPr>
                <w:rFonts w:ascii="Inter" w:hAnsi="Inter" w:cs="Inter"/>
                <w:b w:val="0"/>
                <w:i w:val="0"/>
                <w:color w:val="2D2D2D"/>
                <w:sz w:val="19"/>
              </w:rPr>
              <w:t>Programs Division Chief, OOBC</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Outcome Indicator for MTO-2 (Coordination Mechanisms):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Attribute</w:t>
            </w:r>
          </w:p>
        </w:tc>
        <w:tc>
          <w:tcPr>
            <w:tcW w:type="dxa" w:w="4680"/>
            <w:shd w:fill="1B365D"/>
          </w:tcPr>
          <w:p>
            <w:r/>
            <w:r>
              <w:rPr>
                <w:rFonts w:ascii="Inter" w:hAnsi="Inter" w:cs="Inter"/>
                <w:b/>
                <w:i w:val="0"/>
                <w:color w:val="FFFFFF"/>
                <w:sz w:val="19"/>
              </w:rPr>
              <w:t>Value</w:t>
            </w:r>
          </w:p>
        </w:tc>
      </w:tr>
      <w:tr>
        <w:tc>
          <w:tcPr>
            <w:tcW w:type="dxa" w:w="4680"/>
          </w:tcPr>
          <w:p>
            <w:r/>
            <w:r>
              <w:rPr>
                <w:rFonts w:ascii="Inter" w:hAnsi="Inter" w:cs="Inter"/>
                <w:b w:val="0"/>
                <w:i w:val="0"/>
                <w:color w:val="2D2D2D"/>
                <w:sz w:val="19"/>
              </w:rPr>
              <w:t>**Indicator ID**</w:t>
            </w:r>
          </w:p>
        </w:tc>
        <w:tc>
          <w:tcPr>
            <w:tcW w:type="dxa" w:w="4680"/>
          </w:tcPr>
          <w:p>
            <w:r/>
            <w:r>
              <w:rPr>
                <w:rFonts w:ascii="Inter" w:hAnsi="Inter" w:cs="Inter"/>
                <w:b w:val="0"/>
                <w:i w:val="0"/>
                <w:color w:val="2D2D2D"/>
                <w:sz w:val="19"/>
              </w:rPr>
              <w:t>OUT-02</w:t>
            </w:r>
          </w:p>
        </w:tc>
      </w:tr>
      <w:tr>
        <w:tc>
          <w:tcPr>
            <w:tcW w:type="dxa" w:w="4680"/>
            <w:shd w:fill="F0F3F6"/>
          </w:tcPr>
          <w:p>
            <w:r/>
            <w:r>
              <w:rPr>
                <w:rFonts w:ascii="Inter" w:hAnsi="Inter" w:cs="Inter"/>
                <w:b w:val="0"/>
                <w:i w:val="0"/>
                <w:color w:val="2D2D2D"/>
                <w:sz w:val="19"/>
              </w:rPr>
              <w:t>**Indicator Name**</w:t>
            </w:r>
          </w:p>
        </w:tc>
        <w:tc>
          <w:tcPr>
            <w:tcW w:type="dxa" w:w="4680"/>
            <w:shd w:fill="F0F3F6"/>
          </w:tcPr>
          <w:p>
            <w:r/>
            <w:r>
              <w:rPr>
                <w:rFonts w:ascii="Inter" w:hAnsi="Inter" w:cs="Inter"/>
                <w:b w:val="0"/>
                <w:i w:val="0"/>
                <w:color w:val="2D2D2D"/>
                <w:sz w:val="19"/>
              </w:rPr>
              <w:t>Number of formalized MOUs/MOAs with LGUs and NGAs for OBC service coordination</w:t>
            </w:r>
          </w:p>
        </w:tc>
      </w:tr>
      <w:tr>
        <w:tc>
          <w:tcPr>
            <w:tcW w:type="dxa" w:w="4680"/>
          </w:tcPr>
          <w:p>
            <w:r/>
            <w:r>
              <w:rPr>
                <w:rFonts w:ascii="Inter" w:hAnsi="Inter" w:cs="Inter"/>
                <w:b w:val="0"/>
                <w:i w:val="0"/>
                <w:color w:val="2D2D2D"/>
                <w:sz w:val="19"/>
              </w:rPr>
              <w:t>**Definition**</w:t>
            </w:r>
          </w:p>
        </w:tc>
        <w:tc>
          <w:tcPr>
            <w:tcW w:type="dxa" w:w="4680"/>
          </w:tcPr>
          <w:p>
            <w:r/>
            <w:r>
              <w:rPr>
                <w:rFonts w:ascii="Inter" w:hAnsi="Inter" w:cs="Inter"/>
                <w:b w:val="0"/>
                <w:i w:val="0"/>
                <w:color w:val="2D2D2D"/>
                <w:sz w:val="19"/>
              </w:rPr>
              <w:t>Cumulative count of signed Memoranda of Understanding or Memoranda of Agreement between OOBC and local government units or national government agencies that establish formal coordination mechanisms for OBC service delivery, referral, or data sharing</w:t>
            </w:r>
          </w:p>
        </w:tc>
      </w:tr>
      <w:tr>
        <w:tc>
          <w:tcPr>
            <w:tcW w:type="dxa" w:w="4680"/>
            <w:shd w:fill="F0F3F6"/>
          </w:tcPr>
          <w:p>
            <w:r/>
            <w:r>
              <w:rPr>
                <w:rFonts w:ascii="Inter" w:hAnsi="Inter" w:cs="Inter"/>
                <w:b w:val="0"/>
                <w:i w:val="0"/>
                <w:color w:val="2D2D2D"/>
                <w:sz w:val="19"/>
              </w:rPr>
              <w:t>**Unit**</w:t>
            </w:r>
          </w:p>
        </w:tc>
        <w:tc>
          <w:tcPr>
            <w:tcW w:type="dxa" w:w="4680"/>
            <w:shd w:fill="F0F3F6"/>
          </w:tcPr>
          <w:p>
            <w:r/>
            <w:r>
              <w:rPr>
                <w:rFonts w:ascii="Inter" w:hAnsi="Inter" w:cs="Inter"/>
                <w:b w:val="0"/>
                <w:i w:val="0"/>
                <w:color w:val="2D2D2D"/>
                <w:sz w:val="19"/>
              </w:rPr>
              <w:t>Count (cumulative)</w:t>
            </w:r>
          </w:p>
        </w:tc>
      </w:tr>
      <w:tr>
        <w:tc>
          <w:tcPr>
            <w:tcW w:type="dxa" w:w="4680"/>
          </w:tcPr>
          <w:p>
            <w:r/>
            <w:r>
              <w:rPr>
                <w:rFonts w:ascii="Inter" w:hAnsi="Inter" w:cs="Inter"/>
                <w:b w:val="0"/>
                <w:i w:val="0"/>
                <w:color w:val="2D2D2D"/>
                <w:sz w:val="19"/>
              </w:rPr>
              <w:t>**Baseline**</w:t>
            </w:r>
          </w:p>
        </w:tc>
        <w:tc>
          <w:tcPr>
            <w:tcW w:type="dxa" w:w="4680"/>
          </w:tcPr>
          <w:p>
            <w:r/>
            <w:r>
              <w:rPr>
                <w:rFonts w:ascii="Inter" w:hAnsi="Inter" w:cs="Inter"/>
                <w:b w:val="0"/>
                <w:i w:val="0"/>
                <w:color w:val="2D2D2D"/>
                <w:sz w:val="19"/>
              </w:rPr>
              <w:t>3 informal arrangements (FY 2025; no formal MOUs signed)</w:t>
            </w:r>
          </w:p>
        </w:tc>
      </w:tr>
      <w:tr>
        <w:tc>
          <w:tcPr>
            <w:tcW w:type="dxa" w:w="4680"/>
            <w:shd w:fill="F0F3F6"/>
          </w:tcPr>
          <w:p>
            <w:r/>
            <w:r>
              <w:rPr>
                <w:rFonts w:ascii="Inter" w:hAnsi="Inter" w:cs="Inter"/>
                <w:b w:val="0"/>
                <w:i w:val="0"/>
                <w:color w:val="2D2D2D"/>
                <w:sz w:val="19"/>
              </w:rPr>
              <w:t>**Year 1 Target**</w:t>
            </w:r>
          </w:p>
        </w:tc>
        <w:tc>
          <w:tcPr>
            <w:tcW w:type="dxa" w:w="4680"/>
            <w:shd w:fill="F0F3F6"/>
          </w:tcPr>
          <w:p>
            <w:r/>
            <w:r>
              <w:rPr>
                <w:rFonts w:ascii="Inter" w:hAnsi="Inter" w:cs="Inter"/>
                <w:b w:val="0"/>
                <w:i w:val="0"/>
                <w:color w:val="2D2D2D"/>
                <w:sz w:val="19"/>
              </w:rPr>
              <w:t>8 MOUs/MOAs signed</w:t>
            </w:r>
          </w:p>
        </w:tc>
      </w:tr>
      <w:tr>
        <w:tc>
          <w:tcPr>
            <w:tcW w:type="dxa" w:w="4680"/>
          </w:tcPr>
          <w:p>
            <w:r/>
            <w:r>
              <w:rPr>
                <w:rFonts w:ascii="Inter" w:hAnsi="Inter" w:cs="Inter"/>
                <w:b w:val="0"/>
                <w:i w:val="0"/>
                <w:color w:val="2D2D2D"/>
                <w:sz w:val="19"/>
              </w:rPr>
              <w:t>**Year 2 Target**</w:t>
            </w:r>
          </w:p>
        </w:tc>
        <w:tc>
          <w:tcPr>
            <w:tcW w:type="dxa" w:w="4680"/>
          </w:tcPr>
          <w:p>
            <w:r/>
            <w:r>
              <w:rPr>
                <w:rFonts w:ascii="Inter" w:hAnsi="Inter" w:cs="Inter"/>
                <w:b w:val="0"/>
                <w:i w:val="0"/>
                <w:color w:val="2D2D2D"/>
                <w:sz w:val="19"/>
              </w:rPr>
              <w:t>15 MOUs/MOAs signed</w:t>
            </w:r>
          </w:p>
        </w:tc>
      </w:tr>
      <w:tr>
        <w:tc>
          <w:tcPr>
            <w:tcW w:type="dxa" w:w="4680"/>
            <w:shd w:fill="F0F3F6"/>
          </w:tcPr>
          <w:p>
            <w:r/>
            <w:r>
              <w:rPr>
                <w:rFonts w:ascii="Inter" w:hAnsi="Inter" w:cs="Inter"/>
                <w:b w:val="0"/>
                <w:i w:val="0"/>
                <w:color w:val="2D2D2D"/>
                <w:sz w:val="19"/>
              </w:rPr>
              <w:t>**Year 3 Target**</w:t>
            </w:r>
          </w:p>
        </w:tc>
        <w:tc>
          <w:tcPr>
            <w:tcW w:type="dxa" w:w="4680"/>
            <w:shd w:fill="F0F3F6"/>
          </w:tcPr>
          <w:p>
            <w:r/>
            <w:r>
              <w:rPr>
                <w:rFonts w:ascii="Inter" w:hAnsi="Inter" w:cs="Inter"/>
                <w:b w:val="0"/>
                <w:i w:val="0"/>
                <w:color w:val="2D2D2D"/>
                <w:sz w:val="19"/>
              </w:rPr>
              <w:t>20 MOUs/MOAs signed</w:t>
            </w:r>
          </w:p>
        </w:tc>
      </w:tr>
      <w:tr>
        <w:tc>
          <w:tcPr>
            <w:tcW w:type="dxa" w:w="4680"/>
          </w:tcPr>
          <w:p>
            <w:r/>
            <w:r>
              <w:rPr>
                <w:rFonts w:ascii="Inter" w:hAnsi="Inter" w:cs="Inter"/>
                <w:b w:val="0"/>
                <w:i w:val="0"/>
                <w:color w:val="2D2D2D"/>
                <w:sz w:val="19"/>
              </w:rPr>
              <w:t>**Data Source**</w:t>
            </w:r>
          </w:p>
        </w:tc>
        <w:tc>
          <w:tcPr>
            <w:tcW w:type="dxa" w:w="4680"/>
          </w:tcPr>
          <w:p>
            <w:r/>
            <w:r>
              <w:rPr>
                <w:rFonts w:ascii="Inter" w:hAnsi="Inter" w:cs="Inter"/>
                <w:b w:val="0"/>
                <w:i w:val="0"/>
                <w:color w:val="2D2D2D"/>
                <w:sz w:val="19"/>
              </w:rPr>
              <w:t>OOBC Coordination and Partnerships Unit records</w:t>
            </w:r>
          </w:p>
        </w:tc>
      </w:tr>
      <w:tr>
        <w:tc>
          <w:tcPr>
            <w:tcW w:type="dxa" w:w="4680"/>
            <w:shd w:fill="F0F3F6"/>
          </w:tcPr>
          <w:p>
            <w:r/>
            <w:r>
              <w:rPr>
                <w:rFonts w:ascii="Inter" w:hAnsi="Inter" w:cs="Inter"/>
                <w:b w:val="0"/>
                <w:i w:val="0"/>
                <w:color w:val="2D2D2D"/>
                <w:sz w:val="19"/>
              </w:rPr>
              <w:t>**Collection Frequency**</w:t>
            </w:r>
          </w:p>
        </w:tc>
        <w:tc>
          <w:tcPr>
            <w:tcW w:type="dxa" w:w="4680"/>
            <w:shd w:fill="F0F3F6"/>
          </w:tcPr>
          <w:p>
            <w:r/>
            <w:r>
              <w:rPr>
                <w:rFonts w:ascii="Inter" w:hAnsi="Inter" w:cs="Inter"/>
                <w:b w:val="0"/>
                <w:i w:val="0"/>
                <w:color w:val="2D2D2D"/>
                <w:sz w:val="19"/>
              </w:rPr>
              <w:t>Quarterly</w:t>
            </w:r>
          </w:p>
        </w:tc>
      </w:tr>
      <w:tr>
        <w:tc>
          <w:tcPr>
            <w:tcW w:type="dxa" w:w="4680"/>
          </w:tcPr>
          <w:p>
            <w:r/>
            <w:r>
              <w:rPr>
                <w:rFonts w:ascii="Inter" w:hAnsi="Inter" w:cs="Inter"/>
                <w:b w:val="0"/>
                <w:i w:val="0"/>
                <w:color w:val="2D2D2D"/>
                <w:sz w:val="19"/>
              </w:rPr>
              <w:t>**Responsible Officer**</w:t>
            </w:r>
          </w:p>
        </w:tc>
        <w:tc>
          <w:tcPr>
            <w:tcW w:type="dxa" w:w="4680"/>
          </w:tcPr>
          <w:p>
            <w:r/>
            <w:r>
              <w:rPr>
                <w:rFonts w:ascii="Inter" w:hAnsi="Inter" w:cs="Inter"/>
                <w:b w:val="0"/>
                <w:i w:val="0"/>
                <w:color w:val="2D2D2D"/>
                <w:sz w:val="19"/>
              </w:rPr>
              <w:t>Coordination and Partnerships Unit Head, OOBC</w:t>
            </w:r>
          </w:p>
        </w:tc>
      </w:tr>
    </w:tbl>
    <w:p/>
    <w:p>
      <w:pPr>
        <w:pStyle w:val="Heading3"/>
      </w:pPr>
      <w:r>
        <w:rPr>
          <w:rFonts w:ascii="Inter" w:hAnsi="Inter" w:cs="Inter"/>
          <w:b/>
          <w:i w:val="0"/>
          <w:color w:val="2C5F7C"/>
          <w:sz w:val="26"/>
        </w:rPr>
        <w:t>Output Indicators (Selected)</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Indicator ID</w:t>
            </w:r>
          </w:p>
        </w:tc>
        <w:tc>
          <w:tcPr>
            <w:tcW w:type="dxa" w:w="936"/>
            <w:shd w:fill="1B365D"/>
          </w:tcPr>
          <w:p>
            <w:r/>
            <w:r>
              <w:rPr>
                <w:rFonts w:ascii="Inter" w:hAnsi="Inter" w:cs="Inter"/>
                <w:b/>
                <w:i w:val="0"/>
                <w:color w:val="FFFFFF"/>
                <w:sz w:val="19"/>
              </w:rPr>
              <w:t>Indicator Name</w:t>
            </w:r>
          </w:p>
        </w:tc>
        <w:tc>
          <w:tcPr>
            <w:tcW w:type="dxa" w:w="936"/>
            <w:shd w:fill="1B365D"/>
          </w:tcPr>
          <w:p>
            <w:r/>
            <w:r>
              <w:rPr>
                <w:rFonts w:ascii="Inter" w:hAnsi="Inter" w:cs="Inter"/>
                <w:b/>
                <w:i w:val="0"/>
                <w:color w:val="FFFFFF"/>
                <w:sz w:val="19"/>
              </w:rPr>
              <w:t>Linked PPA</w:t>
            </w:r>
          </w:p>
        </w:tc>
        <w:tc>
          <w:tcPr>
            <w:tcW w:type="dxa" w:w="936"/>
            <w:shd w:fill="1B365D"/>
          </w:tcPr>
          <w:p>
            <w:r/>
            <w:r>
              <w:rPr>
                <w:rFonts w:ascii="Inter" w:hAnsi="Inter" w:cs="Inter"/>
                <w:b/>
                <w:i w:val="0"/>
                <w:color w:val="FFFFFF"/>
                <w:sz w:val="19"/>
              </w:rPr>
              <w:t>Unit</w:t>
            </w:r>
          </w:p>
        </w:tc>
        <w:tc>
          <w:tcPr>
            <w:tcW w:type="dxa" w:w="936"/>
            <w:shd w:fill="1B365D"/>
          </w:tcPr>
          <w:p>
            <w:r/>
            <w:r>
              <w:rPr>
                <w:rFonts w:ascii="Inter" w:hAnsi="Inter" w:cs="Inter"/>
                <w:b/>
                <w:i w:val="0"/>
                <w:color w:val="FFFFFF"/>
                <w:sz w:val="19"/>
              </w:rPr>
              <w:t>Baseline</w:t>
            </w:r>
          </w:p>
        </w:tc>
        <w:tc>
          <w:tcPr>
            <w:tcW w:type="dxa" w:w="936"/>
            <w:shd w:fill="1B365D"/>
          </w:tcPr>
          <w:p>
            <w:r/>
            <w:r>
              <w:rPr>
                <w:rFonts w:ascii="Inter" w:hAnsi="Inter" w:cs="Inter"/>
                <w:b/>
                <w:i w:val="0"/>
                <w:color w:val="FFFFFF"/>
                <w:sz w:val="19"/>
              </w:rPr>
              <w:t>Yr 1</w:t>
            </w:r>
          </w:p>
        </w:tc>
        <w:tc>
          <w:tcPr>
            <w:tcW w:type="dxa" w:w="936"/>
            <w:shd w:fill="1B365D"/>
          </w:tcPr>
          <w:p>
            <w:r/>
            <w:r>
              <w:rPr>
                <w:rFonts w:ascii="Inter" w:hAnsi="Inter" w:cs="Inter"/>
                <w:b/>
                <w:i w:val="0"/>
                <w:color w:val="FFFFFF"/>
                <w:sz w:val="19"/>
              </w:rPr>
              <w:t>Yr 2</w:t>
            </w:r>
          </w:p>
        </w:tc>
        <w:tc>
          <w:tcPr>
            <w:tcW w:type="dxa" w:w="936"/>
            <w:shd w:fill="1B365D"/>
          </w:tcPr>
          <w:p>
            <w:r/>
            <w:r>
              <w:rPr>
                <w:rFonts w:ascii="Inter" w:hAnsi="Inter" w:cs="Inter"/>
                <w:b/>
                <w:i w:val="0"/>
                <w:color w:val="FFFFFF"/>
                <w:sz w:val="19"/>
              </w:rPr>
              <w:t>Yr 3</w:t>
            </w:r>
          </w:p>
        </w:tc>
        <w:tc>
          <w:tcPr>
            <w:tcW w:type="dxa" w:w="936"/>
            <w:shd w:fill="1B365D"/>
          </w:tcPr>
          <w:p>
            <w:r/>
            <w:r>
              <w:rPr>
                <w:rFonts w:ascii="Inter" w:hAnsi="Inter" w:cs="Inter"/>
                <w:b/>
                <w:i w:val="0"/>
                <w:color w:val="FFFFFF"/>
                <w:sz w:val="19"/>
              </w:rPr>
              <w:t>Data Source</w:t>
            </w:r>
          </w:p>
        </w:tc>
        <w:tc>
          <w:tcPr>
            <w:tcW w:type="dxa" w:w="936"/>
            <w:shd w:fill="1B365D"/>
          </w:tcPr>
          <w:p>
            <w:r/>
            <w:r>
              <w:rPr>
                <w:rFonts w:ascii="Inter" w:hAnsi="Inter" w:cs="Inter"/>
                <w:b/>
                <w:i w:val="0"/>
                <w:color w:val="FFFFFF"/>
                <w:sz w:val="19"/>
              </w:rPr>
              <w:t>Frequency</w:t>
            </w:r>
          </w:p>
        </w:tc>
      </w:tr>
      <w:tr>
        <w:tc>
          <w:tcPr>
            <w:tcW w:type="dxa" w:w="936"/>
          </w:tcPr>
          <w:p>
            <w:r/>
            <w:r>
              <w:rPr>
                <w:rFonts w:ascii="Inter" w:hAnsi="Inter" w:cs="Inter"/>
                <w:b w:val="0"/>
                <w:i w:val="0"/>
                <w:color w:val="2D2D2D"/>
                <w:sz w:val="19"/>
              </w:rPr>
              <w:t>OTP-01</w:t>
            </w:r>
          </w:p>
        </w:tc>
        <w:tc>
          <w:tcPr>
            <w:tcW w:type="dxa" w:w="936"/>
          </w:tcPr>
          <w:p>
            <w:r/>
            <w:r>
              <w:rPr>
                <w:rFonts w:ascii="Inter" w:hAnsi="Inter" w:cs="Inter"/>
                <w:b w:val="0"/>
                <w:i w:val="0"/>
                <w:color w:val="2D2D2D"/>
                <w:sz w:val="19"/>
              </w:rPr>
              <w:t>OBC communities profiled and data encoded</w:t>
            </w:r>
          </w:p>
        </w:tc>
        <w:tc>
          <w:tcPr>
            <w:tcW w:type="dxa" w:w="936"/>
          </w:tcPr>
          <w:p>
            <w:r/>
            <w:r>
              <w:rPr>
                <w:rFonts w:ascii="Inter" w:hAnsi="Inter" w:cs="Inter"/>
                <w:b w:val="0"/>
                <w:i w:val="0"/>
                <w:color w:val="2D2D2D"/>
                <w:sz w:val="19"/>
              </w:rPr>
              <w:t>OBC Community Profiling Program</w:t>
            </w:r>
          </w:p>
        </w:tc>
        <w:tc>
          <w:tcPr>
            <w:tcW w:type="dxa" w:w="936"/>
          </w:tcPr>
          <w:p>
            <w:r/>
            <w:r>
              <w:rPr>
                <w:rFonts w:ascii="Inter" w:hAnsi="Inter" w:cs="Inter"/>
                <w:b w:val="0"/>
                <w:i w:val="0"/>
                <w:color w:val="2D2D2D"/>
                <w:sz w:val="19"/>
              </w:rPr>
              <w:t>Count (cumulative)</w:t>
            </w:r>
          </w:p>
        </w:tc>
        <w:tc>
          <w:tcPr>
            <w:tcW w:type="dxa" w:w="936"/>
          </w:tcPr>
          <w:p>
            <w:r/>
            <w:r>
              <w:rPr>
                <w:rFonts w:ascii="Inter" w:hAnsi="Inter" w:cs="Inter"/>
                <w:b w:val="0"/>
                <w:i w:val="0"/>
                <w:color w:val="2D2D2D"/>
                <w:sz w:val="19"/>
              </w:rPr>
              <w:t>0</w:t>
            </w:r>
          </w:p>
        </w:tc>
        <w:tc>
          <w:tcPr>
            <w:tcW w:type="dxa" w:w="936"/>
          </w:tcPr>
          <w:p>
            <w:r/>
            <w:r>
              <w:rPr>
                <w:rFonts w:ascii="Inter" w:hAnsi="Inter" w:cs="Inter"/>
                <w:b w:val="0"/>
                <w:i w:val="0"/>
                <w:color w:val="2D2D2D"/>
                <w:sz w:val="19"/>
              </w:rPr>
              <w:t>50 communities</w:t>
            </w:r>
          </w:p>
        </w:tc>
        <w:tc>
          <w:tcPr>
            <w:tcW w:type="dxa" w:w="936"/>
          </w:tcPr>
          <w:p>
            <w:r/>
            <w:r>
              <w:rPr>
                <w:rFonts w:ascii="Inter" w:hAnsi="Inter" w:cs="Inter"/>
                <w:b w:val="0"/>
                <w:i w:val="0"/>
                <w:color w:val="2D2D2D"/>
                <w:sz w:val="19"/>
              </w:rPr>
              <w:t>120 communities</w:t>
            </w:r>
          </w:p>
        </w:tc>
        <w:tc>
          <w:tcPr>
            <w:tcW w:type="dxa" w:w="936"/>
          </w:tcPr>
          <w:p>
            <w:r/>
            <w:r>
              <w:rPr>
                <w:rFonts w:ascii="Inter" w:hAnsi="Inter" w:cs="Inter"/>
                <w:b w:val="0"/>
                <w:i w:val="0"/>
                <w:color w:val="2D2D2D"/>
                <w:sz w:val="19"/>
              </w:rPr>
              <w:t>200 communities</w:t>
            </w:r>
          </w:p>
        </w:tc>
        <w:tc>
          <w:tcPr>
            <w:tcW w:type="dxa" w:w="936"/>
          </w:tcPr>
          <w:p>
            <w:r/>
            <w:r>
              <w:rPr>
                <w:rFonts w:ascii="Inter" w:hAnsi="Inter" w:cs="Inter"/>
                <w:b w:val="0"/>
                <w:i w:val="0"/>
                <w:color w:val="2D2D2D"/>
                <w:sz w:val="19"/>
              </w:rPr>
              <w:t>OBC Needs Database</w:t>
            </w:r>
          </w:p>
        </w:tc>
        <w:tc>
          <w:tcPr>
            <w:tcW w:type="dxa" w:w="936"/>
          </w:tcPr>
          <w:p>
            <w:r/>
            <w:r>
              <w:rPr>
                <w:rFonts w:ascii="Inter" w:hAnsi="Inter" w:cs="Inter"/>
                <w:b w:val="0"/>
                <w:i w:val="0"/>
                <w:color w:val="2D2D2D"/>
                <w:sz w:val="19"/>
              </w:rPr>
              <w:t>Quarterly</w:t>
            </w:r>
          </w:p>
        </w:tc>
      </w:tr>
      <w:tr>
        <w:tc>
          <w:tcPr>
            <w:tcW w:type="dxa" w:w="936"/>
            <w:shd w:fill="F0F3F6"/>
          </w:tcPr>
          <w:p>
            <w:r/>
            <w:r>
              <w:rPr>
                <w:rFonts w:ascii="Inter" w:hAnsi="Inter" w:cs="Inter"/>
                <w:b w:val="0"/>
                <w:i w:val="0"/>
                <w:color w:val="2D2D2D"/>
                <w:sz w:val="19"/>
              </w:rPr>
              <w:t>OTP-02</w:t>
            </w:r>
          </w:p>
        </w:tc>
        <w:tc>
          <w:tcPr>
            <w:tcW w:type="dxa" w:w="936"/>
            <w:shd w:fill="F0F3F6"/>
          </w:tcPr>
          <w:p>
            <w:r/>
            <w:r>
              <w:rPr>
                <w:rFonts w:ascii="Inter" w:hAnsi="Inter" w:cs="Inter"/>
                <w:b w:val="0"/>
                <w:i w:val="0"/>
                <w:color w:val="2D2D2D"/>
                <w:sz w:val="19"/>
              </w:rPr>
              <w:t>MOUs/MOAs signed with LGUs</w:t>
            </w:r>
          </w:p>
        </w:tc>
        <w:tc>
          <w:tcPr>
            <w:tcW w:type="dxa" w:w="936"/>
            <w:shd w:fill="F0F3F6"/>
          </w:tcPr>
          <w:p>
            <w:r/>
            <w:r>
              <w:rPr>
                <w:rFonts w:ascii="Inter" w:hAnsi="Inter" w:cs="Inter"/>
                <w:b w:val="0"/>
                <w:i w:val="0"/>
                <w:color w:val="2D2D2D"/>
                <w:sz w:val="19"/>
              </w:rPr>
              <w:t>LGU/NGA Coordination Program</w:t>
            </w:r>
          </w:p>
        </w:tc>
        <w:tc>
          <w:tcPr>
            <w:tcW w:type="dxa" w:w="936"/>
            <w:shd w:fill="F0F3F6"/>
          </w:tcPr>
          <w:p>
            <w:r/>
            <w:r>
              <w:rPr>
                <w:rFonts w:ascii="Inter" w:hAnsi="Inter" w:cs="Inter"/>
                <w:b w:val="0"/>
                <w:i w:val="0"/>
                <w:color w:val="2D2D2D"/>
                <w:sz w:val="19"/>
              </w:rPr>
              <w:t>Count (cumulative)</w:t>
            </w:r>
          </w:p>
        </w:tc>
        <w:tc>
          <w:tcPr>
            <w:tcW w:type="dxa" w:w="936"/>
            <w:shd w:fill="F0F3F6"/>
          </w:tcPr>
          <w:p>
            <w:r/>
            <w:r>
              <w:rPr>
                <w:rFonts w:ascii="Inter" w:hAnsi="Inter" w:cs="Inter"/>
                <w:b w:val="0"/>
                <w:i w:val="0"/>
                <w:color w:val="2D2D2D"/>
                <w:sz w:val="19"/>
              </w:rPr>
              <w:t>0</w:t>
            </w:r>
          </w:p>
        </w:tc>
        <w:tc>
          <w:tcPr>
            <w:tcW w:type="dxa" w:w="936"/>
            <w:shd w:fill="F0F3F6"/>
          </w:tcPr>
          <w:p>
            <w:r/>
            <w:r>
              <w:rPr>
                <w:rFonts w:ascii="Inter" w:hAnsi="Inter" w:cs="Inter"/>
                <w:b w:val="0"/>
                <w:i w:val="0"/>
                <w:color w:val="2D2D2D"/>
                <w:sz w:val="19"/>
              </w:rPr>
              <w:t>5</w:t>
            </w:r>
          </w:p>
        </w:tc>
        <w:tc>
          <w:tcPr>
            <w:tcW w:type="dxa" w:w="936"/>
            <w:shd w:fill="F0F3F6"/>
          </w:tcPr>
          <w:p>
            <w:r/>
            <w:r>
              <w:rPr>
                <w:rFonts w:ascii="Inter" w:hAnsi="Inter" w:cs="Inter"/>
                <w:b w:val="0"/>
                <w:i w:val="0"/>
                <w:color w:val="2D2D2D"/>
                <w:sz w:val="19"/>
              </w:rPr>
              <w:t>10</w:t>
            </w:r>
          </w:p>
        </w:tc>
        <w:tc>
          <w:tcPr>
            <w:tcW w:type="dxa" w:w="936"/>
            <w:shd w:fill="F0F3F6"/>
          </w:tcPr>
          <w:p>
            <w:r/>
            <w:r>
              <w:rPr>
                <w:rFonts w:ascii="Inter" w:hAnsi="Inter" w:cs="Inter"/>
                <w:b w:val="0"/>
                <w:i w:val="0"/>
                <w:color w:val="2D2D2D"/>
                <w:sz w:val="19"/>
              </w:rPr>
              <w:t>15</w:t>
            </w:r>
          </w:p>
        </w:tc>
        <w:tc>
          <w:tcPr>
            <w:tcW w:type="dxa" w:w="936"/>
            <w:shd w:fill="F0F3F6"/>
          </w:tcPr>
          <w:p>
            <w:r/>
            <w:r>
              <w:rPr>
                <w:rFonts w:ascii="Inter" w:hAnsi="Inter" w:cs="Inter"/>
                <w:b w:val="0"/>
                <w:i w:val="0"/>
                <w:color w:val="2D2D2D"/>
                <w:sz w:val="19"/>
              </w:rPr>
              <w:t>OOBC partnership records</w:t>
            </w:r>
          </w:p>
        </w:tc>
        <w:tc>
          <w:tcPr>
            <w:tcW w:type="dxa" w:w="936"/>
            <w:shd w:fill="F0F3F6"/>
          </w:tcPr>
          <w:p>
            <w:r/>
            <w:r>
              <w:rPr>
                <w:rFonts w:ascii="Inter" w:hAnsi="Inter" w:cs="Inter"/>
                <w:b w:val="0"/>
                <w:i w:val="0"/>
                <w:color w:val="2D2D2D"/>
                <w:sz w:val="19"/>
              </w:rPr>
              <w:t>Quarterly</w:t>
            </w:r>
          </w:p>
        </w:tc>
      </w:tr>
      <w:tr>
        <w:tc>
          <w:tcPr>
            <w:tcW w:type="dxa" w:w="936"/>
          </w:tcPr>
          <w:p>
            <w:r/>
            <w:r>
              <w:rPr>
                <w:rFonts w:ascii="Inter" w:hAnsi="Inter" w:cs="Inter"/>
                <w:b w:val="0"/>
                <w:i w:val="0"/>
                <w:color w:val="2D2D2D"/>
                <w:sz w:val="19"/>
              </w:rPr>
              <w:t>OTP-03</w:t>
            </w:r>
          </w:p>
        </w:tc>
        <w:tc>
          <w:tcPr>
            <w:tcW w:type="dxa" w:w="936"/>
          </w:tcPr>
          <w:p>
            <w:r/>
            <w:r>
              <w:rPr>
                <w:rFonts w:ascii="Inter" w:hAnsi="Inter" w:cs="Inter"/>
                <w:b w:val="0"/>
                <w:i w:val="0"/>
                <w:color w:val="2D2D2D"/>
                <w:sz w:val="19"/>
              </w:rPr>
              <w:t>OOBC staff and partners trained in profiling, data management, and coordination</w:t>
            </w:r>
          </w:p>
        </w:tc>
        <w:tc>
          <w:tcPr>
            <w:tcW w:type="dxa" w:w="936"/>
          </w:tcPr>
          <w:p>
            <w:r/>
            <w:r>
              <w:rPr>
                <w:rFonts w:ascii="Inter" w:hAnsi="Inter" w:cs="Inter"/>
                <w:b w:val="0"/>
                <w:i w:val="0"/>
                <w:color w:val="2D2D2D"/>
                <w:sz w:val="19"/>
              </w:rPr>
              <w:t>Capacity-Building Program</w:t>
            </w:r>
          </w:p>
        </w:tc>
        <w:tc>
          <w:tcPr>
            <w:tcW w:type="dxa" w:w="936"/>
          </w:tcPr>
          <w:p>
            <w:r/>
            <w:r>
              <w:rPr>
                <w:rFonts w:ascii="Inter" w:hAnsi="Inter" w:cs="Inter"/>
                <w:b w:val="0"/>
                <w:i w:val="0"/>
                <w:color w:val="2D2D2D"/>
                <w:sz w:val="19"/>
              </w:rPr>
              <w:t>Count (cumulative)</w:t>
            </w:r>
          </w:p>
        </w:tc>
        <w:tc>
          <w:tcPr>
            <w:tcW w:type="dxa" w:w="936"/>
          </w:tcPr>
          <w:p>
            <w:r/>
            <w:r>
              <w:rPr>
                <w:rFonts w:ascii="Inter" w:hAnsi="Inter" w:cs="Inter"/>
                <w:b w:val="0"/>
                <w:i w:val="0"/>
                <w:color w:val="2D2D2D"/>
                <w:sz w:val="19"/>
              </w:rPr>
              <w:t>0</w:t>
            </w:r>
          </w:p>
        </w:tc>
        <w:tc>
          <w:tcPr>
            <w:tcW w:type="dxa" w:w="936"/>
          </w:tcPr>
          <w:p>
            <w:r/>
            <w:r>
              <w:rPr>
                <w:rFonts w:ascii="Inter" w:hAnsi="Inter" w:cs="Inter"/>
                <w:b w:val="0"/>
                <w:i w:val="0"/>
                <w:color w:val="2D2D2D"/>
                <w:sz w:val="19"/>
              </w:rPr>
              <w:t>20</w:t>
            </w:r>
          </w:p>
        </w:tc>
        <w:tc>
          <w:tcPr>
            <w:tcW w:type="dxa" w:w="936"/>
          </w:tcPr>
          <w:p>
            <w:r/>
            <w:r>
              <w:rPr>
                <w:rFonts w:ascii="Inter" w:hAnsi="Inter" w:cs="Inter"/>
                <w:b w:val="0"/>
                <w:i w:val="0"/>
                <w:color w:val="2D2D2D"/>
                <w:sz w:val="19"/>
              </w:rPr>
              <w:t>35</w:t>
            </w:r>
          </w:p>
        </w:tc>
        <w:tc>
          <w:tcPr>
            <w:tcW w:type="dxa" w:w="936"/>
          </w:tcPr>
          <w:p>
            <w:r/>
            <w:r>
              <w:rPr>
                <w:rFonts w:ascii="Inter" w:hAnsi="Inter" w:cs="Inter"/>
                <w:b w:val="0"/>
                <w:i w:val="0"/>
                <w:color w:val="2D2D2D"/>
                <w:sz w:val="19"/>
              </w:rPr>
              <w:t>45</w:t>
            </w:r>
          </w:p>
        </w:tc>
        <w:tc>
          <w:tcPr>
            <w:tcW w:type="dxa" w:w="936"/>
          </w:tcPr>
          <w:p>
            <w:r/>
            <w:r>
              <w:rPr>
                <w:rFonts w:ascii="Inter" w:hAnsi="Inter" w:cs="Inter"/>
                <w:b w:val="0"/>
                <w:i w:val="0"/>
                <w:color w:val="2D2D2D"/>
                <w:sz w:val="19"/>
              </w:rPr>
              <w:t>Training completion records</w:t>
            </w:r>
          </w:p>
        </w:tc>
        <w:tc>
          <w:tcPr>
            <w:tcW w:type="dxa" w:w="936"/>
          </w:tcPr>
          <w:p>
            <w:r/>
            <w:r>
              <w:rPr>
                <w:rFonts w:ascii="Inter" w:hAnsi="Inter" w:cs="Inter"/>
                <w:b w:val="0"/>
                <w:i w:val="0"/>
                <w:color w:val="2D2D2D"/>
                <w:sz w:val="19"/>
              </w:rPr>
              <w:t>Quarterly</w:t>
            </w:r>
          </w:p>
        </w:tc>
      </w:tr>
      <w:tr>
        <w:tc>
          <w:tcPr>
            <w:tcW w:type="dxa" w:w="936"/>
            <w:shd w:fill="F0F3F6"/>
          </w:tcPr>
          <w:p>
            <w:r/>
            <w:r>
              <w:rPr>
                <w:rFonts w:ascii="Inter" w:hAnsi="Inter" w:cs="Inter"/>
                <w:b w:val="0"/>
                <w:i w:val="0"/>
                <w:color w:val="2D2D2D"/>
                <w:sz w:val="19"/>
              </w:rPr>
              <w:t>OTP-04</w:t>
            </w:r>
          </w:p>
        </w:tc>
        <w:tc>
          <w:tcPr>
            <w:tcW w:type="dxa" w:w="936"/>
            <w:shd w:fill="F0F3F6"/>
          </w:tcPr>
          <w:p>
            <w:r/>
            <w:r>
              <w:rPr>
                <w:rFonts w:ascii="Inter" w:hAnsi="Inter" w:cs="Inter"/>
                <w:b w:val="0"/>
                <w:i w:val="0"/>
                <w:color w:val="2D2D2D"/>
                <w:sz w:val="19"/>
              </w:rPr>
              <w:t>FGDs conducted on OBC service access and policy needs</w:t>
            </w:r>
          </w:p>
        </w:tc>
        <w:tc>
          <w:tcPr>
            <w:tcW w:type="dxa" w:w="936"/>
            <w:shd w:fill="F0F3F6"/>
          </w:tcPr>
          <w:p>
            <w:r/>
            <w:r>
              <w:rPr>
                <w:rFonts w:ascii="Inter" w:hAnsi="Inter" w:cs="Inter"/>
                <w:b w:val="0"/>
                <w:i w:val="0"/>
                <w:color w:val="2D2D2D"/>
                <w:sz w:val="19"/>
              </w:rPr>
              <w:t>Advocacy and Information Program</w:t>
            </w:r>
          </w:p>
        </w:tc>
        <w:tc>
          <w:tcPr>
            <w:tcW w:type="dxa" w:w="936"/>
            <w:shd w:fill="F0F3F6"/>
          </w:tcPr>
          <w:p>
            <w:r/>
            <w:r>
              <w:rPr>
                <w:rFonts w:ascii="Inter" w:hAnsi="Inter" w:cs="Inter"/>
                <w:b w:val="0"/>
                <w:i w:val="0"/>
                <w:color w:val="2D2D2D"/>
                <w:sz w:val="19"/>
              </w:rPr>
              <w:t>Count (cumulative)</w:t>
            </w:r>
          </w:p>
        </w:tc>
        <w:tc>
          <w:tcPr>
            <w:tcW w:type="dxa" w:w="936"/>
            <w:shd w:fill="F0F3F6"/>
          </w:tcPr>
          <w:p>
            <w:r/>
            <w:r>
              <w:rPr>
                <w:rFonts w:ascii="Inter" w:hAnsi="Inter" w:cs="Inter"/>
                <w:b w:val="0"/>
                <w:i w:val="0"/>
                <w:color w:val="2D2D2D"/>
                <w:sz w:val="19"/>
              </w:rPr>
              <w:t>6 (FY 2026)</w:t>
            </w:r>
          </w:p>
        </w:tc>
        <w:tc>
          <w:tcPr>
            <w:tcW w:type="dxa" w:w="936"/>
            <w:shd w:fill="F0F3F6"/>
          </w:tcPr>
          <w:p>
            <w:r/>
            <w:r>
              <w:rPr>
                <w:rFonts w:ascii="Inter" w:hAnsi="Inter" w:cs="Inter"/>
                <w:b w:val="0"/>
                <w:i w:val="0"/>
                <w:color w:val="2D2D2D"/>
                <w:sz w:val="19"/>
              </w:rPr>
              <w:t>14</w:t>
            </w:r>
          </w:p>
        </w:tc>
        <w:tc>
          <w:tcPr>
            <w:tcW w:type="dxa" w:w="936"/>
            <w:shd w:fill="F0F3F6"/>
          </w:tcPr>
          <w:p>
            <w:r/>
            <w:r>
              <w:rPr>
                <w:rFonts w:ascii="Inter" w:hAnsi="Inter" w:cs="Inter"/>
                <w:b w:val="0"/>
                <w:i w:val="0"/>
                <w:color w:val="2D2D2D"/>
                <w:sz w:val="19"/>
              </w:rPr>
              <w:t>22</w:t>
            </w:r>
          </w:p>
        </w:tc>
        <w:tc>
          <w:tcPr>
            <w:tcW w:type="dxa" w:w="936"/>
            <w:shd w:fill="F0F3F6"/>
          </w:tcPr>
          <w:p>
            <w:r/>
            <w:r>
              <w:rPr>
                <w:rFonts w:ascii="Inter" w:hAnsi="Inter" w:cs="Inter"/>
                <w:b w:val="0"/>
                <w:i w:val="0"/>
                <w:color w:val="2D2D2D"/>
                <w:sz w:val="19"/>
              </w:rPr>
              <w:t>30</w:t>
            </w:r>
          </w:p>
        </w:tc>
        <w:tc>
          <w:tcPr>
            <w:tcW w:type="dxa" w:w="936"/>
            <w:shd w:fill="F0F3F6"/>
          </w:tcPr>
          <w:p>
            <w:r/>
            <w:r>
              <w:rPr>
                <w:rFonts w:ascii="Inter" w:hAnsi="Inter" w:cs="Inter"/>
                <w:b w:val="0"/>
                <w:i w:val="0"/>
                <w:color w:val="2D2D2D"/>
                <w:sz w:val="19"/>
              </w:rPr>
              <w:t>FGD documentation reports</w:t>
            </w:r>
          </w:p>
        </w:tc>
        <w:tc>
          <w:tcPr>
            <w:tcW w:type="dxa" w:w="936"/>
            <w:shd w:fill="F0F3F6"/>
          </w:tcPr>
          <w:p>
            <w:r/>
            <w:r>
              <w:rPr>
                <w:rFonts w:ascii="Inter" w:hAnsi="Inter" w:cs="Inter"/>
                <w:b w:val="0"/>
                <w:i w:val="0"/>
                <w:color w:val="2D2D2D"/>
                <w:sz w:val="19"/>
              </w:rPr>
              <w:t>Quarterly</w:t>
            </w:r>
          </w:p>
        </w:tc>
      </w:tr>
      <w:tr>
        <w:tc>
          <w:tcPr>
            <w:tcW w:type="dxa" w:w="936"/>
          </w:tcPr>
          <w:p>
            <w:r/>
            <w:r>
              <w:rPr>
                <w:rFonts w:ascii="Inter" w:hAnsi="Inter" w:cs="Inter"/>
                <w:b w:val="0"/>
                <w:i w:val="0"/>
                <w:color w:val="2D2D2D"/>
                <w:sz w:val="19"/>
              </w:rPr>
              <w:t>OTP-05</w:t>
            </w:r>
          </w:p>
        </w:tc>
        <w:tc>
          <w:tcPr>
            <w:tcW w:type="dxa" w:w="936"/>
          </w:tcPr>
          <w:p>
            <w:r/>
            <w:r>
              <w:rPr>
                <w:rFonts w:ascii="Inter" w:hAnsi="Inter" w:cs="Inter"/>
                <w:b w:val="0"/>
                <w:i w:val="0"/>
                <w:color w:val="2D2D2D"/>
                <w:sz w:val="19"/>
              </w:rPr>
              <w:t>IEC and advocacy materials produced and distributed</w:t>
            </w:r>
          </w:p>
        </w:tc>
        <w:tc>
          <w:tcPr>
            <w:tcW w:type="dxa" w:w="936"/>
          </w:tcPr>
          <w:p>
            <w:r/>
            <w:r>
              <w:rPr>
                <w:rFonts w:ascii="Inter" w:hAnsi="Inter" w:cs="Inter"/>
                <w:b w:val="0"/>
                <w:i w:val="0"/>
                <w:color w:val="2D2D2D"/>
                <w:sz w:val="19"/>
              </w:rPr>
              <w:t>Advocacy and Information Program</w:t>
            </w:r>
          </w:p>
        </w:tc>
        <w:tc>
          <w:tcPr>
            <w:tcW w:type="dxa" w:w="936"/>
          </w:tcPr>
          <w:p>
            <w:r/>
            <w:r>
              <w:rPr>
                <w:rFonts w:ascii="Inter" w:hAnsi="Inter" w:cs="Inter"/>
                <w:b w:val="0"/>
                <w:i w:val="0"/>
                <w:color w:val="2D2D2D"/>
                <w:sz w:val="19"/>
              </w:rPr>
              <w:t>Count (cumulative)</w:t>
            </w:r>
          </w:p>
        </w:tc>
        <w:tc>
          <w:tcPr>
            <w:tcW w:type="dxa" w:w="936"/>
          </w:tcPr>
          <w:p>
            <w:r/>
            <w:r>
              <w:rPr>
                <w:rFonts w:ascii="Inter" w:hAnsi="Inter" w:cs="Inter"/>
                <w:b w:val="0"/>
                <w:i w:val="0"/>
                <w:color w:val="2D2D2D"/>
                <w:sz w:val="19"/>
              </w:rPr>
              <w:t>0</w:t>
            </w:r>
          </w:p>
        </w:tc>
        <w:tc>
          <w:tcPr>
            <w:tcW w:type="dxa" w:w="936"/>
          </w:tcPr>
          <w:p>
            <w:r/>
            <w:r>
              <w:rPr>
                <w:rFonts w:ascii="Inter" w:hAnsi="Inter" w:cs="Inter"/>
                <w:b w:val="0"/>
                <w:i w:val="0"/>
                <w:color w:val="2D2D2D"/>
                <w:sz w:val="19"/>
              </w:rPr>
              <w:t>2,000</w:t>
            </w:r>
          </w:p>
        </w:tc>
        <w:tc>
          <w:tcPr>
            <w:tcW w:type="dxa" w:w="936"/>
          </w:tcPr>
          <w:p>
            <w:r/>
            <w:r>
              <w:rPr>
                <w:rFonts w:ascii="Inter" w:hAnsi="Inter" w:cs="Inter"/>
                <w:b w:val="0"/>
                <w:i w:val="0"/>
                <w:color w:val="2D2D2D"/>
                <w:sz w:val="19"/>
              </w:rPr>
              <w:t>5,000</w:t>
            </w:r>
          </w:p>
        </w:tc>
        <w:tc>
          <w:tcPr>
            <w:tcW w:type="dxa" w:w="936"/>
          </w:tcPr>
          <w:p>
            <w:r/>
            <w:r>
              <w:rPr>
                <w:rFonts w:ascii="Inter" w:hAnsi="Inter" w:cs="Inter"/>
                <w:b w:val="0"/>
                <w:i w:val="0"/>
                <w:color w:val="2D2D2D"/>
                <w:sz w:val="19"/>
              </w:rPr>
              <w:t>8,000</w:t>
            </w:r>
          </w:p>
        </w:tc>
        <w:tc>
          <w:tcPr>
            <w:tcW w:type="dxa" w:w="936"/>
          </w:tcPr>
          <w:p>
            <w:r/>
            <w:r>
              <w:rPr>
                <w:rFonts w:ascii="Inter" w:hAnsi="Inter" w:cs="Inter"/>
                <w:b w:val="0"/>
                <w:i w:val="0"/>
                <w:color w:val="2D2D2D"/>
                <w:sz w:val="19"/>
              </w:rPr>
              <w:t>Distribution records</w:t>
            </w:r>
          </w:p>
        </w:tc>
        <w:tc>
          <w:tcPr>
            <w:tcW w:type="dxa" w:w="936"/>
          </w:tcPr>
          <w:p>
            <w:r/>
            <w:r>
              <w:rPr>
                <w:rFonts w:ascii="Inter" w:hAnsi="Inter" w:cs="Inter"/>
                <w:b w:val="0"/>
                <w:i w:val="0"/>
                <w:color w:val="2D2D2D"/>
                <w:sz w:val="19"/>
              </w:rPr>
              <w:t>Quarterly</w:t>
            </w:r>
          </w:p>
        </w:tc>
      </w:tr>
    </w:tbl>
    <w:p/>
    <w:p>
      <w:pPr>
        <w:pStyle w:val="Heading3"/>
      </w:pPr>
      <w:r>
        <w:rPr>
          <w:rFonts w:ascii="Inter" w:hAnsi="Inter" w:cs="Inter"/>
          <w:b/>
          <w:i w:val="0"/>
          <w:color w:val="2C5F7C"/>
          <w:sz w:val="26"/>
        </w:rPr>
        <w:t>Reporting Schedule (OOBC)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Report</w:t>
            </w:r>
          </w:p>
        </w:tc>
        <w:tc>
          <w:tcPr>
            <w:tcW w:type="dxa" w:w="1872"/>
            <w:shd w:fill="1B365D"/>
          </w:tcPr>
          <w:p>
            <w:r/>
            <w:r>
              <w:rPr>
                <w:rFonts w:ascii="Inter" w:hAnsi="Inter" w:cs="Inter"/>
                <w:b/>
                <w:i w:val="0"/>
                <w:color w:val="FFFFFF"/>
                <w:sz w:val="19"/>
              </w:rPr>
              <w:t>Frequency</w:t>
            </w:r>
          </w:p>
        </w:tc>
        <w:tc>
          <w:tcPr>
            <w:tcW w:type="dxa" w:w="1872"/>
            <w:shd w:fill="1B365D"/>
          </w:tcPr>
          <w:p>
            <w:r/>
            <w:r>
              <w:rPr>
                <w:rFonts w:ascii="Inter" w:hAnsi="Inter" w:cs="Inter"/>
                <w:b/>
                <w:i w:val="0"/>
                <w:color w:val="FFFFFF"/>
                <w:sz w:val="19"/>
              </w:rPr>
              <w:t>Due Date</w:t>
            </w:r>
          </w:p>
        </w:tc>
        <w:tc>
          <w:tcPr>
            <w:tcW w:type="dxa" w:w="1872"/>
            <w:shd w:fill="1B365D"/>
          </w:tcPr>
          <w:p>
            <w:r/>
            <w:r>
              <w:rPr>
                <w:rFonts w:ascii="Inter" w:hAnsi="Inter" w:cs="Inter"/>
                <w:b/>
                <w:i w:val="0"/>
                <w:color w:val="FFFFFF"/>
                <w:sz w:val="19"/>
              </w:rPr>
              <w:t>Prepared By</w:t>
            </w:r>
          </w:p>
        </w:tc>
        <w:tc>
          <w:tcPr>
            <w:tcW w:type="dxa" w:w="1872"/>
            <w:shd w:fill="1B365D"/>
          </w:tcPr>
          <w:p>
            <w:r/>
            <w:r>
              <w:rPr>
                <w:rFonts w:ascii="Inter" w:hAnsi="Inter" w:cs="Inter"/>
                <w:b/>
                <w:i w:val="0"/>
                <w:color w:val="FFFFFF"/>
                <w:sz w:val="19"/>
              </w:rPr>
              <w:t>Submitted To</w:t>
            </w:r>
          </w:p>
        </w:tc>
      </w:tr>
      <w:tr>
        <w:tc>
          <w:tcPr>
            <w:tcW w:type="dxa" w:w="1872"/>
          </w:tcPr>
          <w:p>
            <w:r/>
            <w:r>
              <w:rPr>
                <w:rFonts w:ascii="Inter" w:hAnsi="Inter" w:cs="Inter"/>
                <w:b w:val="0"/>
                <w:i w:val="0"/>
                <w:color w:val="2D2D2D"/>
                <w:sz w:val="19"/>
              </w:rPr>
              <w:t>Monthly Progress Report</w:t>
            </w:r>
          </w:p>
        </w:tc>
        <w:tc>
          <w:tcPr>
            <w:tcW w:type="dxa" w:w="1872"/>
          </w:tcPr>
          <w:p>
            <w:r/>
            <w:r>
              <w:rPr>
                <w:rFonts w:ascii="Inter" w:hAnsi="Inter" w:cs="Inter"/>
                <w:b w:val="0"/>
                <w:i w:val="0"/>
                <w:color w:val="2D2D2D"/>
                <w:sz w:val="19"/>
              </w:rPr>
              <w:t>Monthly</w:t>
            </w:r>
          </w:p>
        </w:tc>
        <w:tc>
          <w:tcPr>
            <w:tcW w:type="dxa" w:w="1872"/>
          </w:tcPr>
          <w:p>
            <w:r/>
            <w:r>
              <w:rPr>
                <w:rFonts w:ascii="Inter" w:hAnsi="Inter" w:cs="Inter"/>
                <w:b w:val="0"/>
                <w:i w:val="0"/>
                <w:color w:val="2D2D2D"/>
                <w:sz w:val="19"/>
              </w:rPr>
              <w:t>5th working day of following month</w:t>
            </w:r>
          </w:p>
        </w:tc>
        <w:tc>
          <w:tcPr>
            <w:tcW w:type="dxa" w:w="1872"/>
          </w:tcPr>
          <w:p>
            <w:r/>
            <w:r>
              <w:rPr>
                <w:rFonts w:ascii="Inter" w:hAnsi="Inter" w:cs="Inter"/>
                <w:b w:val="0"/>
                <w:i w:val="0"/>
                <w:color w:val="2D2D2D"/>
                <w:sz w:val="19"/>
              </w:rPr>
              <w:t>Planning and M&amp;E Focal Person</w:t>
            </w:r>
          </w:p>
        </w:tc>
        <w:tc>
          <w:tcPr>
            <w:tcW w:type="dxa" w:w="1872"/>
          </w:tcPr>
          <w:p>
            <w:r/>
            <w:r>
              <w:rPr>
                <w:rFonts w:ascii="Inter" w:hAnsi="Inter" w:cs="Inter"/>
                <w:b w:val="0"/>
                <w:i w:val="0"/>
                <w:color w:val="2D2D2D"/>
                <w:sz w:val="19"/>
              </w:rPr>
              <w:t>Executive Director</w:t>
            </w:r>
          </w:p>
        </w:tc>
      </w:tr>
      <w:tr>
        <w:tc>
          <w:tcPr>
            <w:tcW w:type="dxa" w:w="1872"/>
            <w:shd w:fill="F0F3F6"/>
          </w:tcPr>
          <w:p>
            <w:r/>
            <w:r>
              <w:rPr>
                <w:rFonts w:ascii="Inter" w:hAnsi="Inter" w:cs="Inter"/>
                <w:b w:val="0"/>
                <w:i w:val="0"/>
                <w:color w:val="2D2D2D"/>
                <w:sz w:val="19"/>
              </w:rPr>
              <w:t>Quarterly Performance Report</w:t>
            </w:r>
          </w:p>
        </w:tc>
        <w:tc>
          <w:tcPr>
            <w:tcW w:type="dxa" w:w="1872"/>
            <w:shd w:fill="F0F3F6"/>
          </w:tcPr>
          <w:p>
            <w:r/>
            <w:r>
              <w:rPr>
                <w:rFonts w:ascii="Inter" w:hAnsi="Inter" w:cs="Inter"/>
                <w:b w:val="0"/>
                <w:i w:val="0"/>
                <w:color w:val="2D2D2D"/>
                <w:sz w:val="19"/>
              </w:rPr>
              <w:t>Quarterly</w:t>
            </w:r>
          </w:p>
        </w:tc>
        <w:tc>
          <w:tcPr>
            <w:tcW w:type="dxa" w:w="1872"/>
            <w:shd w:fill="F0F3F6"/>
          </w:tcPr>
          <w:p>
            <w:r/>
            <w:r>
              <w:rPr>
                <w:rFonts w:ascii="Inter" w:hAnsi="Inter" w:cs="Inter"/>
                <w:b w:val="0"/>
                <w:i w:val="0"/>
                <w:color w:val="2D2D2D"/>
                <w:sz w:val="19"/>
              </w:rPr>
              <w:t>15th working day after quarter end</w:t>
            </w:r>
          </w:p>
        </w:tc>
        <w:tc>
          <w:tcPr>
            <w:tcW w:type="dxa" w:w="1872"/>
            <w:shd w:fill="F0F3F6"/>
          </w:tcPr>
          <w:p>
            <w:r/>
            <w:r>
              <w:rPr>
                <w:rFonts w:ascii="Inter" w:hAnsi="Inter" w:cs="Inter"/>
                <w:b w:val="0"/>
                <w:i w:val="0"/>
                <w:color w:val="2D2D2D"/>
                <w:sz w:val="19"/>
              </w:rPr>
              <w:t>Planning and M&amp;E Focal Person</w:t>
            </w:r>
          </w:p>
        </w:tc>
        <w:tc>
          <w:tcPr>
            <w:tcW w:type="dxa" w:w="1872"/>
            <w:shd w:fill="F0F3F6"/>
          </w:tcPr>
          <w:p>
            <w:r/>
            <w:r>
              <w:rPr>
                <w:rFonts w:ascii="Inter" w:hAnsi="Inter" w:cs="Inter"/>
                <w:b w:val="0"/>
                <w:i w:val="0"/>
                <w:color w:val="2D2D2D"/>
                <w:sz w:val="19"/>
              </w:rPr>
              <w:t>Executive Director, OCM, BPDA</w:t>
            </w:r>
          </w:p>
        </w:tc>
      </w:tr>
      <w:tr>
        <w:tc>
          <w:tcPr>
            <w:tcW w:type="dxa" w:w="1872"/>
          </w:tcPr>
          <w:p>
            <w:r/>
            <w:r>
              <w:rPr>
                <w:rFonts w:ascii="Inter" w:hAnsi="Inter" w:cs="Inter"/>
                <w:b w:val="0"/>
                <w:i w:val="0"/>
                <w:color w:val="2D2D2D"/>
                <w:sz w:val="19"/>
              </w:rPr>
              <w:t>Annual Performance Report</w:t>
            </w:r>
          </w:p>
        </w:tc>
        <w:tc>
          <w:tcPr>
            <w:tcW w:type="dxa" w:w="1872"/>
          </w:tcPr>
          <w:p>
            <w:r/>
            <w:r>
              <w:rPr>
                <w:rFonts w:ascii="Inter" w:hAnsi="Inter" w:cs="Inter"/>
                <w:b w:val="0"/>
                <w:i w:val="0"/>
                <w:color w:val="2D2D2D"/>
                <w:sz w:val="19"/>
              </w:rPr>
              <w:t>Annually</w:t>
            </w:r>
          </w:p>
        </w:tc>
        <w:tc>
          <w:tcPr>
            <w:tcW w:type="dxa" w:w="1872"/>
          </w:tcPr>
          <w:p>
            <w:r/>
            <w:r>
              <w:rPr>
                <w:rFonts w:ascii="Inter" w:hAnsi="Inter" w:cs="Inter"/>
                <w:b w:val="0"/>
                <w:i w:val="0"/>
                <w:color w:val="2D2D2D"/>
                <w:sz w:val="19"/>
              </w:rPr>
              <w:t>January 31</w:t>
            </w:r>
          </w:p>
        </w:tc>
        <w:tc>
          <w:tcPr>
            <w:tcW w:type="dxa" w:w="1872"/>
          </w:tcPr>
          <w:p>
            <w:r/>
            <w:r>
              <w:rPr>
                <w:rFonts w:ascii="Inter" w:hAnsi="Inter" w:cs="Inter"/>
                <w:b w:val="0"/>
                <w:i w:val="0"/>
                <w:color w:val="2D2D2D"/>
                <w:sz w:val="19"/>
              </w:rPr>
              <w:t>Planning and M&amp;E Focal Person</w:t>
            </w:r>
          </w:p>
        </w:tc>
        <w:tc>
          <w:tcPr>
            <w:tcW w:type="dxa" w:w="1872"/>
          </w:tcPr>
          <w:p>
            <w:r/>
            <w:r>
              <w:rPr>
                <w:rFonts w:ascii="Inter" w:hAnsi="Inter" w:cs="Inter"/>
                <w:b w:val="0"/>
                <w:i w:val="0"/>
                <w:color w:val="2D2D2D"/>
                <w:sz w:val="19"/>
              </w:rPr>
              <w:t>Executive Director, BPDA, MFBM, OCM</w:t>
            </w:r>
          </w:p>
        </w:tc>
      </w:tr>
      <w:tr>
        <w:tc>
          <w:tcPr>
            <w:tcW w:type="dxa" w:w="1872"/>
            <w:shd w:fill="F0F3F6"/>
          </w:tcPr>
          <w:p>
            <w:r/>
            <w:r>
              <w:rPr>
                <w:rFonts w:ascii="Inter" w:hAnsi="Inter" w:cs="Inter"/>
                <w:b w:val="0"/>
                <w:i w:val="0"/>
                <w:color w:val="2D2D2D"/>
                <w:sz w:val="19"/>
              </w:rPr>
              <w:t>Mid-Term Review</w:t>
            </w:r>
          </w:p>
        </w:tc>
        <w:tc>
          <w:tcPr>
            <w:tcW w:type="dxa" w:w="1872"/>
            <w:shd w:fill="F0F3F6"/>
          </w:tcPr>
          <w:p>
            <w:r/>
            <w:r>
              <w:rPr>
                <w:rFonts w:ascii="Inter" w:hAnsi="Inter" w:cs="Inter"/>
                <w:b w:val="0"/>
                <w:i w:val="0"/>
                <w:color w:val="2D2D2D"/>
                <w:sz w:val="19"/>
              </w:rPr>
              <w:t>Once (Month 18)</w:t>
            </w:r>
          </w:p>
        </w:tc>
        <w:tc>
          <w:tcPr>
            <w:tcW w:type="dxa" w:w="1872"/>
            <w:shd w:fill="F0F3F6"/>
          </w:tcPr>
          <w:p>
            <w:r/>
            <w:r>
              <w:rPr>
                <w:rFonts w:ascii="Inter" w:hAnsi="Inter" w:cs="Inter"/>
                <w:b w:val="0"/>
                <w:i w:val="0"/>
                <w:color w:val="2D2D2D"/>
                <w:sz w:val="19"/>
              </w:rPr>
              <w:t>April Year 2</w:t>
            </w:r>
          </w:p>
        </w:tc>
        <w:tc>
          <w:tcPr>
            <w:tcW w:type="dxa" w:w="1872"/>
            <w:shd w:fill="F0F3F6"/>
          </w:tcPr>
          <w:p>
            <w:r/>
            <w:r>
              <w:rPr>
                <w:rFonts w:ascii="Inter" w:hAnsi="Inter" w:cs="Inter"/>
                <w:b w:val="0"/>
                <w:i w:val="0"/>
                <w:color w:val="2D2D2D"/>
                <w:sz w:val="19"/>
              </w:rPr>
              <w:t>External evaluator + Planning and M&amp;E Focal Person</w:t>
            </w:r>
          </w:p>
        </w:tc>
        <w:tc>
          <w:tcPr>
            <w:tcW w:type="dxa" w:w="1872"/>
            <w:shd w:fill="F0F3F6"/>
          </w:tcPr>
          <w:p>
            <w:r/>
            <w:r>
              <w:rPr>
                <w:rFonts w:ascii="Inter" w:hAnsi="Inter" w:cs="Inter"/>
                <w:b w:val="0"/>
                <w:i w:val="0"/>
                <w:color w:val="2D2D2D"/>
                <w:sz w:val="19"/>
              </w:rPr>
              <w:t>Executive Director, OCM</w:t>
            </w:r>
          </w:p>
        </w:tc>
      </w:tr>
      <w:tr>
        <w:tc>
          <w:tcPr>
            <w:tcW w:type="dxa" w:w="1872"/>
          </w:tcPr>
          <w:p>
            <w:r/>
            <w:r>
              <w:rPr>
                <w:rFonts w:ascii="Inter" w:hAnsi="Inter" w:cs="Inter"/>
                <w:b w:val="0"/>
                <w:i w:val="0"/>
                <w:color w:val="2D2D2D"/>
                <w:sz w:val="19"/>
              </w:rPr>
              <w:t>End-of-Plan Evaluation</w:t>
            </w:r>
          </w:p>
        </w:tc>
        <w:tc>
          <w:tcPr>
            <w:tcW w:type="dxa" w:w="1872"/>
          </w:tcPr>
          <w:p>
            <w:r/>
            <w:r>
              <w:rPr>
                <w:rFonts w:ascii="Inter" w:hAnsi="Inter" w:cs="Inter"/>
                <w:b w:val="0"/>
                <w:i w:val="0"/>
                <w:color w:val="2D2D2D"/>
                <w:sz w:val="19"/>
              </w:rPr>
              <w:t>Once (final quarter)</w:t>
            </w:r>
          </w:p>
        </w:tc>
        <w:tc>
          <w:tcPr>
            <w:tcW w:type="dxa" w:w="1872"/>
          </w:tcPr>
          <w:p>
            <w:r/>
            <w:r>
              <w:rPr>
                <w:rFonts w:ascii="Inter" w:hAnsi="Inter" w:cs="Inter"/>
                <w:b w:val="0"/>
                <w:i w:val="0"/>
                <w:color w:val="2D2D2D"/>
                <w:sz w:val="19"/>
              </w:rPr>
              <w:t>Q4 Year 3</w:t>
            </w:r>
          </w:p>
        </w:tc>
        <w:tc>
          <w:tcPr>
            <w:tcW w:type="dxa" w:w="1872"/>
          </w:tcPr>
          <w:p>
            <w:r/>
            <w:r>
              <w:rPr>
                <w:rFonts w:ascii="Inter" w:hAnsi="Inter" w:cs="Inter"/>
                <w:b w:val="0"/>
                <w:i w:val="0"/>
                <w:color w:val="2D2D2D"/>
                <w:sz w:val="19"/>
              </w:rPr>
              <w:t>External evaluator</w:t>
            </w:r>
          </w:p>
        </w:tc>
        <w:tc>
          <w:tcPr>
            <w:tcW w:type="dxa" w:w="1872"/>
          </w:tcPr>
          <w:p>
            <w:r/>
            <w:r>
              <w:rPr>
                <w:rFonts w:ascii="Inter" w:hAnsi="Inter" w:cs="Inter"/>
                <w:b w:val="0"/>
                <w:i w:val="0"/>
                <w:color w:val="2D2D2D"/>
                <w:sz w:val="19"/>
              </w:rPr>
              <w:t>Executive Director, OCM, BPDA</w:t>
            </w:r>
          </w:p>
        </w:tc>
      </w:tr>
    </w:tbl>
    <w:p/>
    <w:p>
      <w:pPr>
        <w:pStyle w:val="Heading3"/>
      </w:pPr>
      <w:r>
        <w:rPr>
          <w:rFonts w:ascii="Inter" w:hAnsi="Inter" w:cs="Inter"/>
          <w:b/>
          <w:i w:val="0"/>
          <w:color w:val="2C5F7C"/>
          <w:sz w:val="26"/>
        </w:rPr>
        <w:t>Adaptive Management Trigger Example</w:t>
      </w:r>
    </w:p>
    <w:p>
      <w:pPr>
        <w:spacing w:after="120" w:line="276" w:lineRule="auto"/>
      </w:pPr>
      <w:r>
        <w:rPr>
          <w:rFonts w:ascii="Inter" w:hAnsi="Inter" w:cs="Inter"/>
          <w:b w:val="0"/>
          <w:i w:val="0"/>
          <w:color w:val="2D2D2D"/>
          <w:sz w:val="22"/>
        </w:rPr>
      </w:r>
      <w:r>
        <w:rPr>
          <w:rFonts w:ascii="Inter" w:hAnsi="Inter" w:cs="Inter"/>
          <w:b/>
          <w:i w:val="0"/>
          <w:color w:val="2D2D2D"/>
          <w:sz w:val="22"/>
        </w:rPr>
        <w:t>Trigger:</w:t>
      </w:r>
      <w:r>
        <w:rPr>
          <w:rFonts w:ascii="Inter" w:hAnsi="Inter" w:cs="Inter"/>
          <w:b w:val="0"/>
          <w:i w:val="0"/>
          <w:color w:val="2D2D2D"/>
          <w:sz w:val="22"/>
        </w:rPr>
        <w:t xml:space="preserve"> If indicator OTP-01 (OBC Communities Profiled) achieves less than 50% of its quarterly target for two consecutive quarters, the Programs Division Chief must convene a review within 10 working days, identify the root cause (LGU coordination failure, staffing gaps, travel constraints), develop a corrective action plan with deadlines and responsible officers, and submit the plan to the Executive Director within 15 working days.</w:t>
      </w:r>
    </w:p>
    <w:p>
      <w:pPr>
        <w:spacing w:after="120" w:line="276" w:lineRule="auto"/>
      </w:pPr>
      <w:r>
        <w:rPr>
          <w:rFonts w:ascii="Inter" w:hAnsi="Inter" w:cs="Inter"/>
          <w:b w:val="0"/>
          <w:i w:val="0"/>
          <w:color w:val="2D2D2D"/>
          <w:sz w:val="22"/>
        </w:rPr>
        <w:t>In FY 2026, OOBC's community profiling in Davao del Norte fell behind schedule because no formal coordination agreement was in place with the provincial LGU, and field teams arrived without advance notice. With this trigger, review would have occurred in Q2, allowing OOBC to formalize the LGU relationship and resume profiling in Q3 rather than losing the entire year.</w:t>
      </w:r>
    </w:p>
    <w:p>
      <w:pPr>
        <w:pStyle w:val="Heading3"/>
      </w:pPr>
      <w:r>
        <w:rPr>
          <w:rFonts w:ascii="Inter" w:hAnsi="Inter" w:cs="Inter"/>
          <w:b/>
          <w:i w:val="0"/>
          <w:color w:val="2C5F7C"/>
          <w:sz w:val="26"/>
        </w:rPr>
        <w:t>Partially Filled M&amp;E Framework (OOBC)</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Results Level</w:t>
            </w:r>
          </w:p>
        </w:tc>
        <w:tc>
          <w:tcPr>
            <w:tcW w:type="dxa" w:w="936"/>
            <w:shd w:fill="1B365D"/>
          </w:tcPr>
          <w:p>
            <w:r/>
            <w:r>
              <w:rPr>
                <w:rFonts w:ascii="Inter" w:hAnsi="Inter" w:cs="Inter"/>
                <w:b/>
                <w:i w:val="0"/>
                <w:color w:val="FFFFFF"/>
                <w:sz w:val="19"/>
              </w:rPr>
              <w:t>Statement (from ToC)</w:t>
            </w:r>
          </w:p>
        </w:tc>
        <w:tc>
          <w:tcPr>
            <w:tcW w:type="dxa" w:w="936"/>
            <w:shd w:fill="1B365D"/>
          </w:tcPr>
          <w:p>
            <w:r/>
            <w:r>
              <w:rPr>
                <w:rFonts w:ascii="Inter" w:hAnsi="Inter" w:cs="Inter"/>
                <w:b/>
                <w:i w:val="0"/>
                <w:color w:val="FFFFFF"/>
                <w:sz w:val="19"/>
              </w:rPr>
              <w:t>Indicator</w:t>
            </w:r>
          </w:p>
        </w:tc>
        <w:tc>
          <w:tcPr>
            <w:tcW w:type="dxa" w:w="936"/>
            <w:shd w:fill="1B365D"/>
          </w:tcPr>
          <w:p>
            <w:r/>
            <w:r>
              <w:rPr>
                <w:rFonts w:ascii="Inter" w:hAnsi="Inter" w:cs="Inter"/>
                <w:b/>
                <w:i w:val="0"/>
                <w:color w:val="FFFFFF"/>
                <w:sz w:val="19"/>
              </w:rPr>
              <w:t>Baseline</w:t>
            </w:r>
          </w:p>
        </w:tc>
        <w:tc>
          <w:tcPr>
            <w:tcW w:type="dxa" w:w="936"/>
            <w:shd w:fill="1B365D"/>
          </w:tcPr>
          <w:p>
            <w:r/>
            <w:r>
              <w:rPr>
                <w:rFonts w:ascii="Inter" w:hAnsi="Inter" w:cs="Inter"/>
                <w:b/>
                <w:i w:val="0"/>
                <w:color w:val="FFFFFF"/>
                <w:sz w:val="19"/>
              </w:rPr>
              <w:t>Yr 1 Target</w:t>
            </w:r>
          </w:p>
        </w:tc>
        <w:tc>
          <w:tcPr>
            <w:tcW w:type="dxa" w:w="936"/>
            <w:shd w:fill="1B365D"/>
          </w:tcPr>
          <w:p>
            <w:r/>
            <w:r>
              <w:rPr>
                <w:rFonts w:ascii="Inter" w:hAnsi="Inter" w:cs="Inter"/>
                <w:b/>
                <w:i w:val="0"/>
                <w:color w:val="FFFFFF"/>
                <w:sz w:val="19"/>
              </w:rPr>
              <w:t>Yr 2 Target</w:t>
            </w:r>
          </w:p>
        </w:tc>
        <w:tc>
          <w:tcPr>
            <w:tcW w:type="dxa" w:w="936"/>
            <w:shd w:fill="1B365D"/>
          </w:tcPr>
          <w:p>
            <w:r/>
            <w:r>
              <w:rPr>
                <w:rFonts w:ascii="Inter" w:hAnsi="Inter" w:cs="Inter"/>
                <w:b/>
                <w:i w:val="0"/>
                <w:color w:val="FFFFFF"/>
                <w:sz w:val="19"/>
              </w:rPr>
              <w:t>Yr 3 Target</w:t>
            </w:r>
          </w:p>
        </w:tc>
        <w:tc>
          <w:tcPr>
            <w:tcW w:type="dxa" w:w="936"/>
            <w:shd w:fill="1B365D"/>
          </w:tcPr>
          <w:p>
            <w:r/>
            <w:r>
              <w:rPr>
                <w:rFonts w:ascii="Inter" w:hAnsi="Inter" w:cs="Inter"/>
                <w:b/>
                <w:i w:val="0"/>
                <w:color w:val="FFFFFF"/>
                <w:sz w:val="19"/>
              </w:rPr>
              <w:t>Data Source</w:t>
            </w:r>
          </w:p>
        </w:tc>
        <w:tc>
          <w:tcPr>
            <w:tcW w:type="dxa" w:w="936"/>
            <w:shd w:fill="1B365D"/>
          </w:tcPr>
          <w:p>
            <w:r/>
            <w:r>
              <w:rPr>
                <w:rFonts w:ascii="Inter" w:hAnsi="Inter" w:cs="Inter"/>
                <w:b/>
                <w:i w:val="0"/>
                <w:color w:val="FFFFFF"/>
                <w:sz w:val="19"/>
              </w:rPr>
              <w:t>Frequency</w:t>
            </w:r>
          </w:p>
        </w:tc>
        <w:tc>
          <w:tcPr>
            <w:tcW w:type="dxa" w:w="936"/>
            <w:shd w:fill="1B365D"/>
          </w:tcPr>
          <w:p>
            <w:r/>
            <w:r>
              <w:rPr>
                <w:rFonts w:ascii="Inter" w:hAnsi="Inter" w:cs="Inter"/>
                <w:b/>
                <w:i w:val="0"/>
                <w:color w:val="FFFFFF"/>
                <w:sz w:val="19"/>
              </w:rPr>
              <w:t>Responsible</w:t>
            </w:r>
          </w:p>
        </w:tc>
      </w:tr>
      <w:tr>
        <w:tc>
          <w:tcPr>
            <w:tcW w:type="dxa" w:w="936"/>
          </w:tcPr>
          <w:p>
            <w:r/>
            <w:r>
              <w:rPr>
                <w:rFonts w:ascii="Inter" w:hAnsi="Inter" w:cs="Inter"/>
                <w:b w:val="0"/>
                <w:i w:val="0"/>
                <w:color w:val="2D2D2D"/>
                <w:sz w:val="19"/>
              </w:rPr>
              <w:t>**Impact**</w:t>
            </w:r>
          </w:p>
        </w:tc>
        <w:tc>
          <w:tcPr>
            <w:tcW w:type="dxa" w:w="936"/>
          </w:tcPr>
          <w:p>
            <w:r/>
            <w:r>
              <w:rPr>
                <w:rFonts w:ascii="Inter" w:hAnsi="Inter" w:cs="Inter"/>
                <w:b w:val="0"/>
                <w:i w:val="0"/>
                <w:color w:val="2D2D2D"/>
                <w:sz w:val="19"/>
              </w:rPr>
              <w:t>All Bangsamoro communities outside BARMM have equitable, documented access to BARMM programs and services</w:t>
            </w:r>
          </w:p>
        </w:tc>
        <w:tc>
          <w:tcPr>
            <w:tcW w:type="dxa" w:w="936"/>
          </w:tcPr>
          <w:p>
            <w:r/>
            <w:r>
              <w:rPr>
                <w:rFonts w:ascii="Inter" w:hAnsi="Inter" w:cs="Inter"/>
                <w:b w:val="0"/>
                <w:i w:val="0"/>
                <w:color w:val="2D2D2D"/>
                <w:sz w:val="19"/>
              </w:rPr>
              <w:t>IMP-01: % of OBC communities with documented BARMM service access</w:t>
            </w:r>
          </w:p>
        </w:tc>
        <w:tc>
          <w:tcPr>
            <w:tcW w:type="dxa" w:w="936"/>
          </w:tcPr>
          <w:p>
            <w:r/>
            <w:r>
              <w:rPr>
                <w:rFonts w:ascii="Inter" w:hAnsi="Inter" w:cs="Inter"/>
                <w:b w:val="0"/>
                <w:i w:val="0"/>
                <w:color w:val="2D2D2D"/>
                <w:sz w:val="19"/>
              </w:rPr>
              <w:t>TBD (Jun 2026)</w:t>
            </w:r>
          </w:p>
        </w:tc>
        <w:tc>
          <w:tcPr>
            <w:tcW w:type="dxa" w:w="936"/>
          </w:tcPr>
          <w:p>
            <w:r/>
            <w:r>
              <w:rPr>
                <w:rFonts w:ascii="Inter" w:hAnsi="Inter" w:cs="Inter"/>
                <w:b w:val="0"/>
                <w:i w:val="0"/>
                <w:color w:val="2D2D2D"/>
                <w:sz w:val="19"/>
              </w:rPr>
              <w:t>15%</w:t>
            </w:r>
          </w:p>
        </w:tc>
        <w:tc>
          <w:tcPr>
            <w:tcW w:type="dxa" w:w="936"/>
          </w:tcPr>
          <w:p>
            <w:r/>
            <w:r>
              <w:rPr>
                <w:rFonts w:ascii="Inter" w:hAnsi="Inter" w:cs="Inter"/>
                <w:b w:val="0"/>
                <w:i w:val="0"/>
                <w:color w:val="2D2D2D"/>
                <w:sz w:val="19"/>
              </w:rPr>
              <w:t>30%</w:t>
            </w:r>
          </w:p>
        </w:tc>
        <w:tc>
          <w:tcPr>
            <w:tcW w:type="dxa" w:w="936"/>
          </w:tcPr>
          <w:p>
            <w:r/>
            <w:r>
              <w:rPr>
                <w:rFonts w:ascii="Inter" w:hAnsi="Inter" w:cs="Inter"/>
                <w:b w:val="0"/>
                <w:i w:val="0"/>
                <w:color w:val="2D2D2D"/>
                <w:sz w:val="19"/>
              </w:rPr>
              <w:t>50%</w:t>
            </w:r>
          </w:p>
        </w:tc>
        <w:tc>
          <w:tcPr>
            <w:tcW w:type="dxa" w:w="936"/>
          </w:tcPr>
          <w:p>
            <w:r/>
            <w:r>
              <w:rPr>
                <w:rFonts w:ascii="Inter" w:hAnsi="Inter" w:cs="Inter"/>
                <w:b w:val="0"/>
                <w:i w:val="0"/>
                <w:color w:val="2D2D2D"/>
                <w:sz w:val="19"/>
              </w:rPr>
              <w:t>OOBC Service Access Registry</w:t>
            </w:r>
          </w:p>
        </w:tc>
        <w:tc>
          <w:tcPr>
            <w:tcW w:type="dxa" w:w="936"/>
          </w:tcPr>
          <w:p>
            <w:r/>
            <w:r>
              <w:rPr>
                <w:rFonts w:ascii="Inter" w:hAnsi="Inter" w:cs="Inter"/>
                <w:b w:val="0"/>
                <w:i w:val="0"/>
                <w:color w:val="2D2D2D"/>
                <w:sz w:val="19"/>
              </w:rPr>
              <w:t>Annually</w:t>
            </w:r>
          </w:p>
        </w:tc>
        <w:tc>
          <w:tcPr>
            <w:tcW w:type="dxa" w:w="936"/>
          </w:tcPr>
          <w:p>
            <w:r/>
            <w:r>
              <w:rPr>
                <w:rFonts w:ascii="Inter" w:hAnsi="Inter" w:cs="Inter"/>
                <w:b w:val="0"/>
                <w:i w:val="0"/>
                <w:color w:val="2D2D2D"/>
                <w:sz w:val="19"/>
              </w:rPr>
              <w:t>Planning and M&amp;E Focal Person</w:t>
            </w:r>
          </w:p>
        </w:tc>
      </w:tr>
      <w:tr>
        <w:tc>
          <w:tcPr>
            <w:tcW w:type="dxa" w:w="936"/>
            <w:shd w:fill="F0F3F6"/>
          </w:tcPr>
          <w:p>
            <w:r/>
            <w:r>
              <w:rPr>
                <w:rFonts w:ascii="Inter" w:hAnsi="Inter" w:cs="Inter"/>
                <w:b w:val="0"/>
                <w:i w:val="0"/>
                <w:color w:val="2D2D2D"/>
                <w:sz w:val="19"/>
              </w:rPr>
              <w:t>**Medium-Term Outcome 1**</w:t>
            </w:r>
          </w:p>
        </w:tc>
        <w:tc>
          <w:tcPr>
            <w:tcW w:type="dxa" w:w="936"/>
            <w:shd w:fill="F0F3F6"/>
          </w:tcPr>
          <w:p>
            <w:r/>
            <w:r>
              <w:rPr>
                <w:rFonts w:ascii="Inter" w:hAnsi="Inter" w:cs="Inter"/>
                <w:b w:val="0"/>
                <w:i w:val="0"/>
                <w:color w:val="2D2D2D"/>
                <w:sz w:val="19"/>
              </w:rPr>
              <w:t>Comprehensive OBC community database established and integrated into planning</w:t>
            </w:r>
          </w:p>
        </w:tc>
        <w:tc>
          <w:tcPr>
            <w:tcW w:type="dxa" w:w="936"/>
            <w:shd w:fill="F0F3F6"/>
          </w:tcPr>
          <w:p>
            <w:r/>
            <w:r>
              <w:rPr>
                <w:rFonts w:ascii="Inter" w:hAnsi="Inter" w:cs="Inter"/>
                <w:b w:val="0"/>
                <w:i w:val="0"/>
                <w:color w:val="2D2D2D"/>
                <w:sz w:val="19"/>
              </w:rPr>
              <w:t>OUT-01: % of target provinces with completed OBC profiles</w:t>
            </w:r>
          </w:p>
        </w:tc>
        <w:tc>
          <w:tcPr>
            <w:tcW w:type="dxa" w:w="936"/>
            <w:shd w:fill="F0F3F6"/>
          </w:tcPr>
          <w:p>
            <w:r/>
            <w:r>
              <w:rPr>
                <w:rFonts w:ascii="Inter" w:hAnsi="Inter" w:cs="Inter"/>
                <w:b w:val="0"/>
                <w:i w:val="0"/>
                <w:color w:val="2D2D2D"/>
                <w:sz w:val="19"/>
              </w:rPr>
              <w:t>0% (FY 2025)</w:t>
            </w:r>
          </w:p>
        </w:tc>
        <w:tc>
          <w:tcPr>
            <w:tcW w:type="dxa" w:w="936"/>
            <w:shd w:fill="F0F3F6"/>
          </w:tcPr>
          <w:p>
            <w:r/>
            <w:r>
              <w:rPr>
                <w:rFonts w:ascii="Inter" w:hAnsi="Inter" w:cs="Inter"/>
                <w:b w:val="0"/>
                <w:i w:val="0"/>
                <w:color w:val="2D2D2D"/>
                <w:sz w:val="19"/>
              </w:rPr>
              <w:t>40%</w:t>
            </w:r>
          </w:p>
        </w:tc>
        <w:tc>
          <w:tcPr>
            <w:tcW w:type="dxa" w:w="936"/>
            <w:shd w:fill="F0F3F6"/>
          </w:tcPr>
          <w:p>
            <w:r/>
            <w:r>
              <w:rPr>
                <w:rFonts w:ascii="Inter" w:hAnsi="Inter" w:cs="Inter"/>
                <w:b w:val="0"/>
                <w:i w:val="0"/>
                <w:color w:val="2D2D2D"/>
                <w:sz w:val="19"/>
              </w:rPr>
              <w:t>75%</w:t>
            </w:r>
          </w:p>
        </w:tc>
        <w:tc>
          <w:tcPr>
            <w:tcW w:type="dxa" w:w="936"/>
            <w:shd w:fill="F0F3F6"/>
          </w:tcPr>
          <w:p>
            <w:r/>
            <w:r>
              <w:rPr>
                <w:rFonts w:ascii="Inter" w:hAnsi="Inter" w:cs="Inter"/>
                <w:b w:val="0"/>
                <w:i w:val="0"/>
                <w:color w:val="2D2D2D"/>
                <w:sz w:val="19"/>
              </w:rPr>
              <w:t>100%</w:t>
            </w:r>
          </w:p>
        </w:tc>
        <w:tc>
          <w:tcPr>
            <w:tcW w:type="dxa" w:w="936"/>
            <w:shd w:fill="F0F3F6"/>
          </w:tcPr>
          <w:p>
            <w:r/>
            <w:r>
              <w:rPr>
                <w:rFonts w:ascii="Inter" w:hAnsi="Inter" w:cs="Inter"/>
                <w:b w:val="0"/>
                <w:i w:val="0"/>
                <w:color w:val="2D2D2D"/>
                <w:sz w:val="19"/>
              </w:rPr>
              <w:t>OBC Needs Database</w:t>
            </w:r>
          </w:p>
        </w:tc>
        <w:tc>
          <w:tcPr>
            <w:tcW w:type="dxa" w:w="936"/>
            <w:shd w:fill="F0F3F6"/>
          </w:tcPr>
          <w:p>
            <w:r/>
            <w:r>
              <w:rPr>
                <w:rFonts w:ascii="Inter" w:hAnsi="Inter" w:cs="Inter"/>
                <w:b w:val="0"/>
                <w:i w:val="0"/>
                <w:color w:val="2D2D2D"/>
                <w:sz w:val="19"/>
              </w:rPr>
              <w:t>Quarterly</w:t>
            </w:r>
          </w:p>
        </w:tc>
        <w:tc>
          <w:tcPr>
            <w:tcW w:type="dxa" w:w="936"/>
            <w:shd w:fill="F0F3F6"/>
          </w:tcPr>
          <w:p>
            <w:r/>
            <w:r>
              <w:rPr>
                <w:rFonts w:ascii="Inter" w:hAnsi="Inter" w:cs="Inter"/>
                <w:b w:val="0"/>
                <w:i w:val="0"/>
                <w:color w:val="2D2D2D"/>
                <w:sz w:val="19"/>
              </w:rPr>
              <w:t>Programs Division Chief</w:t>
            </w:r>
          </w:p>
        </w:tc>
      </w:tr>
      <w:tr>
        <w:tc>
          <w:tcPr>
            <w:tcW w:type="dxa" w:w="936"/>
          </w:tcPr>
          <w:p>
            <w:r/>
            <w:r>
              <w:rPr>
                <w:rFonts w:ascii="Inter" w:hAnsi="Inter" w:cs="Inter"/>
                <w:b w:val="0"/>
                <w:i w:val="0"/>
                <w:color w:val="2D2D2D"/>
                <w:sz w:val="19"/>
              </w:rPr>
              <w:t>**Medium-Term Outcome 2**</w:t>
            </w:r>
          </w:p>
        </w:tc>
        <w:tc>
          <w:tcPr>
            <w:tcW w:type="dxa" w:w="936"/>
          </w:tcPr>
          <w:p>
            <w:r/>
            <w:r>
              <w:rPr>
                <w:rFonts w:ascii="Inter" w:hAnsi="Inter" w:cs="Inter"/>
                <w:b w:val="0"/>
                <w:i w:val="0"/>
                <w:color w:val="2D2D2D"/>
                <w:sz w:val="19"/>
              </w:rPr>
              <w:t>Formalized coordination mechanisms with LGUs and NGAs</w:t>
            </w:r>
          </w:p>
        </w:tc>
        <w:tc>
          <w:tcPr>
            <w:tcW w:type="dxa" w:w="936"/>
          </w:tcPr>
          <w:p>
            <w:r/>
            <w:r>
              <w:rPr>
                <w:rFonts w:ascii="Inter" w:hAnsi="Inter" w:cs="Inter"/>
                <w:b w:val="0"/>
                <w:i w:val="0"/>
                <w:color w:val="2D2D2D"/>
                <w:sz w:val="19"/>
              </w:rPr>
              <w:t>OUT-02: MOUs/MOAs signed with LGUs and NGAs</w:t>
            </w:r>
          </w:p>
        </w:tc>
        <w:tc>
          <w:tcPr>
            <w:tcW w:type="dxa" w:w="936"/>
          </w:tcPr>
          <w:p>
            <w:r/>
            <w:r>
              <w:rPr>
                <w:rFonts w:ascii="Inter" w:hAnsi="Inter" w:cs="Inter"/>
                <w:b w:val="0"/>
                <w:i w:val="0"/>
                <w:color w:val="2D2D2D"/>
                <w:sz w:val="19"/>
              </w:rPr>
              <w:t>0 formal (FY 2025)</w:t>
            </w:r>
          </w:p>
        </w:tc>
        <w:tc>
          <w:tcPr>
            <w:tcW w:type="dxa" w:w="936"/>
          </w:tcPr>
          <w:p>
            <w:r/>
            <w:r>
              <w:rPr>
                <w:rFonts w:ascii="Inter" w:hAnsi="Inter" w:cs="Inter"/>
                <w:b w:val="0"/>
                <w:i w:val="0"/>
                <w:color w:val="2D2D2D"/>
                <w:sz w:val="19"/>
              </w:rPr>
              <w:t>8</w:t>
            </w:r>
          </w:p>
        </w:tc>
        <w:tc>
          <w:tcPr>
            <w:tcW w:type="dxa" w:w="936"/>
          </w:tcPr>
          <w:p>
            <w:r/>
            <w:r>
              <w:rPr>
                <w:rFonts w:ascii="Inter" w:hAnsi="Inter" w:cs="Inter"/>
                <w:b w:val="0"/>
                <w:i w:val="0"/>
                <w:color w:val="2D2D2D"/>
                <w:sz w:val="19"/>
              </w:rPr>
              <w:t>15</w:t>
            </w:r>
          </w:p>
        </w:tc>
        <w:tc>
          <w:tcPr>
            <w:tcW w:type="dxa" w:w="936"/>
          </w:tcPr>
          <w:p>
            <w:r/>
            <w:r>
              <w:rPr>
                <w:rFonts w:ascii="Inter" w:hAnsi="Inter" w:cs="Inter"/>
                <w:b w:val="0"/>
                <w:i w:val="0"/>
                <w:color w:val="2D2D2D"/>
                <w:sz w:val="19"/>
              </w:rPr>
              <w:t>20</w:t>
            </w:r>
          </w:p>
        </w:tc>
        <w:tc>
          <w:tcPr>
            <w:tcW w:type="dxa" w:w="936"/>
          </w:tcPr>
          <w:p>
            <w:r/>
            <w:r>
              <w:rPr>
                <w:rFonts w:ascii="Inter" w:hAnsi="Inter" w:cs="Inter"/>
                <w:b w:val="0"/>
                <w:i w:val="0"/>
                <w:color w:val="2D2D2D"/>
                <w:sz w:val="19"/>
              </w:rPr>
              <w:t>Partnership records</w:t>
            </w:r>
          </w:p>
        </w:tc>
        <w:tc>
          <w:tcPr>
            <w:tcW w:type="dxa" w:w="936"/>
          </w:tcPr>
          <w:p>
            <w:r/>
            <w:r>
              <w:rPr>
                <w:rFonts w:ascii="Inter" w:hAnsi="Inter" w:cs="Inter"/>
                <w:b w:val="0"/>
                <w:i w:val="0"/>
                <w:color w:val="2D2D2D"/>
                <w:sz w:val="19"/>
              </w:rPr>
              <w:t>Quarterly</w:t>
            </w:r>
          </w:p>
        </w:tc>
        <w:tc>
          <w:tcPr>
            <w:tcW w:type="dxa" w:w="936"/>
          </w:tcPr>
          <w:p>
            <w:r/>
            <w:r>
              <w:rPr>
                <w:rFonts w:ascii="Inter" w:hAnsi="Inter" w:cs="Inter"/>
                <w:b w:val="0"/>
                <w:i w:val="0"/>
                <w:color w:val="2D2D2D"/>
                <w:sz w:val="19"/>
              </w:rPr>
              <w:t>Coordination Unit Head</w:t>
            </w:r>
          </w:p>
        </w:tc>
      </w:tr>
      <w:tr>
        <w:tc>
          <w:tcPr>
            <w:tcW w:type="dxa" w:w="936"/>
            <w:shd w:fill="F0F3F6"/>
          </w:tcPr>
          <w:p>
            <w:r/>
            <w:r>
              <w:rPr>
                <w:rFonts w:ascii="Inter" w:hAnsi="Inter" w:cs="Inter"/>
                <w:b w:val="0"/>
                <w:i w:val="0"/>
                <w:color w:val="2D2D2D"/>
                <w:sz w:val="19"/>
              </w:rPr>
              <w:t>**Output (MTO-1)**</w:t>
            </w:r>
          </w:p>
        </w:tc>
        <w:tc>
          <w:tcPr>
            <w:tcW w:type="dxa" w:w="936"/>
            <w:shd w:fill="F0F3F6"/>
          </w:tcPr>
          <w:p>
            <w:r/>
            <w:r>
              <w:rPr>
                <w:rFonts w:ascii="Inter" w:hAnsi="Inter" w:cs="Inter"/>
                <w:b w:val="0"/>
                <w:i w:val="0"/>
                <w:color w:val="2D2D2D"/>
                <w:sz w:val="19"/>
              </w:rPr>
              <w:t>200 OBC communities profiled</w:t>
            </w:r>
          </w:p>
        </w:tc>
        <w:tc>
          <w:tcPr>
            <w:tcW w:type="dxa" w:w="936"/>
            <w:shd w:fill="F0F3F6"/>
          </w:tcPr>
          <w:p>
            <w:r/>
            <w:r>
              <w:rPr>
                <w:rFonts w:ascii="Inter" w:hAnsi="Inter" w:cs="Inter"/>
                <w:b w:val="0"/>
                <w:i w:val="0"/>
                <w:color w:val="2D2D2D"/>
                <w:sz w:val="19"/>
              </w:rPr>
              <w:t>OTP-01: Communities profiled and data encoded</w:t>
            </w:r>
          </w:p>
        </w:tc>
        <w:tc>
          <w:tcPr>
            <w:tcW w:type="dxa" w:w="936"/>
            <w:shd w:fill="F0F3F6"/>
          </w:tcPr>
          <w:p>
            <w:r/>
            <w:r>
              <w:rPr>
                <w:rFonts w:ascii="Inter" w:hAnsi="Inter" w:cs="Inter"/>
                <w:b w:val="0"/>
                <w:i w:val="0"/>
                <w:color w:val="2D2D2D"/>
                <w:sz w:val="19"/>
              </w:rPr>
              <w:t>0</w:t>
            </w:r>
          </w:p>
        </w:tc>
        <w:tc>
          <w:tcPr>
            <w:tcW w:type="dxa" w:w="936"/>
            <w:shd w:fill="F0F3F6"/>
          </w:tcPr>
          <w:p>
            <w:r/>
            <w:r>
              <w:rPr>
                <w:rFonts w:ascii="Inter" w:hAnsi="Inter" w:cs="Inter"/>
                <w:b w:val="0"/>
                <w:i w:val="0"/>
                <w:color w:val="2D2D2D"/>
                <w:sz w:val="19"/>
              </w:rPr>
              <w:t>50</w:t>
            </w:r>
          </w:p>
        </w:tc>
        <w:tc>
          <w:tcPr>
            <w:tcW w:type="dxa" w:w="936"/>
            <w:shd w:fill="F0F3F6"/>
          </w:tcPr>
          <w:p>
            <w:r/>
            <w:r>
              <w:rPr>
                <w:rFonts w:ascii="Inter" w:hAnsi="Inter" w:cs="Inter"/>
                <w:b w:val="0"/>
                <w:i w:val="0"/>
                <w:color w:val="2D2D2D"/>
                <w:sz w:val="19"/>
              </w:rPr>
              <w:t>120</w:t>
            </w:r>
          </w:p>
        </w:tc>
        <w:tc>
          <w:tcPr>
            <w:tcW w:type="dxa" w:w="936"/>
            <w:shd w:fill="F0F3F6"/>
          </w:tcPr>
          <w:p>
            <w:r/>
            <w:r>
              <w:rPr>
                <w:rFonts w:ascii="Inter" w:hAnsi="Inter" w:cs="Inter"/>
                <w:b w:val="0"/>
                <w:i w:val="0"/>
                <w:color w:val="2D2D2D"/>
                <w:sz w:val="19"/>
              </w:rPr>
              <w:t>200</w:t>
            </w:r>
          </w:p>
        </w:tc>
        <w:tc>
          <w:tcPr>
            <w:tcW w:type="dxa" w:w="936"/>
            <w:shd w:fill="F0F3F6"/>
          </w:tcPr>
          <w:p>
            <w:r/>
            <w:r>
              <w:rPr>
                <w:rFonts w:ascii="Inter" w:hAnsi="Inter" w:cs="Inter"/>
                <w:b w:val="0"/>
                <w:i w:val="0"/>
                <w:color w:val="2D2D2D"/>
                <w:sz w:val="19"/>
              </w:rPr>
              <w:t>OBC Needs Database</w:t>
            </w:r>
          </w:p>
        </w:tc>
        <w:tc>
          <w:tcPr>
            <w:tcW w:type="dxa" w:w="936"/>
            <w:shd w:fill="F0F3F6"/>
          </w:tcPr>
          <w:p>
            <w:r/>
            <w:r>
              <w:rPr>
                <w:rFonts w:ascii="Inter" w:hAnsi="Inter" w:cs="Inter"/>
                <w:b w:val="0"/>
                <w:i w:val="0"/>
                <w:color w:val="2D2D2D"/>
                <w:sz w:val="19"/>
              </w:rPr>
              <w:t>Quarterly</w:t>
            </w:r>
          </w:p>
        </w:tc>
        <w:tc>
          <w:tcPr>
            <w:tcW w:type="dxa" w:w="936"/>
            <w:shd w:fill="F0F3F6"/>
          </w:tcPr>
          <w:p>
            <w:r/>
            <w:r>
              <w:rPr>
                <w:rFonts w:ascii="Inter" w:hAnsi="Inter" w:cs="Inter"/>
                <w:b w:val="0"/>
                <w:i w:val="0"/>
                <w:color w:val="2D2D2D"/>
                <w:sz w:val="19"/>
              </w:rPr>
              <w:t>Programs Division</w:t>
            </w:r>
          </w:p>
        </w:tc>
      </w:tr>
      <w:tr>
        <w:tc>
          <w:tcPr>
            <w:tcW w:type="dxa" w:w="936"/>
          </w:tcPr>
          <w:p>
            <w:r/>
            <w:r>
              <w:rPr>
                <w:rFonts w:ascii="Inter" w:hAnsi="Inter" w:cs="Inter"/>
                <w:b w:val="0"/>
                <w:i w:val="0"/>
                <w:color w:val="2D2D2D"/>
                <w:sz w:val="19"/>
              </w:rPr>
              <w:t>**Output (MTO-2)**</w:t>
            </w:r>
          </w:p>
        </w:tc>
        <w:tc>
          <w:tcPr>
            <w:tcW w:type="dxa" w:w="936"/>
          </w:tcPr>
          <w:p>
            <w:r/>
            <w:r>
              <w:rPr>
                <w:rFonts w:ascii="Inter" w:hAnsi="Inter" w:cs="Inter"/>
                <w:b w:val="0"/>
                <w:i w:val="0"/>
                <w:color w:val="2D2D2D"/>
                <w:sz w:val="19"/>
              </w:rPr>
              <w:t>15 LGU MOUs signed</w:t>
            </w:r>
          </w:p>
        </w:tc>
        <w:tc>
          <w:tcPr>
            <w:tcW w:type="dxa" w:w="936"/>
          </w:tcPr>
          <w:p>
            <w:r/>
            <w:r>
              <w:rPr>
                <w:rFonts w:ascii="Inter" w:hAnsi="Inter" w:cs="Inter"/>
                <w:b w:val="0"/>
                <w:i w:val="0"/>
                <w:color w:val="2D2D2D"/>
                <w:sz w:val="19"/>
              </w:rPr>
              <w:t>OTP-02: MOUs/MOAs signed with LGUs</w:t>
            </w:r>
          </w:p>
        </w:tc>
        <w:tc>
          <w:tcPr>
            <w:tcW w:type="dxa" w:w="936"/>
          </w:tcPr>
          <w:p>
            <w:r/>
            <w:r>
              <w:rPr>
                <w:rFonts w:ascii="Inter" w:hAnsi="Inter" w:cs="Inter"/>
                <w:b w:val="0"/>
                <w:i w:val="0"/>
                <w:color w:val="2D2D2D"/>
                <w:sz w:val="19"/>
              </w:rPr>
              <w:t>0</w:t>
            </w:r>
          </w:p>
        </w:tc>
        <w:tc>
          <w:tcPr>
            <w:tcW w:type="dxa" w:w="936"/>
          </w:tcPr>
          <w:p>
            <w:r/>
            <w:r>
              <w:rPr>
                <w:rFonts w:ascii="Inter" w:hAnsi="Inter" w:cs="Inter"/>
                <w:b w:val="0"/>
                <w:i w:val="0"/>
                <w:color w:val="2D2D2D"/>
                <w:sz w:val="19"/>
              </w:rPr>
              <w:t>5</w:t>
            </w:r>
          </w:p>
        </w:tc>
        <w:tc>
          <w:tcPr>
            <w:tcW w:type="dxa" w:w="936"/>
          </w:tcPr>
          <w:p>
            <w:r/>
            <w:r>
              <w:rPr>
                <w:rFonts w:ascii="Inter" w:hAnsi="Inter" w:cs="Inter"/>
                <w:b w:val="0"/>
                <w:i w:val="0"/>
                <w:color w:val="2D2D2D"/>
                <w:sz w:val="19"/>
              </w:rPr>
              <w:t>10</w:t>
            </w:r>
          </w:p>
        </w:tc>
        <w:tc>
          <w:tcPr>
            <w:tcW w:type="dxa" w:w="936"/>
          </w:tcPr>
          <w:p>
            <w:r/>
            <w:r>
              <w:rPr>
                <w:rFonts w:ascii="Inter" w:hAnsi="Inter" w:cs="Inter"/>
                <w:b w:val="0"/>
                <w:i w:val="0"/>
                <w:color w:val="2D2D2D"/>
                <w:sz w:val="19"/>
              </w:rPr>
              <w:t>15</w:t>
            </w:r>
          </w:p>
        </w:tc>
        <w:tc>
          <w:tcPr>
            <w:tcW w:type="dxa" w:w="936"/>
          </w:tcPr>
          <w:p>
            <w:r/>
            <w:r>
              <w:rPr>
                <w:rFonts w:ascii="Inter" w:hAnsi="Inter" w:cs="Inter"/>
                <w:b w:val="0"/>
                <w:i w:val="0"/>
                <w:color w:val="2D2D2D"/>
                <w:sz w:val="19"/>
              </w:rPr>
              <w:t>Partnership records</w:t>
            </w:r>
          </w:p>
        </w:tc>
        <w:tc>
          <w:tcPr>
            <w:tcW w:type="dxa" w:w="936"/>
          </w:tcPr>
          <w:p>
            <w:r/>
            <w:r>
              <w:rPr>
                <w:rFonts w:ascii="Inter" w:hAnsi="Inter" w:cs="Inter"/>
                <w:b w:val="0"/>
                <w:i w:val="0"/>
                <w:color w:val="2D2D2D"/>
                <w:sz w:val="19"/>
              </w:rPr>
              <w:t>Quarterly</w:t>
            </w:r>
          </w:p>
        </w:tc>
        <w:tc>
          <w:tcPr>
            <w:tcW w:type="dxa" w:w="936"/>
          </w:tcPr>
          <w:p>
            <w:r/>
            <w:r>
              <w:rPr>
                <w:rFonts w:ascii="Inter" w:hAnsi="Inter" w:cs="Inter"/>
                <w:b w:val="0"/>
                <w:i w:val="0"/>
                <w:color w:val="2D2D2D"/>
                <w:sz w:val="19"/>
              </w:rPr>
              <w:t>Coordination Unit</w:t>
            </w:r>
          </w:p>
        </w:tc>
      </w:tr>
      <w:tr>
        <w:tc>
          <w:tcPr>
            <w:tcW w:type="dxa" w:w="936"/>
            <w:shd w:fill="F0F3F6"/>
          </w:tcPr>
          <w:p>
            <w:r/>
            <w:r>
              <w:rPr>
                <w:rFonts w:ascii="Inter" w:hAnsi="Inter" w:cs="Inter"/>
                <w:b w:val="0"/>
                <w:i w:val="0"/>
                <w:color w:val="2D2D2D"/>
                <w:sz w:val="19"/>
              </w:rPr>
              <w:t>**Output (Cross-cutting)**</w:t>
            </w:r>
          </w:p>
        </w:tc>
        <w:tc>
          <w:tcPr>
            <w:tcW w:type="dxa" w:w="936"/>
            <w:shd w:fill="F0F3F6"/>
          </w:tcPr>
          <w:p>
            <w:r/>
            <w:r>
              <w:rPr>
                <w:rFonts w:ascii="Inter" w:hAnsi="Inter" w:cs="Inter"/>
                <w:b w:val="0"/>
                <w:i w:val="0"/>
                <w:color w:val="2D2D2D"/>
                <w:sz w:val="19"/>
              </w:rPr>
              <w:t>45 staff and partners trained</w:t>
            </w:r>
          </w:p>
        </w:tc>
        <w:tc>
          <w:tcPr>
            <w:tcW w:type="dxa" w:w="936"/>
            <w:shd w:fill="F0F3F6"/>
          </w:tcPr>
          <w:p>
            <w:r/>
            <w:r>
              <w:rPr>
                <w:rFonts w:ascii="Inter" w:hAnsi="Inter" w:cs="Inter"/>
                <w:b w:val="0"/>
                <w:i w:val="0"/>
                <w:color w:val="2D2D2D"/>
                <w:sz w:val="19"/>
              </w:rPr>
              <w:t>OTP-03: Staff trained in profiling, data management, coordination</w:t>
            </w:r>
          </w:p>
        </w:tc>
        <w:tc>
          <w:tcPr>
            <w:tcW w:type="dxa" w:w="936"/>
            <w:shd w:fill="F0F3F6"/>
          </w:tcPr>
          <w:p>
            <w:r/>
            <w:r>
              <w:rPr>
                <w:rFonts w:ascii="Inter" w:hAnsi="Inter" w:cs="Inter"/>
                <w:b w:val="0"/>
                <w:i w:val="0"/>
                <w:color w:val="2D2D2D"/>
                <w:sz w:val="19"/>
              </w:rPr>
              <w:t>0</w:t>
            </w:r>
          </w:p>
        </w:tc>
        <w:tc>
          <w:tcPr>
            <w:tcW w:type="dxa" w:w="936"/>
            <w:shd w:fill="F0F3F6"/>
          </w:tcPr>
          <w:p>
            <w:r/>
            <w:r>
              <w:rPr>
                <w:rFonts w:ascii="Inter" w:hAnsi="Inter" w:cs="Inter"/>
                <w:b w:val="0"/>
                <w:i w:val="0"/>
                <w:color w:val="2D2D2D"/>
                <w:sz w:val="19"/>
              </w:rPr>
              <w:t>20</w:t>
            </w:r>
          </w:p>
        </w:tc>
        <w:tc>
          <w:tcPr>
            <w:tcW w:type="dxa" w:w="936"/>
            <w:shd w:fill="F0F3F6"/>
          </w:tcPr>
          <w:p>
            <w:r/>
            <w:r>
              <w:rPr>
                <w:rFonts w:ascii="Inter" w:hAnsi="Inter" w:cs="Inter"/>
                <w:b w:val="0"/>
                <w:i w:val="0"/>
                <w:color w:val="2D2D2D"/>
                <w:sz w:val="19"/>
              </w:rPr>
              <w:t>35</w:t>
            </w:r>
          </w:p>
        </w:tc>
        <w:tc>
          <w:tcPr>
            <w:tcW w:type="dxa" w:w="936"/>
            <w:shd w:fill="F0F3F6"/>
          </w:tcPr>
          <w:p>
            <w:r/>
            <w:r>
              <w:rPr>
                <w:rFonts w:ascii="Inter" w:hAnsi="Inter" w:cs="Inter"/>
                <w:b w:val="0"/>
                <w:i w:val="0"/>
                <w:color w:val="2D2D2D"/>
                <w:sz w:val="19"/>
              </w:rPr>
              <w:t>45</w:t>
            </w:r>
          </w:p>
        </w:tc>
        <w:tc>
          <w:tcPr>
            <w:tcW w:type="dxa" w:w="936"/>
            <w:shd w:fill="F0F3F6"/>
          </w:tcPr>
          <w:p>
            <w:r/>
            <w:r>
              <w:rPr>
                <w:rFonts w:ascii="Inter" w:hAnsi="Inter" w:cs="Inter"/>
                <w:b w:val="0"/>
                <w:i w:val="0"/>
                <w:color w:val="2D2D2D"/>
                <w:sz w:val="19"/>
              </w:rPr>
              <w:t>Training records</w:t>
            </w:r>
          </w:p>
        </w:tc>
        <w:tc>
          <w:tcPr>
            <w:tcW w:type="dxa" w:w="936"/>
            <w:shd w:fill="F0F3F6"/>
          </w:tcPr>
          <w:p>
            <w:r/>
            <w:r>
              <w:rPr>
                <w:rFonts w:ascii="Inter" w:hAnsi="Inter" w:cs="Inter"/>
                <w:b w:val="0"/>
                <w:i w:val="0"/>
                <w:color w:val="2D2D2D"/>
                <w:sz w:val="19"/>
              </w:rPr>
              <w:t>Quarterly</w:t>
            </w:r>
          </w:p>
        </w:tc>
        <w:tc>
          <w:tcPr>
            <w:tcW w:type="dxa" w:w="936"/>
            <w:shd w:fill="F0F3F6"/>
          </w:tcPr>
          <w:p>
            <w:r/>
            <w:r>
              <w:rPr>
                <w:rFonts w:ascii="Inter" w:hAnsi="Inter" w:cs="Inter"/>
                <w:b w:val="0"/>
                <w:i w:val="0"/>
                <w:color w:val="2D2D2D"/>
                <w:sz w:val="19"/>
              </w:rPr>
              <w:t>Administrative Unit</w:t>
            </w:r>
          </w:p>
        </w:tc>
      </w:tr>
    </w:tbl>
    <w:p/>
    <w:p>
      <w:pPr>
        <w:pStyle w:val="Heading2"/>
      </w:pPr>
      <w:r>
        <w:rPr>
          <w:rFonts w:ascii="Inter" w:hAnsi="Inter" w:cs="Inter"/>
          <w:b/>
          <w:i w:val="0"/>
          <w:color w:val="1B365D"/>
          <w:sz w:val="32"/>
        </w:rPr>
        <w:t>11.5 For Decision-Makers</w:t>
      </w:r>
    </w:p>
    <w:p>
      <w:pPr>
        <w:spacing w:after="120" w:line="276" w:lineRule="auto"/>
      </w:pPr>
      <w:r>
        <w:rPr>
          <w:rFonts w:ascii="Inter" w:hAnsi="Inter" w:cs="Inter"/>
          <w:b w:val="0"/>
          <w:i w:val="0"/>
          <w:color w:val="2D2D2D"/>
          <w:sz w:val="22"/>
        </w:rPr>
        <w:t>Your role is not to design indicators or collect data. Your role is to ensure three things happen.</w:t>
      </w:r>
    </w:p>
    <w:p>
      <w:pPr>
        <w:spacing w:after="120" w:line="276" w:lineRule="auto"/>
      </w:pPr>
      <w:r>
        <w:rPr>
          <w:rFonts w:ascii="Inter" w:hAnsi="Inter" w:cs="Inter"/>
          <w:b w:val="0"/>
          <w:i w:val="0"/>
          <w:color w:val="2D2D2D"/>
          <w:sz w:val="22"/>
        </w:rPr>
      </w:r>
      <w:r>
        <w:rPr>
          <w:rFonts w:ascii="Inter" w:hAnsi="Inter" w:cs="Inter"/>
          <w:b/>
          <w:i w:val="0"/>
          <w:color w:val="2D2D2D"/>
          <w:sz w:val="22"/>
        </w:rPr>
        <w:t>First, M&amp;E data reaches you regularly.</w:t>
      </w:r>
      <w:r>
        <w:rPr>
          <w:rFonts w:ascii="Inter" w:hAnsi="Inter" w:cs="Inter"/>
          <w:b w:val="0"/>
          <w:i w:val="0"/>
          <w:color w:val="2D2D2D"/>
          <w:sz w:val="22"/>
        </w:rPr>
        <w:t xml:space="preserve"> Quarterly reports should be on your desk within 15 working days of each quarter's end. If they are not, fix this first --- an M&amp;E system that does not produce timely reports does not exist.</w:t>
      </w:r>
    </w:p>
    <w:p>
      <w:pPr>
        <w:spacing w:after="120" w:line="276" w:lineRule="auto"/>
      </w:pPr>
      <w:r>
        <w:rPr>
          <w:rFonts w:ascii="Inter" w:hAnsi="Inter" w:cs="Inter"/>
          <w:b w:val="0"/>
          <w:i w:val="0"/>
          <w:color w:val="2D2D2D"/>
          <w:sz w:val="22"/>
        </w:rPr>
      </w:r>
      <w:r>
        <w:rPr>
          <w:rFonts w:ascii="Inter" w:hAnsi="Inter" w:cs="Inter"/>
          <w:b/>
          <w:i w:val="0"/>
          <w:color w:val="2D2D2D"/>
          <w:sz w:val="22"/>
        </w:rPr>
        <w:t>Second, you act on what the data tells you.</w:t>
      </w:r>
      <w:r>
        <w:rPr>
          <w:rFonts w:ascii="Inter" w:hAnsi="Inter" w:cs="Inter"/>
          <w:b w:val="0"/>
          <w:i w:val="0"/>
          <w:color w:val="2D2D2D"/>
          <w:sz w:val="22"/>
        </w:rPr>
        <w:t xml:space="preserve"> Receiving a report and filing it is not acting. Acting means reviewing variances, asking division chiefs what they plan to do, following up next quarter, and escalating when corrective actions fail. If the same indicators appear off-track quarter after quarter with the same explanations and nothing changes --- the M&amp;E system is functioning but leadership is not.</w:t>
      </w:r>
    </w:p>
    <w:p>
      <w:pPr>
        <w:spacing w:after="120" w:line="276" w:lineRule="auto"/>
      </w:pPr>
      <w:r>
        <w:rPr>
          <w:rFonts w:ascii="Inter" w:hAnsi="Inter" w:cs="Inter"/>
          <w:b w:val="0"/>
          <w:i w:val="0"/>
          <w:color w:val="2D2D2D"/>
          <w:sz w:val="22"/>
        </w:rPr>
      </w:r>
      <w:r>
        <w:rPr>
          <w:rFonts w:ascii="Inter" w:hAnsi="Inter" w:cs="Inter"/>
          <w:b/>
          <w:i w:val="0"/>
          <w:color w:val="2D2D2D"/>
          <w:sz w:val="22"/>
        </w:rPr>
        <w:t>Third, you define what decisions M&amp;E data will inform.</w:t>
      </w:r>
      <w:r>
        <w:rPr>
          <w:rFonts w:ascii="Inter" w:hAnsi="Inter" w:cs="Inter"/>
          <w:b w:val="0"/>
          <w:i w:val="0"/>
          <w:color w:val="2D2D2D"/>
          <w:sz w:val="22"/>
        </w:rPr>
        <w:t xml:space="preserve"> At the start of the planning period, state explicitly:</w:t>
      </w:r>
    </w:p>
    <w:p>
      <w:pPr>
        <w:pStyle w:val="ListBullet"/>
      </w:pPr>
      <w:r>
        <w:rPr>
          <w:rFonts w:ascii="Inter" w:hAnsi="Inter" w:cs="Inter"/>
          <w:b w:val="0"/>
          <w:i w:val="0"/>
          <w:color w:val="2D2D2D"/>
          <w:sz w:val="22"/>
        </w:rPr>
        <w:t>Quarterly output data will inform budget realignment decisions (shifting funds from underperforming to on-track PPAs).</w:t>
      </w:r>
    </w:p>
    <w:p>
      <w:pPr>
        <w:pStyle w:val="ListBullet"/>
      </w:pPr>
      <w:r>
        <w:rPr>
          <w:rFonts w:ascii="Inter" w:hAnsi="Inter" w:cs="Inter"/>
          <w:b w:val="0"/>
          <w:i w:val="0"/>
          <w:color w:val="2D2D2D"/>
          <w:sz w:val="22"/>
        </w:rPr>
        <w:t>Annual outcome data will inform the next year's Annual Work Plan priorities.</w:t>
      </w:r>
    </w:p>
    <w:p>
      <w:pPr>
        <w:pStyle w:val="ListBullet"/>
      </w:pPr>
      <w:r>
        <w:rPr>
          <w:rFonts w:ascii="Inter" w:hAnsi="Inter" w:cs="Inter"/>
          <w:b w:val="0"/>
          <w:i w:val="0"/>
          <w:color w:val="2D2D2D"/>
          <w:sz w:val="22"/>
        </w:rPr>
        <w:t>Mid-term evaluation findings will inform whether to continue, modify, or terminate specific PPAs.</w:t>
      </w:r>
    </w:p>
    <w:p>
      <w:pPr>
        <w:pStyle w:val="ListBullet"/>
      </w:pPr>
      <w:r>
        <w:rPr>
          <w:rFonts w:ascii="Inter" w:hAnsi="Inter" w:cs="Inter"/>
          <w:b w:val="0"/>
          <w:i w:val="0"/>
          <w:color w:val="2D2D2D"/>
          <w:sz w:val="22"/>
        </w:rPr>
        <w:t>Critical variance reports will inform my decisions about staffing assignments, partnership activation, and escalation to Parliament.</w:t>
      </w:r>
    </w:p>
    <w:p>
      <w:pPr>
        <w:spacing w:after="120" w:line="276" w:lineRule="auto"/>
      </w:pPr>
      <w:r>
        <w:rPr>
          <w:rFonts w:ascii="Inter" w:hAnsi="Inter" w:cs="Inter"/>
          <w:b w:val="0"/>
          <w:i w:val="0"/>
          <w:color w:val="2D2D2D"/>
          <w:sz w:val="22"/>
        </w:rPr>
        <w:t>When leadership defines the *decision link*, M&amp;E stops being a reporting exercise and becomes a management tool. The question changes from "what happened?" to "what do we do about it?"</w:t>
      </w:r>
    </w:p>
    <w:p>
      <w:pPr>
        <w:pStyle w:val="Heading2"/>
      </w:pPr>
      <w:r>
        <w:rPr>
          <w:rFonts w:ascii="Inter" w:hAnsi="Inter" w:cs="Inter"/>
          <w:b/>
          <w:i w:val="0"/>
          <w:color w:val="1B365D"/>
          <w:sz w:val="32"/>
        </w:rPr>
        <w:t>11.6 Common Pitfalls</w:t>
      </w:r>
    </w:p>
    <w:p>
      <w:pPr>
        <w:spacing w:after="120" w:line="276" w:lineRule="auto"/>
      </w:pPr>
      <w:r>
        <w:rPr>
          <w:rFonts w:ascii="Inter" w:hAnsi="Inter" w:cs="Inter"/>
          <w:b w:val="0"/>
          <w:i w:val="0"/>
          <w:color w:val="2D2D2D"/>
          <w:sz w:val="22"/>
        </w:rPr>
      </w:r>
      <w:r>
        <w:rPr>
          <w:rFonts w:ascii="Inter" w:hAnsi="Inter" w:cs="Inter"/>
          <w:b/>
          <w:i w:val="0"/>
          <w:color w:val="2D2D2D"/>
          <w:sz w:val="22"/>
        </w:rPr>
        <w:t>Designing M&amp;E after the plan is approved.</w:t>
      </w:r>
      <w:r>
        <w:rPr>
          <w:rFonts w:ascii="Inter" w:hAnsi="Inter" w:cs="Inter"/>
          <w:b w:val="0"/>
          <w:i w:val="0"/>
          <w:color w:val="2D2D2D"/>
          <w:sz w:val="22"/>
        </w:rPr>
        <w:t xml:space="preserve"> Your indicators will not align with the ToC, baselines will not exist, and data collection will not be scheduled. M&amp;E must be designed alongside the plan, not after it.</w:t>
      </w:r>
    </w:p>
    <w:p>
      <w:pPr>
        <w:spacing w:after="120" w:line="276" w:lineRule="auto"/>
      </w:pPr>
      <w:r>
        <w:rPr>
          <w:rFonts w:ascii="Inter" w:hAnsi="Inter" w:cs="Inter"/>
          <w:b w:val="0"/>
          <w:i w:val="0"/>
          <w:color w:val="2D2D2D"/>
          <w:sz w:val="22"/>
        </w:rPr>
      </w:r>
      <w:r>
        <w:rPr>
          <w:rFonts w:ascii="Inter" w:hAnsi="Inter" w:cs="Inter"/>
          <w:b/>
          <w:i w:val="0"/>
          <w:color w:val="2D2D2D"/>
          <w:sz w:val="22"/>
        </w:rPr>
        <w:t>Measuring only activities instead of results.</w:t>
      </w:r>
      <w:r>
        <w:rPr>
          <w:rFonts w:ascii="Inter" w:hAnsi="Inter" w:cs="Inter"/>
          <w:b w:val="0"/>
          <w:i w:val="0"/>
          <w:color w:val="2D2D2D"/>
          <w:sz w:val="22"/>
        </w:rPr>
        <w:t xml:space="preserve"> If your framework contains only "trainings conducted" and "meetings held" with no outcome indicators, you are tracking busyness, not results. Every M&amp;E framework must include indicators at the outcome level.</w:t>
      </w:r>
    </w:p>
    <w:p>
      <w:pPr>
        <w:spacing w:after="120" w:line="276" w:lineRule="auto"/>
      </w:pPr>
      <w:r>
        <w:rPr>
          <w:rFonts w:ascii="Inter" w:hAnsi="Inter" w:cs="Inter"/>
          <w:b w:val="0"/>
          <w:i w:val="0"/>
          <w:color w:val="2D2D2D"/>
          <w:sz w:val="22"/>
        </w:rPr>
      </w:r>
      <w:r>
        <w:rPr>
          <w:rFonts w:ascii="Inter" w:hAnsi="Inter" w:cs="Inter"/>
          <w:b/>
          <w:i w:val="0"/>
          <w:color w:val="2D2D2D"/>
          <w:sz w:val="22"/>
        </w:rPr>
        <w:t>Setting indicators with no baseline.</w:t>
      </w:r>
      <w:r>
        <w:rPr>
          <w:rFonts w:ascii="Inter" w:hAnsi="Inter" w:cs="Inter"/>
          <w:b w:val="0"/>
          <w:i w:val="0"/>
          <w:color w:val="2D2D2D"/>
          <w:sz w:val="22"/>
        </w:rPr>
        <w:t xml:space="preserve"> You cannot measure change if you do not know where you started. If baseline data does not exist, include a baseline study in your Year 1 work plan. Budget for it.</w:t>
      </w:r>
    </w:p>
    <w:p>
      <w:pPr>
        <w:spacing w:after="120" w:line="276" w:lineRule="auto"/>
      </w:pPr>
      <w:r>
        <w:rPr>
          <w:rFonts w:ascii="Inter" w:hAnsi="Inter" w:cs="Inter"/>
          <w:b w:val="0"/>
          <w:i w:val="0"/>
          <w:color w:val="2D2D2D"/>
          <w:sz w:val="22"/>
        </w:rPr>
      </w:r>
      <w:r>
        <w:rPr>
          <w:rFonts w:ascii="Inter" w:hAnsi="Inter" w:cs="Inter"/>
          <w:b/>
          <w:i w:val="0"/>
          <w:color w:val="2D2D2D"/>
          <w:sz w:val="22"/>
        </w:rPr>
        <w:t>Collecting data nobody reads or acts on.</w:t>
      </w:r>
      <w:r>
        <w:rPr>
          <w:rFonts w:ascii="Inter" w:hAnsi="Inter" w:cs="Inter"/>
          <w:b w:val="0"/>
          <w:i w:val="0"/>
          <w:color w:val="2D2D2D"/>
          <w:sz w:val="22"/>
        </w:rPr>
        <w:t xml:space="preserve"> If quarterly reports are filed without discussion and annual reports arrive too late to inform the budget cycle, you are spending resources on a compliance ritual. Every piece of data you collect should have a named decision-maker who will use it.</w:t>
      </w:r>
    </w:p>
    <w:p>
      <w:pPr>
        <w:spacing w:after="120" w:line="276" w:lineRule="auto"/>
      </w:pPr>
      <w:r>
        <w:rPr>
          <w:rFonts w:ascii="Inter" w:hAnsi="Inter" w:cs="Inter"/>
          <w:b w:val="0"/>
          <w:i w:val="0"/>
          <w:color w:val="2D2D2D"/>
          <w:sz w:val="22"/>
        </w:rPr>
      </w:r>
      <w:r>
        <w:rPr>
          <w:rFonts w:ascii="Inter" w:hAnsi="Inter" w:cs="Inter"/>
          <w:b/>
          <w:i w:val="0"/>
          <w:color w:val="2D2D2D"/>
          <w:sz w:val="22"/>
        </w:rPr>
        <w:t>Not budgeting for M&amp;E.</w:t>
      </w:r>
      <w:r>
        <w:rPr>
          <w:rFonts w:ascii="Inter" w:hAnsi="Inter" w:cs="Inter"/>
          <w:b w:val="0"/>
          <w:i w:val="0"/>
          <w:color w:val="2D2D2D"/>
          <w:sz w:val="22"/>
        </w:rPr>
        <w:t xml:space="preserve"> Data collection, field verification, surveys, and evaluations cost money. If M&amp;E is not a line item in your resource plan, it will be the first activity sacrificed when spending priorities compete.</w:t>
      </w:r>
    </w:p>
    <w:p>
      <w:pPr>
        <w:spacing w:after="120" w:line="276" w:lineRule="auto"/>
      </w:pPr>
      <w:r>
        <w:rPr>
          <w:rFonts w:ascii="Inter" w:hAnsi="Inter" w:cs="Inter"/>
          <w:b w:val="0"/>
          <w:i w:val="0"/>
          <w:color w:val="2D2D2D"/>
          <w:sz w:val="22"/>
        </w:rPr>
      </w:r>
      <w:r>
        <w:rPr>
          <w:rFonts w:ascii="Inter" w:hAnsi="Inter" w:cs="Inter"/>
          <w:b/>
          <w:i w:val="0"/>
          <w:color w:val="2D2D2D"/>
          <w:sz w:val="22"/>
        </w:rPr>
        <w:t>Too many indicators.</w:t>
      </w:r>
      <w:r>
        <w:rPr>
          <w:rFonts w:ascii="Inter" w:hAnsi="Inter" w:cs="Inter"/>
          <w:b w:val="0"/>
          <w:i w:val="0"/>
          <w:color w:val="2D2D2D"/>
          <w:sz w:val="22"/>
        </w:rPr>
        <w:t xml:space="preserve"> Each indicator requires data collection, analysis, reporting, and management attention. A framework with 80 indicators produces reporting fatigue and reports so long that nobody reads them. Total indicator count for a typical MOA: 25-40.</w:t>
      </w:r>
    </w:p>
    <w:p>
      <w:pPr>
        <w:spacing w:after="120" w:line="276" w:lineRule="auto"/>
      </w:pPr>
      <w:r>
        <w:rPr>
          <w:rFonts w:ascii="Inter" w:hAnsi="Inter" w:cs="Inter"/>
          <w:b w:val="0"/>
          <w:i w:val="0"/>
          <w:color w:val="2D2D2D"/>
          <w:sz w:val="22"/>
        </w:rPr>
      </w:r>
      <w:r>
        <w:rPr>
          <w:rFonts w:ascii="Inter" w:hAnsi="Inter" w:cs="Inter"/>
          <w:b/>
          <w:i w:val="0"/>
          <w:color w:val="2D2D2D"/>
          <w:sz w:val="22"/>
        </w:rPr>
        <w:t>Confusing monitoring with evaluation.</w:t>
      </w:r>
      <w:r>
        <w:rPr>
          <w:rFonts w:ascii="Inter" w:hAnsi="Inter" w:cs="Inter"/>
          <w:b w:val="0"/>
          <w:i w:val="0"/>
          <w:color w:val="2D2D2D"/>
          <w:sz w:val="22"/>
        </w:rPr>
        <w:t xml:space="preserve"> Monitoring tells you whether targets are being met. Evaluation tells you whether meeting those targets produced the intended change. You need both.</w:t>
      </w:r>
    </w:p>
    <w:p>
      <w:pPr>
        <w:pStyle w:val="Heading2"/>
      </w:pPr>
      <w:r>
        <w:rPr>
          <w:rFonts w:ascii="Inter" w:hAnsi="Inter" w:cs="Inter"/>
          <w:b/>
          <w:i w:val="0"/>
          <w:color w:val="1B365D"/>
          <w:sz w:val="32"/>
        </w:rPr>
        <w:t>11.7 Templates</w:t>
      </w:r>
    </w:p>
    <w:p>
      <w:pPr>
        <w:pStyle w:val="Heading3"/>
      </w:pPr>
      <w:r>
        <w:rPr>
          <w:rFonts w:ascii="Inter" w:hAnsi="Inter" w:cs="Inter"/>
          <w:b/>
          <w:i w:val="0"/>
          <w:color w:val="2C5F7C"/>
          <w:sz w:val="26"/>
        </w:rPr>
        <w:t>Template 1: M&amp;E Framework</w:t>
      </w:r>
    </w:p>
    <w:p>
      <w:pPr>
        <w:spacing w:after="120" w:line="276" w:lineRule="auto"/>
      </w:pPr>
      <w:r>
        <w:rPr>
          <w:rFonts w:ascii="Inter" w:hAnsi="Inter" w:cs="Inter"/>
          <w:b w:val="0"/>
          <w:i w:val="0"/>
          <w:color w:val="2D2D2D"/>
          <w:sz w:val="22"/>
        </w:rPr>
        <w:t>*Complete one row per ToC result. OOBC example rows in italics --- replace with your MOA's content.*</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Results Level</w:t>
            </w:r>
          </w:p>
        </w:tc>
        <w:tc>
          <w:tcPr>
            <w:tcW w:type="dxa" w:w="936"/>
            <w:shd w:fill="1B365D"/>
          </w:tcPr>
          <w:p>
            <w:r/>
            <w:r>
              <w:rPr>
                <w:rFonts w:ascii="Inter" w:hAnsi="Inter" w:cs="Inter"/>
                <w:b/>
                <w:i w:val="0"/>
                <w:color w:val="FFFFFF"/>
                <w:sz w:val="19"/>
              </w:rPr>
              <w:t>Statement (from ToC)</w:t>
            </w:r>
          </w:p>
        </w:tc>
        <w:tc>
          <w:tcPr>
            <w:tcW w:type="dxa" w:w="936"/>
            <w:shd w:fill="1B365D"/>
          </w:tcPr>
          <w:p>
            <w:r/>
            <w:r>
              <w:rPr>
                <w:rFonts w:ascii="Inter" w:hAnsi="Inter" w:cs="Inter"/>
                <w:b/>
                <w:i w:val="0"/>
                <w:color w:val="FFFFFF"/>
                <w:sz w:val="19"/>
              </w:rPr>
              <w:t>Indicator</w:t>
            </w:r>
          </w:p>
        </w:tc>
        <w:tc>
          <w:tcPr>
            <w:tcW w:type="dxa" w:w="936"/>
            <w:shd w:fill="1B365D"/>
          </w:tcPr>
          <w:p>
            <w:r/>
            <w:r>
              <w:rPr>
                <w:rFonts w:ascii="Inter" w:hAnsi="Inter" w:cs="Inter"/>
                <w:b/>
                <w:i w:val="0"/>
                <w:color w:val="FFFFFF"/>
                <w:sz w:val="19"/>
              </w:rPr>
              <w:t>Baseline</w:t>
            </w:r>
          </w:p>
        </w:tc>
        <w:tc>
          <w:tcPr>
            <w:tcW w:type="dxa" w:w="936"/>
            <w:shd w:fill="1B365D"/>
          </w:tcPr>
          <w:p>
            <w:r/>
            <w:r>
              <w:rPr>
                <w:rFonts w:ascii="Inter" w:hAnsi="Inter" w:cs="Inter"/>
                <w:b/>
                <w:i w:val="0"/>
                <w:color w:val="FFFFFF"/>
                <w:sz w:val="19"/>
              </w:rPr>
              <w:t>Yr 1 Target</w:t>
            </w:r>
          </w:p>
        </w:tc>
        <w:tc>
          <w:tcPr>
            <w:tcW w:type="dxa" w:w="936"/>
            <w:shd w:fill="1B365D"/>
          </w:tcPr>
          <w:p>
            <w:r/>
            <w:r>
              <w:rPr>
                <w:rFonts w:ascii="Inter" w:hAnsi="Inter" w:cs="Inter"/>
                <w:b/>
                <w:i w:val="0"/>
                <w:color w:val="FFFFFF"/>
                <w:sz w:val="19"/>
              </w:rPr>
              <w:t>Yr 2 Target</w:t>
            </w:r>
          </w:p>
        </w:tc>
        <w:tc>
          <w:tcPr>
            <w:tcW w:type="dxa" w:w="936"/>
            <w:shd w:fill="1B365D"/>
          </w:tcPr>
          <w:p>
            <w:r/>
            <w:r>
              <w:rPr>
                <w:rFonts w:ascii="Inter" w:hAnsi="Inter" w:cs="Inter"/>
                <w:b/>
                <w:i w:val="0"/>
                <w:color w:val="FFFFFF"/>
                <w:sz w:val="19"/>
              </w:rPr>
              <w:t>Yr 3 Target</w:t>
            </w:r>
          </w:p>
        </w:tc>
        <w:tc>
          <w:tcPr>
            <w:tcW w:type="dxa" w:w="936"/>
            <w:shd w:fill="1B365D"/>
          </w:tcPr>
          <w:p>
            <w:r/>
            <w:r>
              <w:rPr>
                <w:rFonts w:ascii="Inter" w:hAnsi="Inter" w:cs="Inter"/>
                <w:b/>
                <w:i w:val="0"/>
                <w:color w:val="FFFFFF"/>
                <w:sz w:val="19"/>
              </w:rPr>
              <w:t>Data Source</w:t>
            </w:r>
          </w:p>
        </w:tc>
        <w:tc>
          <w:tcPr>
            <w:tcW w:type="dxa" w:w="936"/>
            <w:shd w:fill="1B365D"/>
          </w:tcPr>
          <w:p>
            <w:r/>
            <w:r>
              <w:rPr>
                <w:rFonts w:ascii="Inter" w:hAnsi="Inter" w:cs="Inter"/>
                <w:b/>
                <w:i w:val="0"/>
                <w:color w:val="FFFFFF"/>
                <w:sz w:val="19"/>
              </w:rPr>
              <w:t>Frequency</w:t>
            </w:r>
          </w:p>
        </w:tc>
        <w:tc>
          <w:tcPr>
            <w:tcW w:type="dxa" w:w="936"/>
            <w:shd w:fill="1B365D"/>
          </w:tcPr>
          <w:p>
            <w:r/>
            <w:r>
              <w:rPr>
                <w:rFonts w:ascii="Inter" w:hAnsi="Inter" w:cs="Inter"/>
                <w:b/>
                <w:i w:val="0"/>
                <w:color w:val="FFFFFF"/>
                <w:sz w:val="19"/>
              </w:rPr>
              <w:t>Responsible</w:t>
            </w:r>
          </w:p>
        </w:tc>
      </w:tr>
      <w:tr>
        <w:tc>
          <w:tcPr>
            <w:tcW w:type="dxa" w:w="936"/>
          </w:tcPr>
          <w:p>
            <w:r/>
            <w:r>
              <w:rPr>
                <w:rFonts w:ascii="Inter" w:hAnsi="Inter" w:cs="Inter"/>
                <w:b w:val="0"/>
                <w:i w:val="0"/>
                <w:color w:val="2D2D2D"/>
                <w:sz w:val="19"/>
              </w:rPr>
              <w:t>*Impact*</w:t>
            </w:r>
          </w:p>
        </w:tc>
        <w:tc>
          <w:tcPr>
            <w:tcW w:type="dxa" w:w="936"/>
          </w:tcPr>
          <w:p>
            <w:r/>
            <w:r>
              <w:rPr>
                <w:rFonts w:ascii="Inter" w:hAnsi="Inter" w:cs="Inter"/>
                <w:b w:val="0"/>
                <w:i w:val="0"/>
                <w:color w:val="2D2D2D"/>
                <w:sz w:val="19"/>
              </w:rPr>
              <w:t>*All OBC communities have equitable, documented access to BARMM services*</w:t>
            </w:r>
          </w:p>
        </w:tc>
        <w:tc>
          <w:tcPr>
            <w:tcW w:type="dxa" w:w="936"/>
          </w:tcPr>
          <w:p>
            <w:r/>
            <w:r>
              <w:rPr>
                <w:rFonts w:ascii="Inter" w:hAnsi="Inter" w:cs="Inter"/>
                <w:b w:val="0"/>
                <w:i w:val="0"/>
                <w:color w:val="2D2D2D"/>
                <w:sz w:val="19"/>
              </w:rPr>
              <w:t>*IMP-01: % of OBC communities with documented BARMM service access*</w:t>
            </w:r>
          </w:p>
        </w:tc>
        <w:tc>
          <w:tcPr>
            <w:tcW w:type="dxa" w:w="936"/>
          </w:tcPr>
          <w:p>
            <w:r/>
            <w:r>
              <w:rPr>
                <w:rFonts w:ascii="Inter" w:hAnsi="Inter" w:cs="Inter"/>
                <w:b w:val="0"/>
                <w:i w:val="0"/>
                <w:color w:val="2D2D2D"/>
                <w:sz w:val="19"/>
              </w:rPr>
              <w:t>*TBD (Jun 2026)*</w:t>
            </w:r>
          </w:p>
        </w:tc>
        <w:tc>
          <w:tcPr>
            <w:tcW w:type="dxa" w:w="936"/>
          </w:tcPr>
          <w:p>
            <w:r/>
            <w:r>
              <w:rPr>
                <w:rFonts w:ascii="Inter" w:hAnsi="Inter" w:cs="Inter"/>
                <w:b w:val="0"/>
                <w:i w:val="0"/>
                <w:color w:val="2D2D2D"/>
                <w:sz w:val="19"/>
              </w:rPr>
              <w:t>*15%*</w:t>
            </w:r>
          </w:p>
        </w:tc>
        <w:tc>
          <w:tcPr>
            <w:tcW w:type="dxa" w:w="936"/>
          </w:tcPr>
          <w:p>
            <w:r/>
            <w:r>
              <w:rPr>
                <w:rFonts w:ascii="Inter" w:hAnsi="Inter" w:cs="Inter"/>
                <w:b w:val="0"/>
                <w:i w:val="0"/>
                <w:color w:val="2D2D2D"/>
                <w:sz w:val="19"/>
              </w:rPr>
              <w:t>*30%*</w:t>
            </w:r>
          </w:p>
        </w:tc>
        <w:tc>
          <w:tcPr>
            <w:tcW w:type="dxa" w:w="936"/>
          </w:tcPr>
          <w:p>
            <w:r/>
            <w:r>
              <w:rPr>
                <w:rFonts w:ascii="Inter" w:hAnsi="Inter" w:cs="Inter"/>
                <w:b w:val="0"/>
                <w:i w:val="0"/>
                <w:color w:val="2D2D2D"/>
                <w:sz w:val="19"/>
              </w:rPr>
              <w:t>*50%*</w:t>
            </w:r>
          </w:p>
        </w:tc>
        <w:tc>
          <w:tcPr>
            <w:tcW w:type="dxa" w:w="936"/>
          </w:tcPr>
          <w:p>
            <w:r/>
            <w:r>
              <w:rPr>
                <w:rFonts w:ascii="Inter" w:hAnsi="Inter" w:cs="Inter"/>
                <w:b w:val="0"/>
                <w:i w:val="0"/>
                <w:color w:val="2D2D2D"/>
                <w:sz w:val="19"/>
              </w:rPr>
              <w:t>*OOBC Service Access Registry*</w:t>
            </w:r>
          </w:p>
        </w:tc>
        <w:tc>
          <w:tcPr>
            <w:tcW w:type="dxa" w:w="936"/>
          </w:tcPr>
          <w:p>
            <w:r/>
            <w:r>
              <w:rPr>
                <w:rFonts w:ascii="Inter" w:hAnsi="Inter" w:cs="Inter"/>
                <w:b w:val="0"/>
                <w:i w:val="0"/>
                <w:color w:val="2D2D2D"/>
                <w:sz w:val="19"/>
              </w:rPr>
              <w:t>*Annually*</w:t>
            </w:r>
          </w:p>
        </w:tc>
        <w:tc>
          <w:tcPr>
            <w:tcW w:type="dxa" w:w="936"/>
          </w:tcPr>
          <w:p>
            <w:r/>
            <w:r>
              <w:rPr>
                <w:rFonts w:ascii="Inter" w:hAnsi="Inter" w:cs="Inter"/>
                <w:b w:val="0"/>
                <w:i w:val="0"/>
                <w:color w:val="2D2D2D"/>
                <w:sz w:val="19"/>
              </w:rPr>
              <w:t>*Planning and M&amp;E Focal Person*</w:t>
            </w:r>
          </w:p>
        </w:tc>
      </w:tr>
      <w:tr>
        <w:tc>
          <w:tcPr>
            <w:tcW w:type="dxa" w:w="936"/>
            <w:shd w:fill="F0F3F6"/>
          </w:tcPr>
          <w:p>
            <w:r/>
            <w:r>
              <w:rPr>
                <w:rFonts w:ascii="Inter" w:hAnsi="Inter" w:cs="Inter"/>
                <w:b w:val="0"/>
                <w:i w:val="0"/>
                <w:color w:val="2D2D2D"/>
                <w:sz w:val="19"/>
              </w:rPr>
              <w:t>*Medium-Term Outcome*</w:t>
            </w:r>
          </w:p>
        </w:tc>
        <w:tc>
          <w:tcPr>
            <w:tcW w:type="dxa" w:w="936"/>
            <w:shd w:fill="F0F3F6"/>
          </w:tcPr>
          <w:p>
            <w:r/>
            <w:r>
              <w:rPr>
                <w:rFonts w:ascii="Inter" w:hAnsi="Inter" w:cs="Inter"/>
                <w:b w:val="0"/>
                <w:i w:val="0"/>
                <w:color w:val="2D2D2D"/>
                <w:sz w:val="19"/>
              </w:rPr>
              <w:t>*Comprehensive OBC database established and integrated into planning*</w:t>
            </w:r>
          </w:p>
        </w:tc>
        <w:tc>
          <w:tcPr>
            <w:tcW w:type="dxa" w:w="936"/>
            <w:shd w:fill="F0F3F6"/>
          </w:tcPr>
          <w:p>
            <w:r/>
            <w:r>
              <w:rPr>
                <w:rFonts w:ascii="Inter" w:hAnsi="Inter" w:cs="Inter"/>
                <w:b w:val="0"/>
                <w:i w:val="0"/>
                <w:color w:val="2D2D2D"/>
                <w:sz w:val="19"/>
              </w:rPr>
              <w:t>*OUT-01: % of target provinces with completed OBC profiles*</w:t>
            </w:r>
          </w:p>
        </w:tc>
        <w:tc>
          <w:tcPr>
            <w:tcW w:type="dxa" w:w="936"/>
            <w:shd w:fill="F0F3F6"/>
          </w:tcPr>
          <w:p>
            <w:r/>
            <w:r>
              <w:rPr>
                <w:rFonts w:ascii="Inter" w:hAnsi="Inter" w:cs="Inter"/>
                <w:b w:val="0"/>
                <w:i w:val="0"/>
                <w:color w:val="2D2D2D"/>
                <w:sz w:val="19"/>
              </w:rPr>
              <w:t>*0% (FY 2025)*</w:t>
            </w:r>
          </w:p>
        </w:tc>
        <w:tc>
          <w:tcPr>
            <w:tcW w:type="dxa" w:w="936"/>
            <w:shd w:fill="F0F3F6"/>
          </w:tcPr>
          <w:p>
            <w:r/>
            <w:r>
              <w:rPr>
                <w:rFonts w:ascii="Inter" w:hAnsi="Inter" w:cs="Inter"/>
                <w:b w:val="0"/>
                <w:i w:val="0"/>
                <w:color w:val="2D2D2D"/>
                <w:sz w:val="19"/>
              </w:rPr>
              <w:t>*40%*</w:t>
            </w:r>
          </w:p>
        </w:tc>
        <w:tc>
          <w:tcPr>
            <w:tcW w:type="dxa" w:w="936"/>
            <w:shd w:fill="F0F3F6"/>
          </w:tcPr>
          <w:p>
            <w:r/>
            <w:r>
              <w:rPr>
                <w:rFonts w:ascii="Inter" w:hAnsi="Inter" w:cs="Inter"/>
                <w:b w:val="0"/>
                <w:i w:val="0"/>
                <w:color w:val="2D2D2D"/>
                <w:sz w:val="19"/>
              </w:rPr>
              <w:t>*75%*</w:t>
            </w:r>
          </w:p>
        </w:tc>
        <w:tc>
          <w:tcPr>
            <w:tcW w:type="dxa" w:w="936"/>
            <w:shd w:fill="F0F3F6"/>
          </w:tcPr>
          <w:p>
            <w:r/>
            <w:r>
              <w:rPr>
                <w:rFonts w:ascii="Inter" w:hAnsi="Inter" w:cs="Inter"/>
                <w:b w:val="0"/>
                <w:i w:val="0"/>
                <w:color w:val="2D2D2D"/>
                <w:sz w:val="19"/>
              </w:rPr>
              <w:t>*100%*</w:t>
            </w:r>
          </w:p>
        </w:tc>
        <w:tc>
          <w:tcPr>
            <w:tcW w:type="dxa" w:w="936"/>
            <w:shd w:fill="F0F3F6"/>
          </w:tcPr>
          <w:p>
            <w:r/>
            <w:r>
              <w:rPr>
                <w:rFonts w:ascii="Inter" w:hAnsi="Inter" w:cs="Inter"/>
                <w:b w:val="0"/>
                <w:i w:val="0"/>
                <w:color w:val="2D2D2D"/>
                <w:sz w:val="19"/>
              </w:rPr>
              <w:t>*OBC Needs Database*</w:t>
            </w:r>
          </w:p>
        </w:tc>
        <w:tc>
          <w:tcPr>
            <w:tcW w:type="dxa" w:w="936"/>
            <w:shd w:fill="F0F3F6"/>
          </w:tcPr>
          <w:p>
            <w:r/>
            <w:r>
              <w:rPr>
                <w:rFonts w:ascii="Inter" w:hAnsi="Inter" w:cs="Inter"/>
                <w:b w:val="0"/>
                <w:i w:val="0"/>
                <w:color w:val="2D2D2D"/>
                <w:sz w:val="19"/>
              </w:rPr>
              <w:t>*Quarterly*</w:t>
            </w:r>
          </w:p>
        </w:tc>
        <w:tc>
          <w:tcPr>
            <w:tcW w:type="dxa" w:w="936"/>
            <w:shd w:fill="F0F3F6"/>
          </w:tcPr>
          <w:p>
            <w:r/>
            <w:r>
              <w:rPr>
                <w:rFonts w:ascii="Inter" w:hAnsi="Inter" w:cs="Inter"/>
                <w:b w:val="0"/>
                <w:i w:val="0"/>
                <w:color w:val="2D2D2D"/>
                <w:sz w:val="19"/>
              </w:rPr>
              <w:t>*Programs Division Chief*</w:t>
            </w:r>
          </w:p>
        </w:tc>
      </w:tr>
      <w:tr>
        <w:tc>
          <w:tcPr>
            <w:tcW w:type="dxa" w:w="936"/>
          </w:tcPr>
          <w:p>
            <w:r/>
            <w:r>
              <w:rPr>
                <w:rFonts w:ascii="Inter" w:hAnsi="Inter" w:cs="Inter"/>
                <w:b w:val="0"/>
                <w:i w:val="0"/>
                <w:color w:val="2D2D2D"/>
                <w:sz w:val="19"/>
              </w:rPr>
              <w:t>*Output*</w:t>
            </w:r>
          </w:p>
        </w:tc>
        <w:tc>
          <w:tcPr>
            <w:tcW w:type="dxa" w:w="936"/>
          </w:tcPr>
          <w:p>
            <w:r/>
            <w:r>
              <w:rPr>
                <w:rFonts w:ascii="Inter" w:hAnsi="Inter" w:cs="Inter"/>
                <w:b w:val="0"/>
                <w:i w:val="0"/>
                <w:color w:val="2D2D2D"/>
                <w:sz w:val="19"/>
              </w:rPr>
              <w:t>*200 OBC communities profiled*</w:t>
            </w:r>
          </w:p>
        </w:tc>
        <w:tc>
          <w:tcPr>
            <w:tcW w:type="dxa" w:w="936"/>
          </w:tcPr>
          <w:p>
            <w:r/>
            <w:r>
              <w:rPr>
                <w:rFonts w:ascii="Inter" w:hAnsi="Inter" w:cs="Inter"/>
                <w:b w:val="0"/>
                <w:i w:val="0"/>
                <w:color w:val="2D2D2D"/>
                <w:sz w:val="19"/>
              </w:rPr>
              <w:t>*OTP-01: Communities profiled and data encoded*</w:t>
            </w:r>
          </w:p>
        </w:tc>
        <w:tc>
          <w:tcPr>
            <w:tcW w:type="dxa" w:w="936"/>
          </w:tcPr>
          <w:p>
            <w:r/>
            <w:r>
              <w:rPr>
                <w:rFonts w:ascii="Inter" w:hAnsi="Inter" w:cs="Inter"/>
                <w:b w:val="0"/>
                <w:i w:val="0"/>
                <w:color w:val="2D2D2D"/>
                <w:sz w:val="19"/>
              </w:rPr>
              <w:t>*0*</w:t>
            </w:r>
          </w:p>
        </w:tc>
        <w:tc>
          <w:tcPr>
            <w:tcW w:type="dxa" w:w="936"/>
          </w:tcPr>
          <w:p>
            <w:r/>
            <w:r>
              <w:rPr>
                <w:rFonts w:ascii="Inter" w:hAnsi="Inter" w:cs="Inter"/>
                <w:b w:val="0"/>
                <w:i w:val="0"/>
                <w:color w:val="2D2D2D"/>
                <w:sz w:val="19"/>
              </w:rPr>
              <w:t>*50*</w:t>
            </w:r>
          </w:p>
        </w:tc>
        <w:tc>
          <w:tcPr>
            <w:tcW w:type="dxa" w:w="936"/>
          </w:tcPr>
          <w:p>
            <w:r/>
            <w:r>
              <w:rPr>
                <w:rFonts w:ascii="Inter" w:hAnsi="Inter" w:cs="Inter"/>
                <w:b w:val="0"/>
                <w:i w:val="0"/>
                <w:color w:val="2D2D2D"/>
                <w:sz w:val="19"/>
              </w:rPr>
              <w:t>*120*</w:t>
            </w:r>
          </w:p>
        </w:tc>
        <w:tc>
          <w:tcPr>
            <w:tcW w:type="dxa" w:w="936"/>
          </w:tcPr>
          <w:p>
            <w:r/>
            <w:r>
              <w:rPr>
                <w:rFonts w:ascii="Inter" w:hAnsi="Inter" w:cs="Inter"/>
                <w:b w:val="0"/>
                <w:i w:val="0"/>
                <w:color w:val="2D2D2D"/>
                <w:sz w:val="19"/>
              </w:rPr>
              <w:t>*200*</w:t>
            </w:r>
          </w:p>
        </w:tc>
        <w:tc>
          <w:tcPr>
            <w:tcW w:type="dxa" w:w="936"/>
          </w:tcPr>
          <w:p>
            <w:r/>
            <w:r>
              <w:rPr>
                <w:rFonts w:ascii="Inter" w:hAnsi="Inter" w:cs="Inter"/>
                <w:b w:val="0"/>
                <w:i w:val="0"/>
                <w:color w:val="2D2D2D"/>
                <w:sz w:val="19"/>
              </w:rPr>
              <w:t>*OBC Needs Database*</w:t>
            </w:r>
          </w:p>
        </w:tc>
        <w:tc>
          <w:tcPr>
            <w:tcW w:type="dxa" w:w="936"/>
          </w:tcPr>
          <w:p>
            <w:r/>
            <w:r>
              <w:rPr>
                <w:rFonts w:ascii="Inter" w:hAnsi="Inter" w:cs="Inter"/>
                <w:b w:val="0"/>
                <w:i w:val="0"/>
                <w:color w:val="2D2D2D"/>
                <w:sz w:val="19"/>
              </w:rPr>
              <w:t>*Quarterly*</w:t>
            </w:r>
          </w:p>
        </w:tc>
        <w:tc>
          <w:tcPr>
            <w:tcW w:type="dxa" w:w="936"/>
          </w:tcPr>
          <w:p>
            <w:r/>
            <w:r>
              <w:rPr>
                <w:rFonts w:ascii="Inter" w:hAnsi="Inter" w:cs="Inter"/>
                <w:b w:val="0"/>
                <w:i w:val="0"/>
                <w:color w:val="2D2D2D"/>
                <w:sz w:val="19"/>
              </w:rPr>
              <w:t>*Programs Division*</w:t>
            </w:r>
          </w:p>
        </w:tc>
      </w:tr>
      <w:tr>
        <w:tc>
          <w:tcPr>
            <w:tcW w:type="dxa" w:w="936"/>
            <w:shd w:fill="F0F3F6"/>
          </w:tcPr>
          <w:p>
            <w:r/>
            <w:r>
              <w:rPr>
                <w:rFonts w:ascii="Inter" w:hAnsi="Inter" w:cs="Inter"/>
                <w:b w:val="0"/>
                <w:i w:val="0"/>
                <w:color w:val="2D2D2D"/>
                <w:sz w:val="19"/>
              </w:rPr>
              <w:t>Impact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r/>
            <w:r>
              <w:rPr>
                <w:rFonts w:ascii="Inter" w:hAnsi="Inter" w:cs="Inter"/>
                <w:b w:val="0"/>
                <w:i w:val="0"/>
                <w:color w:val="2D2D2D"/>
                <w:sz w:val="19"/>
              </w:rPr>
              <w:t>Medium-Term Outcome</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shd w:fill="F0F3F6"/>
          </w:tcPr>
          <w:p>
            <w:r/>
            <w:r>
              <w:rPr>
                <w:rFonts w:ascii="Inter" w:hAnsi="Inter" w:cs="Inter"/>
                <w:b w:val="0"/>
                <w:i w:val="0"/>
                <w:color w:val="2D2D2D"/>
                <w:sz w:val="19"/>
              </w:rPr>
              <w:t>Medium-Term Outcome</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r/>
            <w:r>
              <w:rPr>
                <w:rFonts w:ascii="Inter" w:hAnsi="Inter" w:cs="Inter"/>
                <w:b w:val="0"/>
                <w:i w:val="0"/>
                <w:color w:val="2D2D2D"/>
                <w:sz w:val="19"/>
              </w:rPr>
              <w:t>Short-Term Outcome</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shd w:fill="F0F3F6"/>
          </w:tcPr>
          <w:p>
            <w:r/>
            <w:r>
              <w:rPr>
                <w:rFonts w:ascii="Inter" w:hAnsi="Inter" w:cs="Inter"/>
                <w:b w:val="0"/>
                <w:i w:val="0"/>
                <w:color w:val="2D2D2D"/>
                <w:sz w:val="19"/>
              </w:rPr>
              <w:t>Output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r/>
            <w:r>
              <w:rPr>
                <w:rFonts w:ascii="Inter" w:hAnsi="Inter" w:cs="Inter"/>
                <w:b w:val="0"/>
                <w:i w:val="0"/>
                <w:color w:val="2D2D2D"/>
                <w:sz w:val="19"/>
              </w:rPr>
              <w:t>Output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shd w:fill="F0F3F6"/>
          </w:tcPr>
          <w:p>
            <w:r/>
            <w:r>
              <w:rPr>
                <w:rFonts w:ascii="Inter" w:hAnsi="Inter" w:cs="Inter"/>
                <w:b w:val="0"/>
                <w:i w:val="0"/>
                <w:color w:val="2D2D2D"/>
                <w:sz w:val="19"/>
              </w:rPr>
              <w:t>Output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r/>
            <w:r>
              <w:rPr>
                <w:rFonts w:ascii="Inter" w:hAnsi="Inter" w:cs="Inter"/>
                <w:b w:val="0"/>
                <w:i w:val="0"/>
                <w:color w:val="2D2D2D"/>
                <w:sz w:val="19"/>
              </w:rPr>
              <w:t>Output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shd w:fill="F0F3F6"/>
          </w:tcPr>
          <w:p>
            <w:r/>
            <w:r>
              <w:rPr>
                <w:rFonts w:ascii="Inter" w:hAnsi="Inter" w:cs="Inter"/>
                <w:b w:val="0"/>
                <w:i w:val="0"/>
                <w:color w:val="2D2D2D"/>
                <w:sz w:val="19"/>
              </w:rPr>
              <w:t>Process/Activity</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bl>
    <w:p/>
    <w:p>
      <w:pPr>
        <w:pStyle w:val="Heading3"/>
      </w:pPr>
      <w:r>
        <w:rPr>
          <w:rFonts w:ascii="Inter" w:hAnsi="Inter" w:cs="Inter"/>
          <w:b/>
          <w:i w:val="0"/>
          <w:color w:val="2C5F7C"/>
          <w:sz w:val="26"/>
        </w:rPr>
        <w:t>Template 2: Indicator Registry (Detailed)</w:t>
      </w:r>
    </w:p>
    <w:p>
      <w:pPr>
        <w:spacing w:after="120" w:line="276" w:lineRule="auto"/>
      </w:pPr>
      <w:r>
        <w:rPr>
          <w:rFonts w:ascii="Inter" w:hAnsi="Inter" w:cs="Inter"/>
          <w:b w:val="0"/>
          <w:i w:val="0"/>
          <w:color w:val="2D2D2D"/>
          <w:sz w:val="22"/>
        </w:rPr>
        <w:t>*Complete one row per indicator. Do not leave columns blank. If baseline unavailable, enter "TBD by [date]" and include baseline study in Year 1 work plan.*</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B365D"/>
          </w:tcPr>
          <w:p>
            <w:r/>
            <w:r>
              <w:rPr>
                <w:rFonts w:ascii="Inter" w:hAnsi="Inter" w:cs="Inter"/>
                <w:b/>
                <w:i w:val="0"/>
                <w:color w:val="FFFFFF"/>
                <w:sz w:val="19"/>
              </w:rPr>
              <w:t>ID</w:t>
            </w:r>
          </w:p>
        </w:tc>
        <w:tc>
          <w:tcPr>
            <w:tcW w:type="dxa" w:w="851"/>
            <w:shd w:fill="1B365D"/>
          </w:tcPr>
          <w:p>
            <w:r/>
            <w:r>
              <w:rPr>
                <w:rFonts w:ascii="Inter" w:hAnsi="Inter" w:cs="Inter"/>
                <w:b/>
                <w:i w:val="0"/>
                <w:color w:val="FFFFFF"/>
                <w:sz w:val="19"/>
              </w:rPr>
              <w:t>Indicator Name</w:t>
            </w:r>
          </w:p>
        </w:tc>
        <w:tc>
          <w:tcPr>
            <w:tcW w:type="dxa" w:w="851"/>
            <w:shd w:fill="1B365D"/>
          </w:tcPr>
          <w:p>
            <w:r/>
            <w:r>
              <w:rPr>
                <w:rFonts w:ascii="Inter" w:hAnsi="Inter" w:cs="Inter"/>
                <w:b/>
                <w:i w:val="0"/>
                <w:color w:val="FFFFFF"/>
                <w:sz w:val="19"/>
              </w:rPr>
              <w:t>Definition</w:t>
            </w:r>
          </w:p>
        </w:tc>
        <w:tc>
          <w:tcPr>
            <w:tcW w:type="dxa" w:w="851"/>
            <w:shd w:fill="1B365D"/>
          </w:tcPr>
          <w:p>
            <w:r/>
            <w:r>
              <w:rPr>
                <w:rFonts w:ascii="Inter" w:hAnsi="Inter" w:cs="Inter"/>
                <w:b/>
                <w:i w:val="0"/>
                <w:color w:val="FFFFFF"/>
                <w:sz w:val="19"/>
              </w:rPr>
              <w:t>Unit</w:t>
            </w:r>
          </w:p>
        </w:tc>
        <w:tc>
          <w:tcPr>
            <w:tcW w:type="dxa" w:w="851"/>
            <w:shd w:fill="1B365D"/>
          </w:tcPr>
          <w:p>
            <w:r/>
            <w:r>
              <w:rPr>
                <w:rFonts w:ascii="Inter" w:hAnsi="Inter" w:cs="Inter"/>
                <w:b/>
                <w:i w:val="0"/>
                <w:color w:val="FFFFFF"/>
                <w:sz w:val="19"/>
              </w:rPr>
              <w:t>Baseline</w:t>
            </w:r>
          </w:p>
        </w:tc>
        <w:tc>
          <w:tcPr>
            <w:tcW w:type="dxa" w:w="851"/>
            <w:shd w:fill="1B365D"/>
          </w:tcPr>
          <w:p>
            <w:r/>
            <w:r>
              <w:rPr>
                <w:rFonts w:ascii="Inter" w:hAnsi="Inter" w:cs="Inter"/>
                <w:b/>
                <w:i w:val="0"/>
                <w:color w:val="FFFFFF"/>
                <w:sz w:val="19"/>
              </w:rPr>
              <w:t>Target (End of Plan)</w:t>
            </w:r>
          </w:p>
        </w:tc>
        <w:tc>
          <w:tcPr>
            <w:tcW w:type="dxa" w:w="851"/>
            <w:shd w:fill="1B365D"/>
          </w:tcPr>
          <w:p>
            <w:r/>
            <w:r>
              <w:rPr>
                <w:rFonts w:ascii="Inter" w:hAnsi="Inter" w:cs="Inter"/>
                <w:b/>
                <w:i w:val="0"/>
                <w:color w:val="FFFFFF"/>
                <w:sz w:val="19"/>
              </w:rPr>
              <w:t>Data Source</w:t>
            </w:r>
          </w:p>
        </w:tc>
        <w:tc>
          <w:tcPr>
            <w:tcW w:type="dxa" w:w="851"/>
            <w:shd w:fill="1B365D"/>
          </w:tcPr>
          <w:p>
            <w:r/>
            <w:r>
              <w:rPr>
                <w:rFonts w:ascii="Inter" w:hAnsi="Inter" w:cs="Inter"/>
                <w:b/>
                <w:i w:val="0"/>
                <w:color w:val="FFFFFF"/>
                <w:sz w:val="19"/>
              </w:rPr>
              <w:t>Collection Method</w:t>
            </w:r>
          </w:p>
        </w:tc>
        <w:tc>
          <w:tcPr>
            <w:tcW w:type="dxa" w:w="851"/>
            <w:shd w:fill="1B365D"/>
          </w:tcPr>
          <w:p>
            <w:r/>
            <w:r>
              <w:rPr>
                <w:rFonts w:ascii="Inter" w:hAnsi="Inter" w:cs="Inter"/>
                <w:b/>
                <w:i w:val="0"/>
                <w:color w:val="FFFFFF"/>
                <w:sz w:val="19"/>
              </w:rPr>
              <w:t>Frequency</w:t>
            </w:r>
          </w:p>
        </w:tc>
        <w:tc>
          <w:tcPr>
            <w:tcW w:type="dxa" w:w="851"/>
            <w:shd w:fill="1B365D"/>
          </w:tcPr>
          <w:p>
            <w:r/>
            <w:r>
              <w:rPr>
                <w:rFonts w:ascii="Inter" w:hAnsi="Inter" w:cs="Inter"/>
                <w:b/>
                <w:i w:val="0"/>
                <w:color w:val="FFFFFF"/>
                <w:sz w:val="19"/>
              </w:rPr>
              <w:t>Responsible Officer</w:t>
            </w:r>
          </w:p>
        </w:tc>
        <w:tc>
          <w:tcPr>
            <w:tcW w:type="dxa" w:w="851"/>
            <w:shd w:fill="1B365D"/>
          </w:tcPr>
          <w:p>
            <w:r/>
            <w:r>
              <w:rPr>
                <w:rFonts w:ascii="Inter" w:hAnsi="Inter" w:cs="Inter"/>
                <w:b/>
                <w:i w:val="0"/>
                <w:color w:val="FFFFFF"/>
                <w:sz w:val="19"/>
              </w:rPr>
              <w:t>Reports To</w:t>
            </w:r>
          </w:p>
        </w:tc>
      </w:tr>
      <w:tr>
        <w:tc>
          <w:tcPr>
            <w:tcW w:type="dxa" w:w="851"/>
          </w:tcPr>
          <w:p>
            <w:r/>
            <w:r>
              <w:rPr>
                <w:rFonts w:ascii="Inter" w:hAnsi="Inter" w:cs="Inter"/>
                <w:b w:val="0"/>
                <w:i w:val="0"/>
                <w:color w:val="2D2D2D"/>
                <w:sz w:val="19"/>
              </w:rPr>
              <w:t>*IMP-01*</w:t>
            </w:r>
          </w:p>
        </w:tc>
        <w:tc>
          <w:tcPr>
            <w:tcW w:type="dxa" w:w="851"/>
          </w:tcPr>
          <w:p>
            <w:r/>
            <w:r>
              <w:rPr>
                <w:rFonts w:ascii="Inter" w:hAnsi="Inter" w:cs="Inter"/>
                <w:b w:val="0"/>
                <w:i w:val="0"/>
                <w:color w:val="2D2D2D"/>
                <w:sz w:val="19"/>
              </w:rPr>
              <w:t>*% of OBC communities with documented BARMM service access*</w:t>
            </w:r>
          </w:p>
        </w:tc>
        <w:tc>
          <w:tcPr>
            <w:tcW w:type="dxa" w:w="851"/>
          </w:tcPr>
          <w:p>
            <w:r/>
            <w:r>
              <w:rPr>
                <w:rFonts w:ascii="Inter" w:hAnsi="Inter" w:cs="Inter"/>
                <w:b w:val="0"/>
                <w:i w:val="0"/>
                <w:color w:val="2D2D2D"/>
                <w:sz w:val="19"/>
              </w:rPr>
              <w:t>*Of all OBC communities in the registry, % with at least one documented instance of accessing a BARMM program or service during the reporting year*</w:t>
            </w:r>
          </w:p>
        </w:tc>
        <w:tc>
          <w:tcPr>
            <w:tcW w:type="dxa" w:w="851"/>
          </w:tcPr>
          <w:p>
            <w:r/>
            <w:r>
              <w:rPr>
                <w:rFonts w:ascii="Inter" w:hAnsi="Inter" w:cs="Inter"/>
                <w:b w:val="0"/>
                <w:i w:val="0"/>
                <w:color w:val="2D2D2D"/>
                <w:sz w:val="19"/>
              </w:rPr>
              <w:t>*Percentage*</w:t>
            </w:r>
          </w:p>
        </w:tc>
        <w:tc>
          <w:tcPr>
            <w:tcW w:type="dxa" w:w="851"/>
          </w:tcPr>
          <w:p>
            <w:r/>
            <w:r>
              <w:rPr>
                <w:rFonts w:ascii="Inter" w:hAnsi="Inter" w:cs="Inter"/>
                <w:b w:val="0"/>
                <w:i w:val="0"/>
                <w:color w:val="2D2D2D"/>
                <w:sz w:val="19"/>
              </w:rPr>
              <w:t>*TBD (Jun 2026)*</w:t>
            </w:r>
          </w:p>
        </w:tc>
        <w:tc>
          <w:tcPr>
            <w:tcW w:type="dxa" w:w="851"/>
          </w:tcPr>
          <w:p>
            <w:r/>
            <w:r>
              <w:rPr>
                <w:rFonts w:ascii="Inter" w:hAnsi="Inter" w:cs="Inter"/>
                <w:b w:val="0"/>
                <w:i w:val="0"/>
                <w:color w:val="2D2D2D"/>
                <w:sz w:val="19"/>
              </w:rPr>
              <w:t>*50%*</w:t>
            </w:r>
          </w:p>
        </w:tc>
        <w:tc>
          <w:tcPr>
            <w:tcW w:type="dxa" w:w="851"/>
          </w:tcPr>
          <w:p>
            <w:r/>
            <w:r>
              <w:rPr>
                <w:rFonts w:ascii="Inter" w:hAnsi="Inter" w:cs="Inter"/>
                <w:b w:val="0"/>
                <w:i w:val="0"/>
                <w:color w:val="2D2D2D"/>
                <w:sz w:val="19"/>
              </w:rPr>
              <w:t>*OOBC Service Access Registry*</w:t>
            </w:r>
          </w:p>
        </w:tc>
        <w:tc>
          <w:tcPr>
            <w:tcW w:type="dxa" w:w="851"/>
          </w:tcPr>
          <w:p>
            <w:r/>
            <w:r>
              <w:rPr>
                <w:rFonts w:ascii="Inter" w:hAnsi="Inter" w:cs="Inter"/>
                <w:b w:val="0"/>
                <w:i w:val="0"/>
                <w:color w:val="2D2D2D"/>
                <w:sz w:val="19"/>
              </w:rPr>
              <w:t>*Compilation of service delivery records from field offices, cross-referenced with LGU records*</w:t>
            </w:r>
          </w:p>
        </w:tc>
        <w:tc>
          <w:tcPr>
            <w:tcW w:type="dxa" w:w="851"/>
          </w:tcPr>
          <w:p>
            <w:r/>
            <w:r>
              <w:rPr>
                <w:rFonts w:ascii="Inter" w:hAnsi="Inter" w:cs="Inter"/>
                <w:b w:val="0"/>
                <w:i w:val="0"/>
                <w:color w:val="2D2D2D"/>
                <w:sz w:val="19"/>
              </w:rPr>
              <w:t>*Annually*</w:t>
            </w:r>
          </w:p>
        </w:tc>
        <w:tc>
          <w:tcPr>
            <w:tcW w:type="dxa" w:w="851"/>
          </w:tcPr>
          <w:p>
            <w:r/>
            <w:r>
              <w:rPr>
                <w:rFonts w:ascii="Inter" w:hAnsi="Inter" w:cs="Inter"/>
                <w:b w:val="0"/>
                <w:i w:val="0"/>
                <w:color w:val="2D2D2D"/>
                <w:sz w:val="19"/>
              </w:rPr>
              <w:t>*Planning and M&amp;E Focal Person*</w:t>
            </w:r>
          </w:p>
        </w:tc>
        <w:tc>
          <w:tcPr>
            <w:tcW w:type="dxa" w:w="851"/>
          </w:tcPr>
          <w:p>
            <w:r/>
            <w:r>
              <w:rPr>
                <w:rFonts w:ascii="Inter" w:hAnsi="Inter" w:cs="Inter"/>
                <w:b w:val="0"/>
                <w:i w:val="0"/>
                <w:color w:val="2D2D2D"/>
                <w:sz w:val="19"/>
              </w:rPr>
              <w:t>*Executive Director, OCM*</w:t>
            </w:r>
          </w:p>
        </w:tc>
      </w:tr>
      <w:tr>
        <w:tc>
          <w:tcPr>
            <w:tcW w:type="dxa" w:w="851"/>
            <w:shd w:fill="F0F3F6"/>
          </w:tcPr>
          <w:p>
            <w:r/>
            <w:r>
              <w:rPr>
                <w:rFonts w:ascii="Inter" w:hAnsi="Inter" w:cs="Inter"/>
                <w:b w:val="0"/>
                <w:i w:val="0"/>
                <w:color w:val="2D2D2D"/>
                <w:sz w:val="19"/>
              </w:rPr>
              <w:t>*OUT-01*</w:t>
            </w:r>
          </w:p>
        </w:tc>
        <w:tc>
          <w:tcPr>
            <w:tcW w:type="dxa" w:w="851"/>
            <w:shd w:fill="F0F3F6"/>
          </w:tcPr>
          <w:p>
            <w:r/>
            <w:r>
              <w:rPr>
                <w:rFonts w:ascii="Inter" w:hAnsi="Inter" w:cs="Inter"/>
                <w:b w:val="0"/>
                <w:i w:val="0"/>
                <w:color w:val="2D2D2D"/>
                <w:sz w:val="19"/>
              </w:rPr>
              <w:t>*% of target provinces with completed OBC profiles*</w:t>
            </w:r>
          </w:p>
        </w:tc>
        <w:tc>
          <w:tcPr>
            <w:tcW w:type="dxa" w:w="851"/>
            <w:shd w:fill="F0F3F6"/>
          </w:tcPr>
          <w:p>
            <w:r/>
            <w:r>
              <w:rPr>
                <w:rFonts w:ascii="Inter" w:hAnsi="Inter" w:cs="Inter"/>
                <w:b w:val="0"/>
                <w:i w:val="0"/>
                <w:color w:val="2D2D2D"/>
                <w:sz w:val="19"/>
              </w:rPr>
              <w:t>*Of all provinces/regions hosting significant OBC populations, % with completed community profiling data encoded in OBC Needs Database*</w:t>
            </w:r>
          </w:p>
        </w:tc>
        <w:tc>
          <w:tcPr>
            <w:tcW w:type="dxa" w:w="851"/>
            <w:shd w:fill="F0F3F6"/>
          </w:tcPr>
          <w:p>
            <w:r/>
            <w:r>
              <w:rPr>
                <w:rFonts w:ascii="Inter" w:hAnsi="Inter" w:cs="Inter"/>
                <w:b w:val="0"/>
                <w:i w:val="0"/>
                <w:color w:val="2D2D2D"/>
                <w:sz w:val="19"/>
              </w:rPr>
              <w:t>*Percentage*</w:t>
            </w:r>
          </w:p>
        </w:tc>
        <w:tc>
          <w:tcPr>
            <w:tcW w:type="dxa" w:w="851"/>
            <w:shd w:fill="F0F3F6"/>
          </w:tcPr>
          <w:p>
            <w:r/>
            <w:r>
              <w:rPr>
                <w:rFonts w:ascii="Inter" w:hAnsi="Inter" w:cs="Inter"/>
                <w:b w:val="0"/>
                <w:i w:val="0"/>
                <w:color w:val="2D2D2D"/>
                <w:sz w:val="19"/>
              </w:rPr>
              <w:t>*0% (FY 2025)*</w:t>
            </w:r>
          </w:p>
        </w:tc>
        <w:tc>
          <w:tcPr>
            <w:tcW w:type="dxa" w:w="851"/>
            <w:shd w:fill="F0F3F6"/>
          </w:tcPr>
          <w:p>
            <w:r/>
            <w:r>
              <w:rPr>
                <w:rFonts w:ascii="Inter" w:hAnsi="Inter" w:cs="Inter"/>
                <w:b w:val="0"/>
                <w:i w:val="0"/>
                <w:color w:val="2D2D2D"/>
                <w:sz w:val="19"/>
              </w:rPr>
              <w:t>*100%*</w:t>
            </w:r>
          </w:p>
        </w:tc>
        <w:tc>
          <w:tcPr>
            <w:tcW w:type="dxa" w:w="851"/>
            <w:shd w:fill="F0F3F6"/>
          </w:tcPr>
          <w:p>
            <w:r/>
            <w:r>
              <w:rPr>
                <w:rFonts w:ascii="Inter" w:hAnsi="Inter" w:cs="Inter"/>
                <w:b w:val="0"/>
                <w:i w:val="0"/>
                <w:color w:val="2D2D2D"/>
                <w:sz w:val="19"/>
              </w:rPr>
              <w:t>*OBC Needs Database*</w:t>
            </w:r>
          </w:p>
        </w:tc>
        <w:tc>
          <w:tcPr>
            <w:tcW w:type="dxa" w:w="851"/>
            <w:shd w:fill="F0F3F6"/>
          </w:tcPr>
          <w:p>
            <w:r/>
            <w:r>
              <w:rPr>
                <w:rFonts w:ascii="Inter" w:hAnsi="Inter" w:cs="Inter"/>
                <w:b w:val="0"/>
                <w:i w:val="0"/>
                <w:color w:val="2D2D2D"/>
                <w:sz w:val="19"/>
              </w:rPr>
              <w:t>*Database extraction; validated against field profiling reports*</w:t>
            </w:r>
          </w:p>
        </w:tc>
        <w:tc>
          <w:tcPr>
            <w:tcW w:type="dxa" w:w="851"/>
            <w:shd w:fill="F0F3F6"/>
          </w:tcPr>
          <w:p>
            <w:r/>
            <w:r>
              <w:rPr>
                <w:rFonts w:ascii="Inter" w:hAnsi="Inter" w:cs="Inter"/>
                <w:b w:val="0"/>
                <w:i w:val="0"/>
                <w:color w:val="2D2D2D"/>
                <w:sz w:val="19"/>
              </w:rPr>
              <w:t>*Quarterly*</w:t>
            </w:r>
          </w:p>
        </w:tc>
        <w:tc>
          <w:tcPr>
            <w:tcW w:type="dxa" w:w="851"/>
            <w:shd w:fill="F0F3F6"/>
          </w:tcPr>
          <w:p>
            <w:r/>
            <w:r>
              <w:rPr>
                <w:rFonts w:ascii="Inter" w:hAnsi="Inter" w:cs="Inter"/>
                <w:b w:val="0"/>
                <w:i w:val="0"/>
                <w:color w:val="2D2D2D"/>
                <w:sz w:val="19"/>
              </w:rPr>
              <w:t>*Programs Division Chief*</w:t>
            </w:r>
          </w:p>
        </w:tc>
        <w:tc>
          <w:tcPr>
            <w:tcW w:type="dxa" w:w="851"/>
            <w:shd w:fill="F0F3F6"/>
          </w:tcPr>
          <w:p>
            <w:r/>
            <w:r>
              <w:rPr>
                <w:rFonts w:ascii="Inter" w:hAnsi="Inter" w:cs="Inter"/>
                <w:b w:val="0"/>
                <w:i w:val="0"/>
                <w:color w:val="2D2D2D"/>
                <w:sz w:val="19"/>
              </w:rPr>
              <w:t>*Executive Director*</w:t>
            </w:r>
          </w:p>
        </w:tc>
      </w:tr>
      <w:tr>
        <w:tc>
          <w:tcPr>
            <w:tcW w:type="dxa" w:w="851"/>
          </w:tcPr>
          <w:p>
            <w:r/>
            <w:r>
              <w:rPr>
                <w:rFonts w:ascii="Inter" w:hAnsi="Inter" w:cs="Inter"/>
                <w:b w:val="0"/>
                <w:i w:val="0"/>
                <w:color w:val="2D2D2D"/>
                <w:sz w:val="19"/>
              </w:rPr>
              <w:t>*OTP-01*</w:t>
            </w:r>
          </w:p>
        </w:tc>
        <w:tc>
          <w:tcPr>
            <w:tcW w:type="dxa" w:w="851"/>
          </w:tcPr>
          <w:p>
            <w:r/>
            <w:r>
              <w:rPr>
                <w:rFonts w:ascii="Inter" w:hAnsi="Inter" w:cs="Inter"/>
                <w:b w:val="0"/>
                <w:i w:val="0"/>
                <w:color w:val="2D2D2D"/>
                <w:sz w:val="19"/>
              </w:rPr>
              <w:t>*OBC communities profiled and data encoded*</w:t>
            </w:r>
          </w:p>
        </w:tc>
        <w:tc>
          <w:tcPr>
            <w:tcW w:type="dxa" w:w="851"/>
          </w:tcPr>
          <w:p>
            <w:r/>
            <w:r>
              <w:rPr>
                <w:rFonts w:ascii="Inter" w:hAnsi="Inter" w:cs="Inter"/>
                <w:b w:val="0"/>
                <w:i w:val="0"/>
                <w:color w:val="2D2D2D"/>
                <w:sz w:val="19"/>
              </w:rPr>
              <w:t>*Cumulative count of OBC communities where profiling has been completed and data encoded in the OBC Needs Database*</w:t>
            </w:r>
          </w:p>
        </w:tc>
        <w:tc>
          <w:tcPr>
            <w:tcW w:type="dxa" w:w="851"/>
          </w:tcPr>
          <w:p>
            <w:r/>
            <w:r>
              <w:rPr>
                <w:rFonts w:ascii="Inter" w:hAnsi="Inter" w:cs="Inter"/>
                <w:b w:val="0"/>
                <w:i w:val="0"/>
                <w:color w:val="2D2D2D"/>
                <w:sz w:val="19"/>
              </w:rPr>
              <w:t>*Count*</w:t>
            </w:r>
          </w:p>
        </w:tc>
        <w:tc>
          <w:tcPr>
            <w:tcW w:type="dxa" w:w="851"/>
          </w:tcPr>
          <w:p>
            <w:r/>
            <w:r>
              <w:rPr>
                <w:rFonts w:ascii="Inter" w:hAnsi="Inter" w:cs="Inter"/>
                <w:b w:val="0"/>
                <w:i w:val="0"/>
                <w:color w:val="2D2D2D"/>
                <w:sz w:val="19"/>
              </w:rPr>
              <w:t>*0*</w:t>
            </w:r>
          </w:p>
        </w:tc>
        <w:tc>
          <w:tcPr>
            <w:tcW w:type="dxa" w:w="851"/>
          </w:tcPr>
          <w:p>
            <w:r/>
            <w:r>
              <w:rPr>
                <w:rFonts w:ascii="Inter" w:hAnsi="Inter" w:cs="Inter"/>
                <w:b w:val="0"/>
                <w:i w:val="0"/>
                <w:color w:val="2D2D2D"/>
                <w:sz w:val="19"/>
              </w:rPr>
              <w:t>*200*</w:t>
            </w:r>
          </w:p>
        </w:tc>
        <w:tc>
          <w:tcPr>
            <w:tcW w:type="dxa" w:w="851"/>
          </w:tcPr>
          <w:p>
            <w:r/>
            <w:r>
              <w:rPr>
                <w:rFonts w:ascii="Inter" w:hAnsi="Inter" w:cs="Inter"/>
                <w:b w:val="0"/>
                <w:i w:val="0"/>
                <w:color w:val="2D2D2D"/>
                <w:sz w:val="19"/>
              </w:rPr>
              <w:t>*OBC Needs Database*</w:t>
            </w:r>
          </w:p>
        </w:tc>
        <w:tc>
          <w:tcPr>
            <w:tcW w:type="dxa" w:w="851"/>
          </w:tcPr>
          <w:p>
            <w:r/>
            <w:r>
              <w:rPr>
                <w:rFonts w:ascii="Inter" w:hAnsi="Inter" w:cs="Inter"/>
                <w:b w:val="0"/>
                <w:i w:val="0"/>
                <w:color w:val="2D2D2D"/>
                <w:sz w:val="19"/>
              </w:rPr>
              <w:t>*Database record count, verified against field profiling completion reports*</w:t>
            </w:r>
          </w:p>
        </w:tc>
        <w:tc>
          <w:tcPr>
            <w:tcW w:type="dxa" w:w="851"/>
          </w:tcPr>
          <w:p>
            <w:r/>
            <w:r>
              <w:rPr>
                <w:rFonts w:ascii="Inter" w:hAnsi="Inter" w:cs="Inter"/>
                <w:b w:val="0"/>
                <w:i w:val="0"/>
                <w:color w:val="2D2D2D"/>
                <w:sz w:val="19"/>
              </w:rPr>
              <w:t>*Quarterly*</w:t>
            </w:r>
          </w:p>
        </w:tc>
        <w:tc>
          <w:tcPr>
            <w:tcW w:type="dxa" w:w="851"/>
          </w:tcPr>
          <w:p>
            <w:r/>
            <w:r>
              <w:rPr>
                <w:rFonts w:ascii="Inter" w:hAnsi="Inter" w:cs="Inter"/>
                <w:b w:val="0"/>
                <w:i w:val="0"/>
                <w:color w:val="2D2D2D"/>
                <w:sz w:val="19"/>
              </w:rPr>
              <w:t>*Programs Division Chief*</w:t>
            </w:r>
          </w:p>
        </w:tc>
        <w:tc>
          <w:tcPr>
            <w:tcW w:type="dxa" w:w="851"/>
          </w:tcPr>
          <w:p>
            <w:r/>
            <w:r>
              <w:rPr>
                <w:rFonts w:ascii="Inter" w:hAnsi="Inter" w:cs="Inter"/>
                <w:b w:val="0"/>
                <w:i w:val="0"/>
                <w:color w:val="2D2D2D"/>
                <w:sz w:val="19"/>
              </w:rPr>
              <w:t>*Executive Director*</w:t>
            </w:r>
          </w:p>
        </w:tc>
      </w:tr>
    </w:tbl>
    <w:p/>
    <w:p>
      <w:pPr>
        <w:pStyle w:val="Heading2"/>
      </w:pPr>
      <w:r>
        <w:rPr>
          <w:rFonts w:ascii="Inter" w:hAnsi="Inter" w:cs="Inter"/>
          <w:b/>
          <w:i w:val="0"/>
          <w:color w:val="1B365D"/>
          <w:sz w:val="32"/>
        </w:rPr>
        <w:t>11.8 Quality Checklist</w:t>
      </w:r>
    </w:p>
    <w:p>
      <w:pPr>
        <w:spacing w:after="120" w:line="276" w:lineRule="auto"/>
      </w:pPr>
      <w:r>
        <w:rPr>
          <w:rFonts w:ascii="Inter" w:hAnsi="Inter" w:cs="Inter"/>
          <w:b w:val="0"/>
          <w:i w:val="0"/>
          <w:color w:val="2D2D2D"/>
          <w:sz w:val="22"/>
        </w:rPr>
        <w:t>Before finalizing your M&amp;E framework, verify:</w:t>
      </w:r>
    </w:p>
    <w:p>
      <w:pPr>
        <w:pStyle w:val="ListBullet"/>
      </w:pPr>
      <w:r>
        <w:rPr>
          <w:rFonts w:ascii="Inter" w:hAnsi="Inter" w:cs="Inter"/>
          <w:b w:val="0"/>
          <w:i w:val="0"/>
          <w:color w:val="2D2D2D"/>
          <w:sz w:val="22"/>
        </w:rPr>
        <w:t>[ ] Every ToC level has at least one indicator (impact, outcomes, outputs all covered).</w:t>
      </w:r>
    </w:p>
    <w:p>
      <w:pPr>
        <w:pStyle w:val="ListBullet"/>
      </w:pPr>
      <w:r>
        <w:rPr>
          <w:rFonts w:ascii="Inter" w:hAnsi="Inter" w:cs="Inter"/>
          <w:b w:val="0"/>
          <w:i w:val="0"/>
          <w:color w:val="2D2D2D"/>
          <w:sz w:val="22"/>
        </w:rPr>
        <w:t>[ ] Every indicator has a defined baseline (or a baseline study is scheduled and budgeted in Year 1).</w:t>
      </w:r>
    </w:p>
    <w:p>
      <w:pPr>
        <w:pStyle w:val="ListBullet"/>
      </w:pPr>
      <w:r>
        <w:rPr>
          <w:rFonts w:ascii="Inter" w:hAnsi="Inter" w:cs="Inter"/>
          <w:b w:val="0"/>
          <w:i w:val="0"/>
          <w:color w:val="2D2D2D"/>
          <w:sz w:val="22"/>
        </w:rPr>
        <w:t>[ ] Annual targets are set for every indicator for each year of the plan.</w:t>
      </w:r>
    </w:p>
    <w:p>
      <w:pPr>
        <w:pStyle w:val="ListBullet"/>
      </w:pPr>
      <w:r>
        <w:rPr>
          <w:rFonts w:ascii="Inter" w:hAnsi="Inter" w:cs="Inter"/>
          <w:b w:val="0"/>
          <w:i w:val="0"/>
          <w:color w:val="2D2D2D"/>
          <w:sz w:val="22"/>
        </w:rPr>
        <w:t>[ ] Data sources are identified and accessible for every indicator.</w:t>
      </w:r>
    </w:p>
    <w:p>
      <w:pPr>
        <w:pStyle w:val="ListBullet"/>
      </w:pPr>
      <w:r>
        <w:rPr>
          <w:rFonts w:ascii="Inter" w:hAnsi="Inter" w:cs="Inter"/>
          <w:b w:val="0"/>
          <w:i w:val="0"/>
          <w:color w:val="2D2D2D"/>
          <w:sz w:val="22"/>
        </w:rPr>
        <w:t>[ ] Collection frequency is realistic (no indicator requires more collection than the unit can sustain).</w:t>
      </w:r>
    </w:p>
    <w:p>
      <w:pPr>
        <w:pStyle w:val="ListBullet"/>
      </w:pPr>
      <w:r>
        <w:rPr>
          <w:rFonts w:ascii="Inter" w:hAnsi="Inter" w:cs="Inter"/>
          <w:b w:val="0"/>
          <w:i w:val="0"/>
          <w:color w:val="2D2D2D"/>
          <w:sz w:val="22"/>
        </w:rPr>
        <w:t>[ ] Reporting schedule is defined with specific due dates and named recipients.</w:t>
      </w:r>
    </w:p>
    <w:p>
      <w:pPr>
        <w:pStyle w:val="ListBullet"/>
      </w:pPr>
      <w:r>
        <w:rPr>
          <w:rFonts w:ascii="Inter" w:hAnsi="Inter" w:cs="Inter"/>
          <w:b w:val="0"/>
          <w:i w:val="0"/>
          <w:color w:val="2D2D2D"/>
          <w:sz w:val="22"/>
        </w:rPr>
        <w:t>[ ] Mid-term review and end-of-plan evaluation are scheduled with indicative TOR and budget.</w:t>
      </w:r>
    </w:p>
    <w:p>
      <w:pPr>
        <w:pStyle w:val="ListBullet"/>
      </w:pPr>
      <w:r>
        <w:rPr>
          <w:rFonts w:ascii="Inter" w:hAnsi="Inter" w:cs="Inter"/>
          <w:b w:val="0"/>
          <w:i w:val="0"/>
          <w:color w:val="2D2D2D"/>
          <w:sz w:val="22"/>
        </w:rPr>
        <w:t>[ ] M&amp;E is budgeted in the resource plan (Chapter 9) with explicit line items.</w:t>
      </w:r>
    </w:p>
    <w:p>
      <w:pPr>
        <w:pStyle w:val="ListBullet"/>
      </w:pPr>
      <w:r>
        <w:rPr>
          <w:rFonts w:ascii="Inter" w:hAnsi="Inter" w:cs="Inter"/>
          <w:b w:val="0"/>
          <w:i w:val="0"/>
          <w:color w:val="2D2D2D"/>
          <w:sz w:val="22"/>
        </w:rPr>
        <w:t>[ ] Adaptive management triggers are documented for underperformance, stagnation, and critical variance.</w:t>
      </w:r>
    </w:p>
    <w:p>
      <w:pPr>
        <w:pStyle w:val="ListBullet"/>
      </w:pPr>
      <w:r>
        <w:rPr>
          <w:rFonts w:ascii="Inter" w:hAnsi="Inter" w:cs="Inter"/>
          <w:b w:val="0"/>
          <w:i w:val="0"/>
          <w:color w:val="2D2D2D"/>
          <w:sz w:val="22"/>
        </w:rPr>
        <w:t>[ ] Total indicator count does not exceed 40, with a named responsible officer for each.</w:t>
      </w:r>
    </w:p>
    <w:p>
      <w:pPr>
        <w:spacing w:after="120" w:line="276" w:lineRule="auto"/>
      </w:pPr>
      <w:r>
        <w:rPr>
          <w:rFonts w:ascii="Inter" w:hAnsi="Inter" w:cs="Inter"/>
          <w:b w:val="0"/>
          <w:i w:val="0"/>
          <w:color w:val="2D2D2D"/>
          <w:sz w:val="22"/>
        </w:rPr>
        <w:t>[^1]: Variance thresholds should be calibrated to your MOA's context. The thresholds used here (10%, 25%, 50%) are consistent with UNDP and World Bank guidelines for results-based management in developing country contexts. Your MOA may adjust these based on the maturity of your M&amp;E system and the volatility of your operating environment.</w:t>
      </w:r>
    </w:p>
    <w:p>
      <w:pPr>
        <w:spacing w:after="120" w:line="276" w:lineRule="auto"/>
      </w:pPr>
      <w:r>
        <w:rPr>
          <w:rFonts w:ascii="Inter" w:hAnsi="Inter" w:cs="Inter"/>
          <w:b w:val="0"/>
          <w:i w:val="0"/>
          <w:color w:val="2D2D2D"/>
          <w:sz w:val="22"/>
        </w:rPr>
        <w:t>[^2]: Republic Act No. 11054 (Bangsamoro Organic Law), Article VII, Section 1, provides that the Bangsamoro Government shall adopt a performance-oriented budgeting system. BAA No. 84 (Bangsamoro Budget System Act) operationalizes this requirement through quarterly and annual performance reporting requirements.</w:t>
      </w:r>
    </w:p>
    <w:p>
      <w:pPr>
        <w:spacing w:after="120" w:line="276" w:lineRule="auto"/>
      </w:pPr>
      <w:r>
        <w:rPr>
          <w:rFonts w:ascii="Inter" w:hAnsi="Inter" w:cs="Inter"/>
          <w:b w:val="0"/>
          <w:i w:val="0"/>
          <w:color w:val="2D2D2D"/>
          <w:sz w:val="22"/>
        </w:rPr>
        <w:t>[^3]: The Bangsamoro Planning and Development Authority (BPDA) issues annual guidelines for strategic plan monitoring and reporting. MOAs should confirm current reporting requirements with BPDA at the start of each fiscal year.</w:t>
      </w:r>
    </w:p>
    <w:p>
      <w:pPr>
        <w:spacing w:after="120" w:line="276" w:lineRule="auto"/>
      </w:pPr>
      <w:r>
        <w:rPr>
          <w:rFonts w:ascii="Inter" w:hAnsi="Inter" w:cs="Inter"/>
          <w:b w:val="0"/>
          <w:i w:val="0"/>
          <w:color w:val="2D2D2D"/>
          <w:sz w:val="22"/>
        </w:rPr>
        <w:t>[^4]: These six data quality criteria are drawn from the UNDP Handbook on Planning, Monitoring and Evaluating for Development Results (2009) and adapted for BARMM MOA contexts.</w:t>
      </w:r>
    </w:p>
    <w:p>
      <w:pPr>
        <w:spacing w:after="120" w:line="276" w:lineRule="auto"/>
      </w:pPr>
      <w:r>
        <w:rPr>
          <w:rFonts w:ascii="Inter" w:hAnsi="Inter" w:cs="Inter"/>
          <w:b w:val="0"/>
          <w:i w:val="0"/>
          <w:color w:val="2D2D2D"/>
          <w:sz w:val="22"/>
        </w:rPr>
        <w:t>[^5]: The 3-7% range is cited in the UNDP Handbook on Planning, Monitoring and Evaluating for Development Results and the World Bank's Ten Steps to a Results-Based Monitoring and Evaluation System. The appropriate percentage depends on program complexity, the number of indicators, and the availability of existing data systems.</w:t>
      </w:r>
    </w:p>
    <w:p>
      <w:pPr>
        <w:pageBreakBefore/>
      </w:pPr>
    </w:p>
    <w:p>
      <w:pPr>
        <w:pStyle w:val="Heading1"/>
      </w:pPr>
      <w:r>
        <w:rPr>
          <w:rFonts w:ascii="Inter" w:hAnsi="Inter" w:cs="Inter"/>
          <w:b/>
          <w:i w:val="0"/>
          <w:color w:val="1B365D"/>
          <w:sz w:val="44"/>
        </w:rPr>
        <w:t>Chapter 12: Assembling the MOA Strategic Plan</w:t>
      </w:r>
    </w:p>
    <w:p>
      <w:pPr>
        <w:spacing w:after="120" w:line="276" w:lineRule="auto"/>
      </w:pPr>
      <w:r>
        <w:rPr>
          <w:rFonts w:ascii="Inter" w:hAnsi="Inter" w:cs="Inter"/>
          <w:b w:val="0"/>
          <w:i w:val="0"/>
          <w:color w:val="2D2D2D"/>
          <w:sz w:val="22"/>
        </w:rPr>
        <w:t>You have done the hard work. Over the past ten chapters, you worked through every layer of the 10-Point Planning Framework — from establishing your legal mandate to designing your M&amp;E system. Each chapter produced a document: a matrix, a register, a map, a plan. Taken together, those documents are your strategic plan.</w:t>
      </w:r>
    </w:p>
    <w:p>
      <w:pPr>
        <w:spacing w:after="120" w:line="276" w:lineRule="auto"/>
      </w:pPr>
      <w:r>
        <w:rPr>
          <w:rFonts w:ascii="Inter" w:hAnsi="Inter" w:cs="Inter"/>
          <w:b w:val="0"/>
          <w:i w:val="0"/>
          <w:color w:val="2D2D2D"/>
          <w:sz w:val="22"/>
        </w:rPr>
        <w:t>But right now, they exist as separate files, each sitting in its own folder or binder. A stack of templates is not a plan. A plan is a coherent, integrated submission that tells a single story: who you are, what you are authorized to do, what you intend to change, how you intend to change it, what it will cost, and how you will know it worked.</w:t>
      </w:r>
    </w:p>
    <w:p>
      <w:pPr>
        <w:spacing w:after="120" w:line="276" w:lineRule="auto"/>
      </w:pPr>
      <w:r>
        <w:rPr>
          <w:rFonts w:ascii="Inter" w:hAnsi="Inter" w:cs="Inter"/>
          <w:b w:val="0"/>
          <w:i w:val="0"/>
          <w:color w:val="2D2D2D"/>
          <w:sz w:val="22"/>
        </w:rPr>
        <w:t>This chapter shows you how to assemble all ten outputs into one submission package, write the executive summary that will be read first, navigate the approval workflow, and maintain the plan across its full lifecycle.</w:t>
      </w:r>
    </w:p>
    <w:p>
      <w:pPr>
        <w:spacing w:after="120" w:line="276" w:lineRule="auto"/>
      </w:pPr>
      <w:r>
        <w:rPr>
          <w:rFonts w:ascii="Inter" w:hAnsi="Inter" w:cs="Inter"/>
          <w:b w:val="0"/>
          <w:i w:val="0"/>
          <w:color w:val="2D2D2D"/>
          <w:sz w:val="22"/>
        </w:rPr>
        <w:t>This is the payoff. Everything you built now goes together.</w:t>
      </w:r>
    </w:p>
    <w:p>
      <w:pPr>
        <w:pStyle w:val="Heading2"/>
      </w:pPr>
      <w:r>
        <w:rPr>
          <w:rFonts w:ascii="Inter" w:hAnsi="Inter" w:cs="Inter"/>
          <w:b/>
          <w:i w:val="0"/>
          <w:color w:val="1B365D"/>
          <w:sz w:val="32"/>
        </w:rPr>
        <w:t>12.1 What You Have Built</w:t>
      </w:r>
    </w:p>
    <w:p>
      <w:pPr>
        <w:spacing w:after="120" w:line="276" w:lineRule="auto"/>
      </w:pPr>
      <w:r>
        <w:rPr>
          <w:rFonts w:ascii="Inter" w:hAnsi="Inter" w:cs="Inter"/>
          <w:b w:val="0"/>
          <w:i w:val="0"/>
          <w:color w:val="2D2D2D"/>
          <w:sz w:val="22"/>
        </w:rPr>
        <w:t>Look at what your planning team has produced. Each chapter of this guidebook corresponds to one or more template outputs. Across Chapters 2 through 11, you generated ten foundational documents.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Document</w:t>
            </w:r>
          </w:p>
        </w:tc>
        <w:tc>
          <w:tcPr>
            <w:tcW w:type="dxa" w:w="3120"/>
            <w:shd w:fill="1B365D"/>
          </w:tcPr>
          <w:p>
            <w:r/>
            <w:r>
              <w:rPr>
                <w:rFonts w:ascii="Inter" w:hAnsi="Inter" w:cs="Inter"/>
                <w:b/>
                <w:i w:val="0"/>
                <w:color w:val="FFFFFF"/>
                <w:sz w:val="19"/>
              </w:rPr>
              <w:t>Produced in</w:t>
            </w:r>
          </w:p>
        </w:tc>
        <w:tc>
          <w:tcPr>
            <w:tcW w:type="dxa" w:w="3120"/>
            <w:shd w:fill="1B365D"/>
          </w:tcPr>
          <w:p>
            <w:r/>
            <w:r>
              <w:rPr>
                <w:rFonts w:ascii="Inter" w:hAnsi="Inter" w:cs="Inter"/>
                <w:b/>
                <w:i w:val="0"/>
                <w:color w:val="FFFFFF"/>
                <w:sz w:val="19"/>
              </w:rPr>
              <w:t>What It Establishes</w:t>
            </w:r>
          </w:p>
        </w:tc>
      </w:tr>
      <w:tr>
        <w:tc>
          <w:tcPr>
            <w:tcW w:type="dxa" w:w="3120"/>
          </w:tcPr>
          <w:p>
            <w:r/>
            <w:r>
              <w:rPr>
                <w:rFonts w:ascii="Inter" w:hAnsi="Inter" w:cs="Inter"/>
                <w:b w:val="0"/>
                <w:i w:val="0"/>
                <w:color w:val="2D2D2D"/>
                <w:sz w:val="19"/>
              </w:rPr>
              <w:t>Legal Mandate Matrix</w:t>
            </w:r>
          </w:p>
        </w:tc>
        <w:tc>
          <w:tcPr>
            <w:tcW w:type="dxa" w:w="3120"/>
          </w:tcPr>
          <w:p>
            <w:r/>
            <w:r>
              <w:rPr>
                <w:rFonts w:ascii="Inter" w:hAnsi="Inter" w:cs="Inter"/>
                <w:b w:val="0"/>
                <w:i w:val="0"/>
                <w:color w:val="2D2D2D"/>
                <w:sz w:val="19"/>
              </w:rPr>
              <w:t>Chapter 2</w:t>
            </w:r>
          </w:p>
        </w:tc>
        <w:tc>
          <w:tcPr>
            <w:tcW w:type="dxa" w:w="3120"/>
          </w:tcPr>
          <w:p>
            <w:r/>
            <w:r>
              <w:rPr>
                <w:rFonts w:ascii="Inter" w:hAnsi="Inter" w:cs="Inter"/>
                <w:b w:val="0"/>
                <w:i w:val="0"/>
                <w:color w:val="2D2D2D"/>
                <w:sz w:val="19"/>
              </w:rPr>
              <w:t>The legal authority for every function and program your MOA undertakes — tracing each mandate to a specific provision in the BOL, an enabling BAA, or applicable law</w:t>
            </w:r>
          </w:p>
        </w:tc>
      </w:tr>
      <w:tr>
        <w:tc>
          <w:tcPr>
            <w:tcW w:type="dxa" w:w="3120"/>
            <w:shd w:fill="F0F3F6"/>
          </w:tcPr>
          <w:p>
            <w:r/>
            <w:r>
              <w:rPr>
                <w:rFonts w:ascii="Inter" w:hAnsi="Inter" w:cs="Inter"/>
                <w:b w:val="0"/>
                <w:i w:val="0"/>
                <w:color w:val="2D2D2D"/>
                <w:sz w:val="19"/>
              </w:rPr>
              <w:t>BDP Alignment Map</w:t>
            </w:r>
          </w:p>
        </w:tc>
        <w:tc>
          <w:tcPr>
            <w:tcW w:type="dxa" w:w="3120"/>
            <w:shd w:fill="F0F3F6"/>
          </w:tcPr>
          <w:p>
            <w:r/>
            <w:r>
              <w:rPr>
                <w:rFonts w:ascii="Inter" w:hAnsi="Inter" w:cs="Inter"/>
                <w:b w:val="0"/>
                <w:i w:val="0"/>
                <w:color w:val="2D2D2D"/>
                <w:sz w:val="19"/>
              </w:rPr>
              <w:t>Chapter 3</w:t>
            </w:r>
          </w:p>
        </w:tc>
        <w:tc>
          <w:tcPr>
            <w:tcW w:type="dxa" w:w="3120"/>
            <w:shd w:fill="F0F3F6"/>
          </w:tcPr>
          <w:p>
            <w:r/>
            <w:r>
              <w:rPr>
                <w:rFonts w:ascii="Inter" w:hAnsi="Inter" w:cs="Inter"/>
                <w:b w:val="0"/>
                <w:i w:val="0"/>
                <w:color w:val="2D2D2D"/>
                <w:sz w:val="19"/>
              </w:rPr>
              <w:t>How your mandates and programs contribute to the six goals and eight strategies of the Bangsamoro Development Plan 2023–2028</w:t>
            </w:r>
          </w:p>
        </w:tc>
      </w:tr>
      <w:tr>
        <w:tc>
          <w:tcPr>
            <w:tcW w:type="dxa" w:w="3120"/>
          </w:tcPr>
          <w:p>
            <w:r/>
            <w:r>
              <w:rPr>
                <w:rFonts w:ascii="Inter" w:hAnsi="Inter" w:cs="Inter"/>
                <w:b w:val="0"/>
                <w:i w:val="0"/>
                <w:color w:val="2D2D2D"/>
                <w:sz w:val="19"/>
              </w:rPr>
              <w:t>Priority Agenda Alignment Sheet</w:t>
            </w:r>
          </w:p>
        </w:tc>
        <w:tc>
          <w:tcPr>
            <w:tcW w:type="dxa" w:w="3120"/>
          </w:tcPr>
          <w:p>
            <w:r/>
            <w:r>
              <w:rPr>
                <w:rFonts w:ascii="Inter" w:hAnsi="Inter" w:cs="Inter"/>
                <w:b w:val="0"/>
                <w:i w:val="0"/>
                <w:color w:val="2D2D2D"/>
                <w:sz w:val="19"/>
              </w:rPr>
              <w:t>Chapter 4</w:t>
            </w:r>
          </w:p>
        </w:tc>
        <w:tc>
          <w:tcPr>
            <w:tcW w:type="dxa" w:w="3120"/>
          </w:tcPr>
          <w:p>
            <w:r/>
            <w:r>
              <w:rPr>
                <w:rFonts w:ascii="Inter" w:hAnsi="Inter" w:cs="Inter"/>
                <w:b w:val="0"/>
                <w:i w:val="0"/>
                <w:color w:val="2D2D2D"/>
                <w:sz w:val="19"/>
              </w:rPr>
              <w:t>Which of the 12-Point Priority Agenda items your programs directly implement, support, regulate, or advocate for — and the justification for each linkage</w:t>
            </w:r>
          </w:p>
        </w:tc>
      </w:tr>
      <w:tr>
        <w:tc>
          <w:tcPr>
            <w:tcW w:type="dxa" w:w="3120"/>
            <w:shd w:fill="F0F3F6"/>
          </w:tcPr>
          <w:p>
            <w:r/>
            <w:r>
              <w:rPr>
                <w:rFonts w:ascii="Inter" w:hAnsi="Inter" w:cs="Inter"/>
                <w:b w:val="0"/>
                <w:i w:val="0"/>
                <w:color w:val="2D2D2D"/>
                <w:sz w:val="19"/>
              </w:rPr>
              <w:t>Stakeholder Register and Engagement Plan</w:t>
            </w:r>
          </w:p>
        </w:tc>
        <w:tc>
          <w:tcPr>
            <w:tcW w:type="dxa" w:w="3120"/>
            <w:shd w:fill="F0F3F6"/>
          </w:tcPr>
          <w:p>
            <w:r/>
            <w:r>
              <w:rPr>
                <w:rFonts w:ascii="Inter" w:hAnsi="Inter" w:cs="Inter"/>
                <w:b w:val="0"/>
                <w:i w:val="0"/>
                <w:color w:val="2D2D2D"/>
                <w:sz w:val="19"/>
              </w:rPr>
              <w:t>Chapter 5</w:t>
            </w:r>
          </w:p>
        </w:tc>
        <w:tc>
          <w:tcPr>
            <w:tcW w:type="dxa" w:w="3120"/>
            <w:shd w:fill="F0F3F6"/>
          </w:tcPr>
          <w:p>
            <w:r/>
            <w:r>
              <w:rPr>
                <w:rFonts w:ascii="Inter" w:hAnsi="Inter" w:cs="Inter"/>
                <w:b w:val="0"/>
                <w:i w:val="0"/>
                <w:color w:val="2D2D2D"/>
                <w:sz w:val="19"/>
              </w:rPr>
              <w:t>Every significant stakeholder — beneficiaries, implementing partners, oversight bodies, civil society — and the engagement strategy your MOA will use with each group</w:t>
            </w:r>
          </w:p>
        </w:tc>
      </w:tr>
      <w:tr>
        <w:tc>
          <w:tcPr>
            <w:tcW w:type="dxa" w:w="3120"/>
          </w:tcPr>
          <w:p>
            <w:r/>
            <w:r>
              <w:rPr>
                <w:rFonts w:ascii="Inter" w:hAnsi="Inter" w:cs="Inter"/>
                <w:b w:val="0"/>
                <w:i w:val="0"/>
                <w:color w:val="2D2D2D"/>
                <w:sz w:val="19"/>
              </w:rPr>
              <w:t>Vision, Mission, Values, and Strategic Objectives</w:t>
            </w:r>
          </w:p>
        </w:tc>
        <w:tc>
          <w:tcPr>
            <w:tcW w:type="dxa" w:w="3120"/>
          </w:tcPr>
          <w:p>
            <w:r/>
            <w:r>
              <w:rPr>
                <w:rFonts w:ascii="Inter" w:hAnsi="Inter" w:cs="Inter"/>
                <w:b w:val="0"/>
                <w:i w:val="0"/>
                <w:color w:val="2D2D2D"/>
                <w:sz w:val="19"/>
              </w:rPr>
              <w:t>Chapter 6</w:t>
            </w:r>
          </w:p>
        </w:tc>
        <w:tc>
          <w:tcPr>
            <w:tcW w:type="dxa" w:w="3120"/>
          </w:tcPr>
          <w:p>
            <w:r/>
            <w:r>
              <w:rPr>
                <w:rFonts w:ascii="Inter" w:hAnsi="Inter" w:cs="Inter"/>
                <w:b w:val="0"/>
                <w:i w:val="0"/>
                <w:color w:val="2D2D2D"/>
                <w:sz w:val="19"/>
              </w:rPr>
              <w:t>Your MOA's long-term aspiration, its institutional purpose, its behavioral standards, and the 3–7 measurable outcomes it commits to achieving during the plan period</w:t>
            </w:r>
          </w:p>
        </w:tc>
      </w:tr>
      <w:tr>
        <w:tc>
          <w:tcPr>
            <w:tcW w:type="dxa" w:w="3120"/>
            <w:shd w:fill="F0F3F6"/>
          </w:tcPr>
          <w:p>
            <w:r/>
            <w:r>
              <w:rPr>
                <w:rFonts w:ascii="Inter" w:hAnsi="Inter" w:cs="Inter"/>
                <w:b w:val="0"/>
                <w:i w:val="0"/>
                <w:color w:val="2D2D2D"/>
                <w:sz w:val="19"/>
              </w:rPr>
              <w:t>Theory of Change Diagram and Narrative</w:t>
            </w:r>
          </w:p>
        </w:tc>
        <w:tc>
          <w:tcPr>
            <w:tcW w:type="dxa" w:w="3120"/>
            <w:shd w:fill="F0F3F6"/>
          </w:tcPr>
          <w:p>
            <w:r/>
            <w:r>
              <w:rPr>
                <w:rFonts w:ascii="Inter" w:hAnsi="Inter" w:cs="Inter"/>
                <w:b w:val="0"/>
                <w:i w:val="0"/>
                <w:color w:val="2D2D2D"/>
                <w:sz w:val="19"/>
              </w:rPr>
              <w:t>Chapter 7</w:t>
            </w:r>
          </w:p>
        </w:tc>
        <w:tc>
          <w:tcPr>
            <w:tcW w:type="dxa" w:w="3120"/>
            <w:shd w:fill="F0F3F6"/>
          </w:tcPr>
          <w:p>
            <w:r/>
            <w:r>
              <w:rPr>
                <w:rFonts w:ascii="Inter" w:hAnsi="Inter" w:cs="Inter"/>
                <w:b w:val="0"/>
                <w:i w:val="0"/>
                <w:color w:val="2D2D2D"/>
                <w:sz w:val="19"/>
              </w:rPr>
              <w:t>The causal logic connecting your activities to the change you seek — outputs to outcomes to impact — with explicit assumptions and risks at each level</w:t>
            </w:r>
          </w:p>
        </w:tc>
      </w:tr>
      <w:tr>
        <w:tc>
          <w:tcPr>
            <w:tcW w:type="dxa" w:w="3120"/>
          </w:tcPr>
          <w:p>
            <w:r/>
            <w:r>
              <w:rPr>
                <w:rFonts w:ascii="Inter" w:hAnsi="Inter" w:cs="Inter"/>
                <w:b w:val="0"/>
                <w:i w:val="0"/>
                <w:color w:val="2D2D2D"/>
                <w:sz w:val="19"/>
              </w:rPr>
              <w:t>PPA Register</w:t>
            </w:r>
          </w:p>
        </w:tc>
        <w:tc>
          <w:tcPr>
            <w:tcW w:type="dxa" w:w="3120"/>
          </w:tcPr>
          <w:p>
            <w:r/>
            <w:r>
              <w:rPr>
                <w:rFonts w:ascii="Inter" w:hAnsi="Inter" w:cs="Inter"/>
                <w:b w:val="0"/>
                <w:i w:val="0"/>
                <w:color w:val="2D2D2D"/>
                <w:sz w:val="19"/>
              </w:rPr>
              <w:t>Chapter 8</w:t>
            </w:r>
          </w:p>
        </w:tc>
        <w:tc>
          <w:tcPr>
            <w:tcW w:type="dxa" w:w="3120"/>
          </w:tcPr>
          <w:p>
            <w:r/>
            <w:r>
              <w:rPr>
                <w:rFonts w:ascii="Inter" w:hAnsi="Inter" w:cs="Inter"/>
                <w:b w:val="0"/>
                <w:i w:val="0"/>
                <w:color w:val="2D2D2D"/>
                <w:sz w:val="19"/>
              </w:rPr>
              <w:t>Every Program, Project, and Activity your MOA will implement, with its ToC linkage, objective, outputs, timeline, target beneficiaries, and responsible unit</w:t>
            </w:r>
          </w:p>
        </w:tc>
      </w:tr>
      <w:tr>
        <w:tc>
          <w:tcPr>
            <w:tcW w:type="dxa" w:w="3120"/>
            <w:shd w:fill="F0F3F6"/>
          </w:tcPr>
          <w:p>
            <w:r/>
            <w:r>
              <w:rPr>
                <w:rFonts w:ascii="Inter" w:hAnsi="Inter" w:cs="Inter"/>
                <w:b w:val="0"/>
                <w:i w:val="0"/>
                <w:color w:val="2D2D2D"/>
                <w:sz w:val="19"/>
              </w:rPr>
              <w:t>Resource Requirements Matrix</w:t>
            </w:r>
          </w:p>
        </w:tc>
        <w:tc>
          <w:tcPr>
            <w:tcW w:type="dxa" w:w="3120"/>
            <w:shd w:fill="F0F3F6"/>
          </w:tcPr>
          <w:p>
            <w:r/>
            <w:r>
              <w:rPr>
                <w:rFonts w:ascii="Inter" w:hAnsi="Inter" w:cs="Inter"/>
                <w:b w:val="0"/>
                <w:i w:val="0"/>
                <w:color w:val="2D2D2D"/>
                <w:sz w:val="19"/>
              </w:rPr>
              <w:t>Chapter 9</w:t>
            </w:r>
          </w:p>
        </w:tc>
        <w:tc>
          <w:tcPr>
            <w:tcW w:type="dxa" w:w="3120"/>
            <w:shd w:fill="F0F3F6"/>
          </w:tcPr>
          <w:p>
            <w:r/>
            <w:r>
              <w:rPr>
                <w:rFonts w:ascii="Inter" w:hAnsi="Inter" w:cs="Inter"/>
                <w:b w:val="0"/>
                <w:i w:val="0"/>
                <w:color w:val="2D2D2D"/>
                <w:sz w:val="19"/>
              </w:rPr>
              <w:t>The full cost of your plan — personnel services, MOOE, and capital outlay — by PPA, by year, across the planning period, with funding sources identified</w:t>
            </w:r>
          </w:p>
        </w:tc>
      </w:tr>
      <w:tr>
        <w:tc>
          <w:tcPr>
            <w:tcW w:type="dxa" w:w="3120"/>
          </w:tcPr>
          <w:p>
            <w:r/>
            <w:r>
              <w:rPr>
                <w:rFonts w:ascii="Inter" w:hAnsi="Inter" w:cs="Inter"/>
                <w:b w:val="0"/>
                <w:i w:val="0"/>
                <w:color w:val="2D2D2D"/>
                <w:sz w:val="19"/>
              </w:rPr>
              <w:t>Annual Work Plan, Annual Financial Plan, Annual Procurement Plan</w:t>
            </w:r>
          </w:p>
        </w:tc>
        <w:tc>
          <w:tcPr>
            <w:tcW w:type="dxa" w:w="3120"/>
          </w:tcPr>
          <w:p>
            <w:r/>
            <w:r>
              <w:rPr>
                <w:rFonts w:ascii="Inter" w:hAnsi="Inter" w:cs="Inter"/>
                <w:b w:val="0"/>
                <w:i w:val="0"/>
                <w:color w:val="2D2D2D"/>
                <w:sz w:val="19"/>
              </w:rPr>
              <w:t>Chapter 10</w:t>
            </w:r>
          </w:p>
        </w:tc>
        <w:tc>
          <w:tcPr>
            <w:tcW w:type="dxa" w:w="3120"/>
          </w:tcPr>
          <w:p>
            <w:r/>
            <w:r>
              <w:rPr>
                <w:rFonts w:ascii="Inter" w:hAnsi="Inter" w:cs="Inter"/>
                <w:b w:val="0"/>
                <w:i w:val="0"/>
                <w:color w:val="2D2D2D"/>
                <w:sz w:val="19"/>
              </w:rPr>
              <w:t>The first fiscal year operationalized: quarterly milestones, obligation targets, disbursement schedule, and procurement items — with AWP, AFP, and APP aligned to each other</w:t>
            </w:r>
          </w:p>
        </w:tc>
      </w:tr>
      <w:tr>
        <w:tc>
          <w:tcPr>
            <w:tcW w:type="dxa" w:w="3120"/>
            <w:shd w:fill="F0F3F6"/>
          </w:tcPr>
          <w:p>
            <w:r/>
            <w:r>
              <w:rPr>
                <w:rFonts w:ascii="Inter" w:hAnsi="Inter" w:cs="Inter"/>
                <w:b w:val="0"/>
                <w:i w:val="0"/>
                <w:color w:val="2D2D2D"/>
                <w:sz w:val="19"/>
              </w:rPr>
              <w:t>M&amp;E Framework and Indicator Registry</w:t>
            </w:r>
          </w:p>
        </w:tc>
        <w:tc>
          <w:tcPr>
            <w:tcW w:type="dxa" w:w="3120"/>
            <w:shd w:fill="F0F3F6"/>
          </w:tcPr>
          <w:p>
            <w:r/>
            <w:r>
              <w:rPr>
                <w:rFonts w:ascii="Inter" w:hAnsi="Inter" w:cs="Inter"/>
                <w:b w:val="0"/>
                <w:i w:val="0"/>
                <w:color w:val="2D2D2D"/>
                <w:sz w:val="19"/>
              </w:rPr>
              <w:t>Chapter 11</w:t>
            </w:r>
          </w:p>
        </w:tc>
        <w:tc>
          <w:tcPr>
            <w:tcW w:type="dxa" w:w="3120"/>
            <w:shd w:fill="F0F3F6"/>
          </w:tcPr>
          <w:p>
            <w:r/>
            <w:r>
              <w:rPr>
                <w:rFonts w:ascii="Inter" w:hAnsi="Inter" w:cs="Inter"/>
                <w:b w:val="0"/>
                <w:i w:val="0"/>
                <w:color w:val="2D2D2D"/>
                <w:sz w:val="19"/>
              </w:rPr>
              <w:t>The measurement system for your plan — indicators at every results level, baselines, annual targets, data sources, collection methods, frequencies, responsible officers, and reporting lines</w:t>
            </w:r>
          </w:p>
        </w:tc>
      </w:tr>
    </w:tbl>
    <w:p/>
    <w:p>
      <w:pPr>
        <w:spacing w:after="120" w:line="276" w:lineRule="auto"/>
      </w:pPr>
      <w:r>
        <w:rPr>
          <w:rFonts w:ascii="Inter" w:hAnsi="Inter" w:cs="Inter"/>
          <w:b w:val="0"/>
          <w:i w:val="0"/>
          <w:color w:val="2D2D2D"/>
          <w:sz w:val="22"/>
        </w:rPr>
        <w:t>These ten documents answer every question a serious reviewer will ask about your plan. The Legal Mandate Matrix answers: *do you have the authority?* The BDP Alignment Map and Priority Agenda Sheet answer: *does it matter for Bangsamoro development?* The Theory of Change answers: *do you have a credible plan for creating change?* The PPA Register and Resource Matrix answer: *what will you do and what will it cost?* The AWP-AFP-APP answers: *what will happen this year?* The M&amp;E Framework answers: *how will you know it is working?*</w:t>
      </w:r>
    </w:p>
    <w:p>
      <w:pPr>
        <w:spacing w:after="120" w:line="276" w:lineRule="auto"/>
      </w:pPr>
      <w:r>
        <w:rPr>
          <w:rFonts w:ascii="Inter" w:hAnsi="Inter" w:cs="Inter"/>
          <w:b w:val="0"/>
          <w:i w:val="0"/>
          <w:color w:val="2D2D2D"/>
          <w:sz w:val="22"/>
        </w:rPr>
        <w:t>Each document is a standalone reference. But together, they form a submission package. The next section shows how they fit together.</w:t>
      </w:r>
    </w:p>
    <w:p>
      <w:pPr>
        <w:pStyle w:val="Heading2"/>
      </w:pPr>
      <w:r>
        <w:rPr>
          <w:rFonts w:ascii="Inter" w:hAnsi="Inter" w:cs="Inter"/>
          <w:b/>
          <w:i w:val="0"/>
          <w:color w:val="1B365D"/>
          <w:sz w:val="32"/>
        </w:rPr>
        <w:t>12.2 The MOA Strategic Plan Document Structure</w:t>
      </w:r>
    </w:p>
    <w:p>
      <w:pPr>
        <w:spacing w:after="120" w:line="276" w:lineRule="auto"/>
      </w:pPr>
      <w:r>
        <w:rPr>
          <w:rFonts w:ascii="Inter" w:hAnsi="Inter" w:cs="Inter"/>
          <w:b w:val="0"/>
          <w:i w:val="0"/>
          <w:color w:val="2D2D2D"/>
          <w:sz w:val="22"/>
        </w:rPr>
        <w:t>The MOA Strategic Plan is assembled into a single document with a standard five-part structure. This structure is designed to be navigable by different types of readers: a BPDA technical reviewer who will go straight to the Theory of Change and PPA Register, a Parliament oversight committee member who will look at the legal mandate and annual targets, an MFBM budget analyst who will go directly to the Annual Financial Plan and Resource Requirements Matrix.</w:t>
      </w:r>
    </w:p>
    <w:p>
      <w:pPr>
        <w:spacing w:after="120" w:line="276" w:lineRule="auto"/>
      </w:pPr>
      <w:r>
        <w:rPr>
          <w:rFonts w:ascii="Inter" w:hAnsi="Inter" w:cs="Inter"/>
          <w:b w:val="0"/>
          <w:i w:val="0"/>
          <w:color w:val="2D2D2D"/>
          <w:sz w:val="22"/>
        </w:rPr>
        <w:t>Your ten template outputs are not simply appended to the document. They are integrated into the relevant part, organized into a coherent narrative.</w:t>
      </w:r>
    </w:p>
    <w:p>
      <w:pPr>
        <w:spacing w:after="120" w:line="276" w:lineRule="auto"/>
      </w:pPr>
      <w:r>
        <w:rPr>
          <w:rFonts w:ascii="Inter" w:hAnsi="Inter" w:cs="Inter"/>
          <w:b w:val="0"/>
          <w:i w:val="0"/>
          <w:color w:val="2D2D2D"/>
          <w:sz w:val="22"/>
        </w:rPr>
      </w:r>
      <w:r>
        <w:rPr>
          <w:rFonts w:ascii="Inter" w:hAnsi="Inter" w:cs="Inter"/>
          <w:b/>
          <w:i w:val="0"/>
          <w:color w:val="2D2D2D"/>
          <w:sz w:val="22"/>
        </w:rPr>
        <w:t>Front Matter</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Cover page:</w:t>
      </w:r>
      <w:r>
        <w:rPr>
          <w:rFonts w:ascii="Inter" w:hAnsi="Inter" w:cs="Inter"/>
          <w:b w:val="0"/>
          <w:i w:val="0"/>
          <w:color w:val="2D2D2D"/>
          <w:sz w:val="22"/>
        </w:rPr>
        <w:t xml:space="preserve"> Ministry/Office/Agency full name, plan period (e.g., "Strategic Plan FY 2026–2028"), submission date, and signature block. The cover page should show: the Minister or Executive Director's name and signature, the Planning Officer's name and signature, and the date of submission to BPDA.</w:t>
      </w:r>
    </w:p>
    <w:p>
      <w:pPr>
        <w:pStyle w:val="ListBullet"/>
      </w:pPr>
      <w:r>
        <w:rPr>
          <w:rFonts w:ascii="Inter" w:hAnsi="Inter" w:cs="Inter"/>
          <w:b w:val="0"/>
          <w:i w:val="0"/>
          <w:color w:val="2D2D2D"/>
          <w:sz w:val="22"/>
        </w:rPr>
      </w:r>
      <w:r>
        <w:rPr>
          <w:rFonts w:ascii="Inter" w:hAnsi="Inter" w:cs="Inter"/>
          <w:b/>
          <w:i w:val="0"/>
          <w:color w:val="2D2D2D"/>
          <w:sz w:val="22"/>
        </w:rPr>
        <w:t>Table of contents</w:t>
      </w:r>
      <w:r>
        <w:rPr>
          <w:rFonts w:ascii="Inter" w:hAnsi="Inter" w:cs="Inter"/>
          <w:b w:val="0"/>
          <w:i w:val="0"/>
          <w:color w:val="2D2D2D"/>
          <w:sz w:val="22"/>
        </w:rPr>
        <w:t xml:space="preserve"> with page numbers.</w:t>
      </w:r>
    </w:p>
    <w:p>
      <w:pPr>
        <w:pStyle w:val="ListBullet"/>
      </w:pPr>
      <w:r>
        <w:rPr>
          <w:rFonts w:ascii="Inter" w:hAnsi="Inter" w:cs="Inter"/>
          <w:b w:val="0"/>
          <w:i w:val="0"/>
          <w:color w:val="2D2D2D"/>
          <w:sz w:val="22"/>
        </w:rPr>
      </w:r>
      <w:r>
        <w:rPr>
          <w:rFonts w:ascii="Inter" w:hAnsi="Inter" w:cs="Inter"/>
          <w:b/>
          <w:i w:val="0"/>
          <w:color w:val="2D2D2D"/>
          <w:sz w:val="22"/>
        </w:rPr>
        <w:t>Acronyms and abbreviations</w:t>
      </w:r>
      <w:r>
        <w:rPr>
          <w:rFonts w:ascii="Inter" w:hAnsi="Inter" w:cs="Inter"/>
          <w:b w:val="0"/>
          <w:i w:val="0"/>
          <w:color w:val="2D2D2D"/>
          <w:sz w:val="22"/>
        </w:rPr>
        <w:t xml:space="preserve"> (one page; every non-obvious abbreviation used in the document).</w:t>
      </w:r>
    </w:p>
    <w:p>
      <w:pPr>
        <w:pStyle w:val="ListBullet"/>
      </w:pPr>
      <w:r>
        <w:rPr>
          <w:rFonts w:ascii="Inter" w:hAnsi="Inter" w:cs="Inter"/>
          <w:b w:val="0"/>
          <w:i w:val="0"/>
          <w:color w:val="2D2D2D"/>
          <w:sz w:val="22"/>
        </w:rPr>
      </w:r>
      <w:r>
        <w:rPr>
          <w:rFonts w:ascii="Inter" w:hAnsi="Inter" w:cs="Inter"/>
          <w:b/>
          <w:i w:val="0"/>
          <w:color w:val="2D2D2D"/>
          <w:sz w:val="22"/>
        </w:rPr>
        <w:t>Executive Summary</w:t>
      </w:r>
      <w:r>
        <w:rPr>
          <w:rFonts w:ascii="Inter" w:hAnsi="Inter" w:cs="Inter"/>
          <w:b w:val="0"/>
          <w:i w:val="0"/>
          <w:color w:val="2D2D2D"/>
          <w:sz w:val="22"/>
        </w:rPr>
        <w:t xml:space="preserve"> (2–3 pages; see Section 12.3 for detailed guidance).</w:t>
      </w:r>
    </w:p>
    <w:p>
      <w:pPr>
        <w:spacing w:after="120" w:line="276" w:lineRule="auto"/>
      </w:pPr>
      <w:r>
        <w:rPr>
          <w:rFonts w:ascii="Inter" w:hAnsi="Inter" w:cs="Inter"/>
          <w:b w:val="0"/>
          <w:i w:val="0"/>
          <w:color w:val="2D2D2D"/>
          <w:sz w:val="22"/>
        </w:rPr>
      </w:r>
      <w:r>
        <w:rPr>
          <w:rFonts w:ascii="Inter" w:hAnsi="Inter" w:cs="Inter"/>
          <w:b/>
          <w:i w:val="0"/>
          <w:color w:val="2D2D2D"/>
          <w:sz w:val="22"/>
        </w:rPr>
        <w:t>Part I: Foundation</w:t>
      </w:r>
      <w:r>
        <w:rPr>
          <w:rFonts w:ascii="Inter" w:hAnsi="Inter" w:cs="Inter"/>
          <w:b w:val="0"/>
          <w:i w:val="0"/>
          <w:color w:val="2D2D2D"/>
          <w:sz w:val="22"/>
        </w:rPr>
      </w:r>
    </w:p>
    <w:p>
      <w:pPr>
        <w:spacing w:after="120" w:line="276" w:lineRule="auto"/>
      </w:pPr>
      <w:r>
        <w:rPr>
          <w:rFonts w:ascii="Inter" w:hAnsi="Inter" w:cs="Inter"/>
          <w:b w:val="0"/>
          <w:i w:val="0"/>
          <w:color w:val="2D2D2D"/>
          <w:sz w:val="22"/>
        </w:rPr>
        <w:t>Part I establishes why your MOA exists, what it is authorized to do, and how its work connects to the larger development agenda of the Bangsamoro Government.</w:t>
      </w:r>
    </w:p>
    <w:p>
      <w:pPr>
        <w:pStyle w:val="ListBullet"/>
      </w:pPr>
      <w:r>
        <w:rPr>
          <w:rFonts w:ascii="Inter" w:hAnsi="Inter" w:cs="Inter"/>
          <w:b w:val="0"/>
          <w:i w:val="0"/>
          <w:color w:val="2D2D2D"/>
          <w:sz w:val="22"/>
        </w:rPr>
      </w:r>
      <w:r>
        <w:rPr>
          <w:rFonts w:ascii="Inter" w:hAnsi="Inter" w:cs="Inter"/>
          <w:b/>
          <w:i w:val="0"/>
          <w:color w:val="2D2D2D"/>
          <w:sz w:val="22"/>
        </w:rPr>
        <w:t>Section 1.1: Legal Mandate.</w:t>
      </w:r>
      <w:r>
        <w:rPr>
          <w:rFonts w:ascii="Inter" w:hAnsi="Inter" w:cs="Inter"/>
          <w:b w:val="0"/>
          <w:i w:val="0"/>
          <w:color w:val="2D2D2D"/>
          <w:sz w:val="22"/>
        </w:rPr>
        <w:t xml:space="preserve"> Narrative introduction to your MOA's legal basis, followed by the Legal Mandate Matrix from Chapter 2. Include the enabling law or executive order as an annex if it is not widely accessible.</w:t>
      </w:r>
    </w:p>
    <w:p>
      <w:pPr>
        <w:pStyle w:val="ListBullet"/>
      </w:pPr>
      <w:r>
        <w:rPr>
          <w:rFonts w:ascii="Inter" w:hAnsi="Inter" w:cs="Inter"/>
          <w:b w:val="0"/>
          <w:i w:val="0"/>
          <w:color w:val="2D2D2D"/>
          <w:sz w:val="22"/>
        </w:rPr>
      </w:r>
      <w:r>
        <w:rPr>
          <w:rFonts w:ascii="Inter" w:hAnsi="Inter" w:cs="Inter"/>
          <w:b/>
          <w:i w:val="0"/>
          <w:color w:val="2D2D2D"/>
          <w:sz w:val="22"/>
        </w:rPr>
        <w:t>Section 1.2: BDP Alignment.</w:t>
      </w:r>
      <w:r>
        <w:rPr>
          <w:rFonts w:ascii="Inter" w:hAnsi="Inter" w:cs="Inter"/>
          <w:b w:val="0"/>
          <w:i w:val="0"/>
          <w:color w:val="2D2D2D"/>
          <w:sz w:val="22"/>
        </w:rPr>
        <w:t xml:space="preserve"> One-paragraph narrative explaining your MOA's overall contribution to BDP goals, followed by the BDP Alignment Map from Chapter 3.</w:t>
      </w:r>
    </w:p>
    <w:p>
      <w:pPr>
        <w:pStyle w:val="ListBullet"/>
      </w:pPr>
      <w:r>
        <w:rPr>
          <w:rFonts w:ascii="Inter" w:hAnsi="Inter" w:cs="Inter"/>
          <w:b w:val="0"/>
          <w:i w:val="0"/>
          <w:color w:val="2D2D2D"/>
          <w:sz w:val="22"/>
        </w:rPr>
      </w:r>
      <w:r>
        <w:rPr>
          <w:rFonts w:ascii="Inter" w:hAnsi="Inter" w:cs="Inter"/>
          <w:b/>
          <w:i w:val="0"/>
          <w:color w:val="2D2D2D"/>
          <w:sz w:val="22"/>
        </w:rPr>
        <w:t>Section 1.3: Priority Agenda Alignment.</w:t>
      </w:r>
      <w:r>
        <w:rPr>
          <w:rFonts w:ascii="Inter" w:hAnsi="Inter" w:cs="Inter"/>
          <w:b w:val="0"/>
          <w:i w:val="0"/>
          <w:color w:val="2D2D2D"/>
          <w:sz w:val="22"/>
        </w:rPr>
        <w:t xml:space="preserve"> One-paragraph narrative on which Priority Agenda points your MOA most directly advances, followed by the Priority Agenda Alignment Sheet from Chapter 4.</w:t>
      </w:r>
    </w:p>
    <w:p>
      <w:pPr>
        <w:spacing w:after="120" w:line="276" w:lineRule="auto"/>
      </w:pPr>
      <w:r>
        <w:rPr>
          <w:rFonts w:ascii="Inter" w:hAnsi="Inter" w:cs="Inter"/>
          <w:b w:val="0"/>
          <w:i w:val="0"/>
          <w:color w:val="2D2D2D"/>
          <w:sz w:val="22"/>
        </w:rPr>
        <w:t>Part I should be 8–15 pages. Legal analysis is important, but it must not overwhelm the rest of the document.</w:t>
      </w:r>
    </w:p>
    <w:p>
      <w:pPr>
        <w:spacing w:after="120" w:line="276" w:lineRule="auto"/>
      </w:pPr>
      <w:r>
        <w:rPr>
          <w:rFonts w:ascii="Inter" w:hAnsi="Inter" w:cs="Inter"/>
          <w:b w:val="0"/>
          <w:i w:val="0"/>
          <w:color w:val="2D2D2D"/>
          <w:sz w:val="22"/>
        </w:rPr>
      </w:r>
      <w:r>
        <w:rPr>
          <w:rFonts w:ascii="Inter" w:hAnsi="Inter" w:cs="Inter"/>
          <w:b/>
          <w:i w:val="0"/>
          <w:color w:val="2D2D2D"/>
          <w:sz w:val="22"/>
        </w:rPr>
        <w:t>Part II: Strategic Direction</w:t>
      </w:r>
      <w:r>
        <w:rPr>
          <w:rFonts w:ascii="Inter" w:hAnsi="Inter" w:cs="Inter"/>
          <w:b w:val="0"/>
          <w:i w:val="0"/>
          <w:color w:val="2D2D2D"/>
          <w:sz w:val="22"/>
        </w:rPr>
      </w:r>
    </w:p>
    <w:p>
      <w:pPr>
        <w:spacing w:after="120" w:line="276" w:lineRule="auto"/>
      </w:pPr>
      <w:r>
        <w:rPr>
          <w:rFonts w:ascii="Inter" w:hAnsi="Inter" w:cs="Inter"/>
          <w:b w:val="0"/>
          <w:i w:val="0"/>
          <w:color w:val="2D2D2D"/>
          <w:sz w:val="22"/>
        </w:rPr>
        <w:t>Part II tells the reader what your MOA is trying to accomplish and how it understands the path to change.</w:t>
      </w:r>
    </w:p>
    <w:p>
      <w:pPr>
        <w:pStyle w:val="ListBullet"/>
      </w:pPr>
      <w:r>
        <w:rPr>
          <w:rFonts w:ascii="Inter" w:hAnsi="Inter" w:cs="Inter"/>
          <w:b w:val="0"/>
          <w:i w:val="0"/>
          <w:color w:val="2D2D2D"/>
          <w:sz w:val="22"/>
        </w:rPr>
      </w:r>
      <w:r>
        <w:rPr>
          <w:rFonts w:ascii="Inter" w:hAnsi="Inter" w:cs="Inter"/>
          <w:b/>
          <w:i w:val="0"/>
          <w:color w:val="2D2D2D"/>
          <w:sz w:val="22"/>
        </w:rPr>
        <w:t>Section 2.1: Stakeholder Analysis.</w:t>
      </w:r>
      <w:r>
        <w:rPr>
          <w:rFonts w:ascii="Inter" w:hAnsi="Inter" w:cs="Inter"/>
          <w:b w:val="0"/>
          <w:i w:val="0"/>
          <w:color w:val="2D2D2D"/>
          <w:sz w:val="22"/>
        </w:rPr>
        <w:t xml:space="preserve"> Brief narrative on your MOA's key stakeholders, followed by the Stakeholder Register and Engagement Plan from Chapter 5.</w:t>
      </w:r>
    </w:p>
    <w:p>
      <w:pPr>
        <w:pStyle w:val="ListBullet"/>
      </w:pPr>
      <w:r>
        <w:rPr>
          <w:rFonts w:ascii="Inter" w:hAnsi="Inter" w:cs="Inter"/>
          <w:b w:val="0"/>
          <w:i w:val="0"/>
          <w:color w:val="2D2D2D"/>
          <w:sz w:val="22"/>
        </w:rPr>
      </w:r>
      <w:r>
        <w:rPr>
          <w:rFonts w:ascii="Inter" w:hAnsi="Inter" w:cs="Inter"/>
          <w:b/>
          <w:i w:val="0"/>
          <w:color w:val="2D2D2D"/>
          <w:sz w:val="22"/>
        </w:rPr>
        <w:t>Section 2.2: Vision, Mission, and Values.</w:t>
      </w:r>
      <w:r>
        <w:rPr>
          <w:rFonts w:ascii="Inter" w:hAnsi="Inter" w:cs="Inter"/>
          <w:b w:val="0"/>
          <w:i w:val="0"/>
          <w:color w:val="2D2D2D"/>
          <w:sz w:val="22"/>
        </w:rPr>
        <w:t xml:space="preserve"> Full text of your Vision and Mission statements, with the Core Values table from Chapter 6.</w:t>
      </w:r>
    </w:p>
    <w:p>
      <w:pPr>
        <w:pStyle w:val="ListBullet"/>
      </w:pPr>
      <w:r>
        <w:rPr>
          <w:rFonts w:ascii="Inter" w:hAnsi="Inter" w:cs="Inter"/>
          <w:b w:val="0"/>
          <w:i w:val="0"/>
          <w:color w:val="2D2D2D"/>
          <w:sz w:val="22"/>
        </w:rPr>
      </w:r>
      <w:r>
        <w:rPr>
          <w:rFonts w:ascii="Inter" w:hAnsi="Inter" w:cs="Inter"/>
          <w:b/>
          <w:i w:val="0"/>
          <w:color w:val="2D2D2D"/>
          <w:sz w:val="22"/>
        </w:rPr>
        <w:t>Section 2.3: Situational Analysis.</w:t>
      </w:r>
      <w:r>
        <w:rPr>
          <w:rFonts w:ascii="Inter" w:hAnsi="Inter" w:cs="Inter"/>
          <w:b w:val="0"/>
          <w:i w:val="0"/>
          <w:color w:val="2D2D2D"/>
          <w:sz w:val="22"/>
        </w:rPr>
        <w:t xml:space="preserve"> SWOT summary from Chapter 6 (full SWOT can go in an annex; the document should present the 2–3 most significant findings from each quadrant).</w:t>
      </w:r>
    </w:p>
    <w:p>
      <w:pPr>
        <w:pStyle w:val="ListBullet"/>
      </w:pPr>
      <w:r>
        <w:rPr>
          <w:rFonts w:ascii="Inter" w:hAnsi="Inter" w:cs="Inter"/>
          <w:b w:val="0"/>
          <w:i w:val="0"/>
          <w:color w:val="2D2D2D"/>
          <w:sz w:val="22"/>
        </w:rPr>
      </w:r>
      <w:r>
        <w:rPr>
          <w:rFonts w:ascii="Inter" w:hAnsi="Inter" w:cs="Inter"/>
          <w:b/>
          <w:i w:val="0"/>
          <w:color w:val="2D2D2D"/>
          <w:sz w:val="22"/>
        </w:rPr>
        <w:t>Section 2.4: Strategic Objectives.</w:t>
      </w:r>
      <w:r>
        <w:rPr>
          <w:rFonts w:ascii="Inter" w:hAnsi="Inter" w:cs="Inter"/>
          <w:b w:val="0"/>
          <w:i w:val="0"/>
          <w:color w:val="2D2D2D"/>
          <w:sz w:val="22"/>
        </w:rPr>
        <w:t xml:space="preserve"> All strategic objectives from Chapter 6, with their BDP and Priority Agenda linkages noted.</w:t>
      </w:r>
    </w:p>
    <w:p>
      <w:pPr>
        <w:pStyle w:val="ListBullet"/>
      </w:pPr>
      <w:r>
        <w:rPr>
          <w:rFonts w:ascii="Inter" w:hAnsi="Inter" w:cs="Inter"/>
          <w:b w:val="0"/>
          <w:i w:val="0"/>
          <w:color w:val="2D2D2D"/>
          <w:sz w:val="22"/>
        </w:rPr>
      </w:r>
      <w:r>
        <w:rPr>
          <w:rFonts w:ascii="Inter" w:hAnsi="Inter" w:cs="Inter"/>
          <w:b/>
          <w:i w:val="0"/>
          <w:color w:val="2D2D2D"/>
          <w:sz w:val="22"/>
        </w:rPr>
        <w:t>Section 2.5: Theory of Change.</w:t>
      </w:r>
      <w:r>
        <w:rPr>
          <w:rFonts w:ascii="Inter" w:hAnsi="Inter" w:cs="Inter"/>
          <w:b w:val="0"/>
          <w:i w:val="0"/>
          <w:color w:val="2D2D2D"/>
          <w:sz w:val="22"/>
        </w:rPr>
        <w:t xml:space="preserve"> The ToC diagram and narrative from Chapter 7. The diagram should be a full-page visual. The narrative should follow, explaining the causal pathways, assumptions, and risks in prose.</w:t>
      </w:r>
    </w:p>
    <w:p>
      <w:pPr>
        <w:spacing w:after="120" w:line="276" w:lineRule="auto"/>
      </w:pPr>
      <w:r>
        <w:rPr>
          <w:rFonts w:ascii="Inter" w:hAnsi="Inter" w:cs="Inter"/>
          <w:b w:val="0"/>
          <w:i w:val="0"/>
          <w:color w:val="2D2D2D"/>
          <w:sz w:val="22"/>
        </w:rPr>
        <w:t>Part II should be 15–25 pages.</w:t>
      </w:r>
    </w:p>
    <w:p>
      <w:pPr>
        <w:spacing w:after="120" w:line="276" w:lineRule="auto"/>
      </w:pPr>
      <w:r>
        <w:rPr>
          <w:rFonts w:ascii="Inter" w:hAnsi="Inter" w:cs="Inter"/>
          <w:b w:val="0"/>
          <w:i w:val="0"/>
          <w:color w:val="2D2D2D"/>
          <w:sz w:val="22"/>
        </w:rPr>
      </w:r>
      <w:r>
        <w:rPr>
          <w:rFonts w:ascii="Inter" w:hAnsi="Inter" w:cs="Inter"/>
          <w:b/>
          <w:i w:val="0"/>
          <w:color w:val="2D2D2D"/>
          <w:sz w:val="22"/>
        </w:rPr>
        <w:t>Part III: Programs</w:t>
      </w:r>
      <w:r>
        <w:rPr>
          <w:rFonts w:ascii="Inter" w:hAnsi="Inter" w:cs="Inter"/>
          <w:b w:val="0"/>
          <w:i w:val="0"/>
          <w:color w:val="2D2D2D"/>
          <w:sz w:val="22"/>
        </w:rPr>
      </w:r>
    </w:p>
    <w:p>
      <w:pPr>
        <w:spacing w:after="120" w:line="276" w:lineRule="auto"/>
      </w:pPr>
      <w:r>
        <w:rPr>
          <w:rFonts w:ascii="Inter" w:hAnsi="Inter" w:cs="Inter"/>
          <w:b w:val="0"/>
          <w:i w:val="0"/>
          <w:color w:val="2D2D2D"/>
          <w:sz w:val="22"/>
        </w:rPr>
        <w:t>Part III is the operational heart of the plan. It shows what your MOA will do and what it will cost.</w:t>
      </w:r>
    </w:p>
    <w:p>
      <w:pPr>
        <w:pStyle w:val="ListBullet"/>
      </w:pPr>
      <w:r>
        <w:rPr>
          <w:rFonts w:ascii="Inter" w:hAnsi="Inter" w:cs="Inter"/>
          <w:b w:val="0"/>
          <w:i w:val="0"/>
          <w:color w:val="2D2D2D"/>
          <w:sz w:val="22"/>
        </w:rPr>
      </w:r>
      <w:r>
        <w:rPr>
          <w:rFonts w:ascii="Inter" w:hAnsi="Inter" w:cs="Inter"/>
          <w:b/>
          <w:i w:val="0"/>
          <w:color w:val="2D2D2D"/>
          <w:sz w:val="22"/>
        </w:rPr>
        <w:t>Section 3.1: PPA Overview.</w:t>
      </w:r>
      <w:r>
        <w:rPr>
          <w:rFonts w:ascii="Inter" w:hAnsi="Inter" w:cs="Inter"/>
          <w:b w:val="0"/>
          <w:i w:val="0"/>
          <w:color w:val="2D2D2D"/>
          <w:sz w:val="22"/>
        </w:rPr>
        <w:t xml:space="preserve"> A summary table of all PPAs — codes, names, linked strategic objectives, implementation periods, and responsible units. This table gives a one-page picture of your entire PPA portfolio.</w:t>
      </w:r>
    </w:p>
    <w:p>
      <w:pPr>
        <w:pStyle w:val="ListBullet"/>
      </w:pPr>
      <w:r>
        <w:rPr>
          <w:rFonts w:ascii="Inter" w:hAnsi="Inter" w:cs="Inter"/>
          <w:b w:val="0"/>
          <w:i w:val="0"/>
          <w:color w:val="2D2D2D"/>
          <w:sz w:val="22"/>
        </w:rPr>
      </w:r>
      <w:r>
        <w:rPr>
          <w:rFonts w:ascii="Inter" w:hAnsi="Inter" w:cs="Inter"/>
          <w:b/>
          <w:i w:val="0"/>
          <w:color w:val="2D2D2D"/>
          <w:sz w:val="22"/>
        </w:rPr>
        <w:t>Section 3.2: PPA Register.</w:t>
      </w:r>
      <w:r>
        <w:rPr>
          <w:rFonts w:ascii="Inter" w:hAnsi="Inter" w:cs="Inter"/>
          <w:b w:val="0"/>
          <w:i w:val="0"/>
          <w:color w:val="2D2D2D"/>
          <w:sz w:val="22"/>
        </w:rPr>
        <w:t xml:space="preserve"> The full PPA Register from Chapter 8, with each PPA described in detail: objective, outputs, target beneficiaries, timeline, and outcome indicators.</w:t>
      </w:r>
    </w:p>
    <w:p>
      <w:pPr>
        <w:pStyle w:val="ListBullet"/>
      </w:pPr>
      <w:r>
        <w:rPr>
          <w:rFonts w:ascii="Inter" w:hAnsi="Inter" w:cs="Inter"/>
          <w:b w:val="0"/>
          <w:i w:val="0"/>
          <w:color w:val="2D2D2D"/>
          <w:sz w:val="22"/>
        </w:rPr>
      </w:r>
      <w:r>
        <w:rPr>
          <w:rFonts w:ascii="Inter" w:hAnsi="Inter" w:cs="Inter"/>
          <w:b/>
          <w:i w:val="0"/>
          <w:color w:val="2D2D2D"/>
          <w:sz w:val="22"/>
        </w:rPr>
        <w:t>Section 3.3: Resource Requirements.</w:t>
      </w:r>
      <w:r>
        <w:rPr>
          <w:rFonts w:ascii="Inter" w:hAnsi="Inter" w:cs="Inter"/>
          <w:b w:val="0"/>
          <w:i w:val="0"/>
          <w:color w:val="2D2D2D"/>
          <w:sz w:val="22"/>
        </w:rPr>
        <w:t xml:space="preserve"> Narrative summary of total resource requirements across the planning period — total PS, MOOE, and CO; total by year; funding sources breakdown. Follow with the full Resource Requirements Matrix from Chapter 9.</w:t>
      </w:r>
    </w:p>
    <w:p>
      <w:pPr>
        <w:spacing w:after="120" w:line="276" w:lineRule="auto"/>
      </w:pPr>
      <w:r>
        <w:rPr>
          <w:rFonts w:ascii="Inter" w:hAnsi="Inter" w:cs="Inter"/>
          <w:b w:val="0"/>
          <w:i w:val="0"/>
          <w:color w:val="2D2D2D"/>
          <w:sz w:val="22"/>
        </w:rPr>
        <w:t>Part III should be 20–35 pages, depending on the size of your PPA portfolio.</w:t>
      </w:r>
    </w:p>
    <w:p>
      <w:pPr>
        <w:spacing w:after="120" w:line="276" w:lineRule="auto"/>
      </w:pPr>
      <w:r>
        <w:rPr>
          <w:rFonts w:ascii="Inter" w:hAnsi="Inter" w:cs="Inter"/>
          <w:b w:val="0"/>
          <w:i w:val="0"/>
          <w:color w:val="2D2D2D"/>
          <w:sz w:val="22"/>
        </w:rPr>
      </w:r>
      <w:r>
        <w:rPr>
          <w:rFonts w:ascii="Inter" w:hAnsi="Inter" w:cs="Inter"/>
          <w:b/>
          <w:i w:val="0"/>
          <w:color w:val="2D2D2D"/>
          <w:sz w:val="22"/>
        </w:rPr>
        <w:t>Part IV: Annual Plan</w:t>
      </w:r>
      <w:r>
        <w:rPr>
          <w:rFonts w:ascii="Inter" w:hAnsi="Inter" w:cs="Inter"/>
          <w:b w:val="0"/>
          <w:i w:val="0"/>
          <w:color w:val="2D2D2D"/>
          <w:sz w:val="22"/>
        </w:rPr>
      </w:r>
    </w:p>
    <w:p>
      <w:pPr>
        <w:spacing w:after="120" w:line="276" w:lineRule="auto"/>
      </w:pPr>
      <w:r>
        <w:rPr>
          <w:rFonts w:ascii="Inter" w:hAnsi="Inter" w:cs="Inter"/>
          <w:b w:val="0"/>
          <w:i w:val="0"/>
          <w:color w:val="2D2D2D"/>
          <w:sz w:val="22"/>
        </w:rPr>
        <w:t>Part IV operationalizes the first year of the plan. It is the section with the most immediate budget and procurement implications, and will receive the closest scrutiny from MFBM reviewers.</w:t>
      </w:r>
    </w:p>
    <w:p>
      <w:pPr>
        <w:pStyle w:val="ListBullet"/>
      </w:pPr>
      <w:r>
        <w:rPr>
          <w:rFonts w:ascii="Inter" w:hAnsi="Inter" w:cs="Inter"/>
          <w:b w:val="0"/>
          <w:i w:val="0"/>
          <w:color w:val="2D2D2D"/>
          <w:sz w:val="22"/>
        </w:rPr>
      </w:r>
      <w:r>
        <w:rPr>
          <w:rFonts w:ascii="Inter" w:hAnsi="Inter" w:cs="Inter"/>
          <w:b/>
          <w:i w:val="0"/>
          <w:color w:val="2D2D2D"/>
          <w:sz w:val="22"/>
        </w:rPr>
        <w:t>Section 4.1: Annual Work Plan.</w:t>
      </w:r>
      <w:r>
        <w:rPr>
          <w:rFonts w:ascii="Inter" w:hAnsi="Inter" w:cs="Inter"/>
          <w:b w:val="0"/>
          <w:i w:val="0"/>
          <w:color w:val="2D2D2D"/>
          <w:sz w:val="22"/>
        </w:rPr>
        <w:t xml:space="preserve"> The complete AWP from Chapter 10, covering all PPAs with quarterly milestones, assigned accountable officers, and annual targets.</w:t>
      </w:r>
    </w:p>
    <w:p>
      <w:pPr>
        <w:pStyle w:val="ListBullet"/>
      </w:pPr>
      <w:r>
        <w:rPr>
          <w:rFonts w:ascii="Inter" w:hAnsi="Inter" w:cs="Inter"/>
          <w:b w:val="0"/>
          <w:i w:val="0"/>
          <w:color w:val="2D2D2D"/>
          <w:sz w:val="22"/>
        </w:rPr>
      </w:r>
      <w:r>
        <w:rPr>
          <w:rFonts w:ascii="Inter" w:hAnsi="Inter" w:cs="Inter"/>
          <w:b/>
          <w:i w:val="0"/>
          <w:color w:val="2D2D2D"/>
          <w:sz w:val="22"/>
        </w:rPr>
        <w:t>Section 4.2: Annual Financial Plan.</w:t>
      </w:r>
      <w:r>
        <w:rPr>
          <w:rFonts w:ascii="Inter" w:hAnsi="Inter" w:cs="Inter"/>
          <w:b w:val="0"/>
          <w:i w:val="0"/>
          <w:color w:val="2D2D2D"/>
          <w:sz w:val="22"/>
        </w:rPr>
        <w:t xml:space="preserve"> The AFP from Chapter 10, showing budget allocation by PPA, expenditure class (PS/MOOE/CO), and quarterly obligation schedule.</w:t>
      </w:r>
    </w:p>
    <w:p>
      <w:pPr>
        <w:pStyle w:val="ListBullet"/>
      </w:pPr>
      <w:r>
        <w:rPr>
          <w:rFonts w:ascii="Inter" w:hAnsi="Inter" w:cs="Inter"/>
          <w:b w:val="0"/>
          <w:i w:val="0"/>
          <w:color w:val="2D2D2D"/>
          <w:sz w:val="22"/>
        </w:rPr>
      </w:r>
      <w:r>
        <w:rPr>
          <w:rFonts w:ascii="Inter" w:hAnsi="Inter" w:cs="Inter"/>
          <w:b/>
          <w:i w:val="0"/>
          <w:color w:val="2D2D2D"/>
          <w:sz w:val="22"/>
        </w:rPr>
        <w:t>Section 4.3: Annual Procurement Plan.</w:t>
      </w:r>
      <w:r>
        <w:rPr>
          <w:rFonts w:ascii="Inter" w:hAnsi="Inter" w:cs="Inter"/>
          <w:b w:val="0"/>
          <w:i w:val="0"/>
          <w:color w:val="2D2D2D"/>
          <w:sz w:val="22"/>
        </w:rPr>
        <w:t xml:space="preserve"> The APP from Chapter 10, listing every item to be procured, mode of procurement, estimated cost, and procurement timeline.</w:t>
      </w:r>
    </w:p>
    <w:p>
      <w:pPr>
        <w:spacing w:after="120" w:line="276" w:lineRule="auto"/>
      </w:pPr>
      <w:r>
        <w:rPr>
          <w:rFonts w:ascii="Inter" w:hAnsi="Inter" w:cs="Inter"/>
          <w:b w:val="0"/>
          <w:i w:val="0"/>
          <w:color w:val="2D2D2D"/>
          <w:sz w:val="22"/>
        </w:rPr>
        <w:t>Note: Part IV is the section of the strategic plan that will be updated annually. At the start of each new fiscal year, a revised AWP, AFP, and APP replaces the previous year's Part IV. The rest of the plan remains in force until a formal revision cycle is triggered (see Section 12.5).</w:t>
      </w:r>
    </w:p>
    <w:p>
      <w:pPr>
        <w:spacing w:after="120" w:line="276" w:lineRule="auto"/>
      </w:pPr>
      <w:r>
        <w:rPr>
          <w:rFonts w:ascii="Inter" w:hAnsi="Inter" w:cs="Inter"/>
          <w:b w:val="0"/>
          <w:i w:val="0"/>
          <w:color w:val="2D2D2D"/>
          <w:sz w:val="22"/>
        </w:rPr>
        <w:t>Part IV should be 15–25 pages.</w:t>
      </w:r>
    </w:p>
    <w:p>
      <w:pPr>
        <w:spacing w:after="120" w:line="276" w:lineRule="auto"/>
      </w:pPr>
      <w:r>
        <w:rPr>
          <w:rFonts w:ascii="Inter" w:hAnsi="Inter" w:cs="Inter"/>
          <w:b w:val="0"/>
          <w:i w:val="0"/>
          <w:color w:val="2D2D2D"/>
          <w:sz w:val="22"/>
        </w:rPr>
      </w:r>
      <w:r>
        <w:rPr>
          <w:rFonts w:ascii="Inter" w:hAnsi="Inter" w:cs="Inter"/>
          <w:b/>
          <w:i w:val="0"/>
          <w:color w:val="2D2D2D"/>
          <w:sz w:val="22"/>
        </w:rPr>
        <w:t>Part V: Accountability</w:t>
      </w:r>
      <w:r>
        <w:rPr>
          <w:rFonts w:ascii="Inter" w:hAnsi="Inter" w:cs="Inter"/>
          <w:b w:val="0"/>
          <w:i w:val="0"/>
          <w:color w:val="2D2D2D"/>
          <w:sz w:val="22"/>
        </w:rPr>
      </w:r>
    </w:p>
    <w:p>
      <w:pPr>
        <w:spacing w:after="120" w:line="276" w:lineRule="auto"/>
      </w:pPr>
      <w:r>
        <w:rPr>
          <w:rFonts w:ascii="Inter" w:hAnsi="Inter" w:cs="Inter"/>
          <w:b w:val="0"/>
          <w:i w:val="0"/>
          <w:color w:val="2D2D2D"/>
          <w:sz w:val="22"/>
        </w:rPr>
        <w:t>Part V is the performance management backbone of the plan.</w:t>
      </w:r>
    </w:p>
    <w:p>
      <w:pPr>
        <w:pStyle w:val="ListBullet"/>
      </w:pPr>
      <w:r>
        <w:rPr>
          <w:rFonts w:ascii="Inter" w:hAnsi="Inter" w:cs="Inter"/>
          <w:b w:val="0"/>
          <w:i w:val="0"/>
          <w:color w:val="2D2D2D"/>
          <w:sz w:val="22"/>
        </w:rPr>
      </w:r>
      <w:r>
        <w:rPr>
          <w:rFonts w:ascii="Inter" w:hAnsi="Inter" w:cs="Inter"/>
          <w:b/>
          <w:i w:val="0"/>
          <w:color w:val="2D2D2D"/>
          <w:sz w:val="22"/>
        </w:rPr>
        <w:t>Section 5.1: M&amp;E Framework.</w:t>
      </w:r>
      <w:r>
        <w:rPr>
          <w:rFonts w:ascii="Inter" w:hAnsi="Inter" w:cs="Inter"/>
          <w:b w:val="0"/>
          <w:i w:val="0"/>
          <w:color w:val="2D2D2D"/>
          <w:sz w:val="22"/>
        </w:rPr>
        <w:t xml:space="preserve"> The M&amp;E Framework from Chapter 11, with indicators at each results level (impact, outcome, output), baselines, annual targets, data sources, and collection frequencies.</w:t>
      </w:r>
    </w:p>
    <w:p>
      <w:pPr>
        <w:pStyle w:val="ListBullet"/>
      </w:pPr>
      <w:r>
        <w:rPr>
          <w:rFonts w:ascii="Inter" w:hAnsi="Inter" w:cs="Inter"/>
          <w:b w:val="0"/>
          <w:i w:val="0"/>
          <w:color w:val="2D2D2D"/>
          <w:sz w:val="22"/>
        </w:rPr>
      </w:r>
      <w:r>
        <w:rPr>
          <w:rFonts w:ascii="Inter" w:hAnsi="Inter" w:cs="Inter"/>
          <w:b/>
          <w:i w:val="0"/>
          <w:color w:val="2D2D2D"/>
          <w:sz w:val="22"/>
        </w:rPr>
        <w:t>Section 5.2: Indicator Registry.</w:t>
      </w:r>
      <w:r>
        <w:rPr>
          <w:rFonts w:ascii="Inter" w:hAnsi="Inter" w:cs="Inter"/>
          <w:b w:val="0"/>
          <w:i w:val="0"/>
          <w:color w:val="2D2D2D"/>
          <w:sz w:val="22"/>
        </w:rPr>
        <w:t xml:space="preserve"> The full Indicator Registry from Chapter 11, with every indicator defined in detail.</w:t>
      </w:r>
    </w:p>
    <w:p>
      <w:pPr>
        <w:pStyle w:val="ListBullet"/>
      </w:pPr>
      <w:r>
        <w:rPr>
          <w:rFonts w:ascii="Inter" w:hAnsi="Inter" w:cs="Inter"/>
          <w:b w:val="0"/>
          <w:i w:val="0"/>
          <w:color w:val="2D2D2D"/>
          <w:sz w:val="22"/>
        </w:rPr>
      </w:r>
      <w:r>
        <w:rPr>
          <w:rFonts w:ascii="Inter" w:hAnsi="Inter" w:cs="Inter"/>
          <w:b/>
          <w:i w:val="0"/>
          <w:color w:val="2D2D2D"/>
          <w:sz w:val="22"/>
        </w:rPr>
        <w:t>Section 5.3: Reporting Schedule.</w:t>
      </w:r>
      <w:r>
        <w:rPr>
          <w:rFonts w:ascii="Inter" w:hAnsi="Inter" w:cs="Inter"/>
          <w:b w:val="0"/>
          <w:i w:val="0"/>
          <w:color w:val="2D2D2D"/>
          <w:sz w:val="22"/>
        </w:rPr>
        <w:t xml:space="preserve"> The reporting calendar from Chapter 11: quarterly output reports, annual accomplishment report, mid-term review, and end-of-plan evaluation.</w:t>
      </w:r>
    </w:p>
    <w:p>
      <w:pPr>
        <w:pStyle w:val="ListBullet"/>
      </w:pPr>
      <w:r>
        <w:rPr>
          <w:rFonts w:ascii="Inter" w:hAnsi="Inter" w:cs="Inter"/>
          <w:b w:val="0"/>
          <w:i w:val="0"/>
          <w:color w:val="2D2D2D"/>
          <w:sz w:val="22"/>
        </w:rPr>
      </w:r>
      <w:r>
        <w:rPr>
          <w:rFonts w:ascii="Inter" w:hAnsi="Inter" w:cs="Inter"/>
          <w:b/>
          <w:i w:val="0"/>
          <w:color w:val="2D2D2D"/>
          <w:sz w:val="22"/>
        </w:rPr>
        <w:t>Section 5.4: Adaptive Management Protocol.</w:t>
      </w:r>
      <w:r>
        <w:rPr>
          <w:rFonts w:ascii="Inter" w:hAnsi="Inter" w:cs="Inter"/>
          <w:b w:val="0"/>
          <w:i w:val="0"/>
          <w:color w:val="2D2D2D"/>
          <w:sz w:val="22"/>
        </w:rPr>
        <w:t xml:space="preserve"> The adaptive management triggers from Chapter 11, stating the conditions under which your MOA will initiate a plan revision.</w:t>
      </w:r>
    </w:p>
    <w:p>
      <w:pPr>
        <w:spacing w:after="120" w:line="276" w:lineRule="auto"/>
      </w:pPr>
      <w:r>
        <w:rPr>
          <w:rFonts w:ascii="Inter" w:hAnsi="Inter" w:cs="Inter"/>
          <w:b w:val="0"/>
          <w:i w:val="0"/>
          <w:color w:val="2D2D2D"/>
          <w:sz w:val="22"/>
        </w:rPr>
        <w:t>Part V should be 10–20 pages.</w:t>
      </w:r>
    </w:p>
    <w:p>
      <w:pPr>
        <w:spacing w:after="120" w:line="276" w:lineRule="auto"/>
      </w:pPr>
      <w:r>
        <w:rPr>
          <w:rFonts w:ascii="Inter" w:hAnsi="Inter" w:cs="Inter"/>
          <w:b w:val="0"/>
          <w:i w:val="0"/>
          <w:color w:val="2D2D2D"/>
          <w:sz w:val="22"/>
        </w:rPr>
      </w:r>
      <w:r>
        <w:rPr>
          <w:rFonts w:ascii="Inter" w:hAnsi="Inter" w:cs="Inter"/>
          <w:b/>
          <w:i w:val="0"/>
          <w:color w:val="2D2D2D"/>
          <w:sz w:val="22"/>
        </w:rPr>
        <w:t>Annexes</w:t>
      </w:r>
      <w:r>
        <w:rPr>
          <w:rFonts w:ascii="Inter" w:hAnsi="Inter" w:cs="Inter"/>
          <w:b w:val="0"/>
          <w:i w:val="0"/>
          <w:color w:val="2D2D2D"/>
          <w:sz w:val="22"/>
        </w:rPr>
      </w:r>
    </w:p>
    <w:p>
      <w:pPr>
        <w:spacing w:after="120" w:line="276" w:lineRule="auto"/>
      </w:pPr>
      <w:r>
        <w:rPr>
          <w:rFonts w:ascii="Inter" w:hAnsi="Inter" w:cs="Inter"/>
          <w:b w:val="0"/>
          <w:i w:val="0"/>
          <w:color w:val="2D2D2D"/>
          <w:sz w:val="22"/>
        </w:rPr>
        <w:t>Annexes contain supporting documents that are referenced in the main text but would interrupt the narrative flow if included inline.</w:t>
      </w:r>
    </w:p>
    <w:p>
      <w:pPr>
        <w:spacing w:after="120" w:line="276" w:lineRule="auto"/>
      </w:pPr>
      <w:r>
        <w:rPr>
          <w:rFonts w:ascii="Inter" w:hAnsi="Inter" w:cs="Inter"/>
          <w:b w:val="0"/>
          <w:i w:val="0"/>
          <w:color w:val="2D2D2D"/>
          <w:sz w:val="22"/>
        </w:rPr>
        <w:t>Recommended annexes:</w:t>
      </w:r>
    </w:p>
    <w:p>
      <w:pPr>
        <w:pStyle w:val="ListBullet"/>
      </w:pPr>
      <w:r>
        <w:rPr>
          <w:rFonts w:ascii="Inter" w:hAnsi="Inter" w:cs="Inter"/>
          <w:b w:val="0"/>
          <w:i w:val="0"/>
          <w:color w:val="2D2D2D"/>
          <w:sz w:val="22"/>
        </w:rPr>
        <w:t>Annex A: Enabling law or executive order (if not widely available)</w:t>
      </w:r>
    </w:p>
    <w:p>
      <w:pPr>
        <w:pStyle w:val="ListBullet"/>
      </w:pPr>
      <w:r>
        <w:rPr>
          <w:rFonts w:ascii="Inter" w:hAnsi="Inter" w:cs="Inter"/>
          <w:b w:val="0"/>
          <w:i w:val="0"/>
          <w:color w:val="2D2D2D"/>
          <w:sz w:val="22"/>
        </w:rPr>
        <w:t>Annex B: Full SWOT Analysis (if abbreviated in the main text)</w:t>
      </w:r>
    </w:p>
    <w:p>
      <w:pPr>
        <w:pStyle w:val="ListBullet"/>
      </w:pPr>
      <w:r>
        <w:rPr>
          <w:rFonts w:ascii="Inter" w:hAnsi="Inter" w:cs="Inter"/>
          <w:b w:val="0"/>
          <w:i w:val="0"/>
          <w:color w:val="2D2D2D"/>
          <w:sz w:val="22"/>
        </w:rPr>
        <w:t>Annex C: Stakeholder consultation records (attendance sheets, summary minutes from planning workshops)</w:t>
      </w:r>
    </w:p>
    <w:p>
      <w:pPr>
        <w:pStyle w:val="ListBullet"/>
      </w:pPr>
      <w:r>
        <w:rPr>
          <w:rFonts w:ascii="Inter" w:hAnsi="Inter" w:cs="Inter"/>
          <w:b w:val="0"/>
          <w:i w:val="0"/>
          <w:color w:val="2D2D2D"/>
          <w:sz w:val="22"/>
        </w:rPr>
        <w:t>Annex D: Data sources and methodology notes for baselines in the Indicator Registry</w:t>
      </w:r>
    </w:p>
    <w:p>
      <w:pPr>
        <w:pStyle w:val="ListBullet"/>
      </w:pPr>
      <w:r>
        <w:rPr>
          <w:rFonts w:ascii="Inter" w:hAnsi="Inter" w:cs="Inter"/>
          <w:b w:val="0"/>
          <w:i w:val="0"/>
          <w:color w:val="2D2D2D"/>
          <w:sz w:val="22"/>
        </w:rPr>
        <w:t>Annex E: Partnership agreements (MOUs, Letters of Intent with development partners)</w:t>
      </w:r>
    </w:p>
    <w:p>
      <w:pPr>
        <w:pStyle w:val="ListBullet"/>
      </w:pPr>
      <w:r>
        <w:rPr>
          <w:rFonts w:ascii="Inter" w:hAnsi="Inter" w:cs="Inter"/>
          <w:b w:val="0"/>
          <w:i w:val="0"/>
          <w:color w:val="2D2D2D"/>
          <w:sz w:val="22"/>
        </w:rPr>
        <w:t>Annex F: Glossary of terms</w:t>
      </w:r>
    </w:p>
    <w:p>
      <w:pPr>
        <w:pStyle w:val="Heading2"/>
      </w:pPr>
      <w:r>
        <w:rPr>
          <w:rFonts w:ascii="Inter" w:hAnsi="Inter" w:cs="Inter"/>
          <w:b/>
          <w:i w:val="0"/>
          <w:color w:val="1B365D"/>
          <w:sz w:val="32"/>
        </w:rPr>
        <w:t>12.3 Writing the Executive Summary</w:t>
      </w:r>
    </w:p>
    <w:p>
      <w:pPr>
        <w:spacing w:after="120" w:line="276" w:lineRule="auto"/>
      </w:pPr>
      <w:r>
        <w:rPr>
          <w:rFonts w:ascii="Inter" w:hAnsi="Inter" w:cs="Inter"/>
          <w:b w:val="0"/>
          <w:i w:val="0"/>
          <w:color w:val="2D2D2D"/>
          <w:sz w:val="22"/>
        </w:rPr>
        <w:t>The executive summary is the most important section of your strategic plan. It is read first and, for many readers, read exclusively. A Parliament Committee member reviewing a dozen agency plans will read the executive summary of each and go deeper into one or two. A BPDA technical reviewer will read the executive summary before deciding how closely to examine the full document. The Chief Minister's office will review the executive summaries submitted by all ministries before BEDC deliberations.</w:t>
      </w:r>
    </w:p>
    <w:p>
      <w:pPr>
        <w:spacing w:after="120" w:line="276" w:lineRule="auto"/>
      </w:pPr>
      <w:r>
        <w:rPr>
          <w:rFonts w:ascii="Inter" w:hAnsi="Inter" w:cs="Inter"/>
          <w:b w:val="0"/>
          <w:i w:val="0"/>
          <w:color w:val="2D2D2D"/>
          <w:sz w:val="22"/>
        </w:rPr>
        <w:t>Your executive summary has two jobs: it must be accurate, and it must be compelling. Accurate means every number, target, and legal citation in the summary is correct and consistent with the full document. Compelling means a senior leader who reads only the summary understands what your MOA is trying to achieve, why it matters, and whether you have a credible plan to get there.</w:t>
      </w:r>
    </w:p>
    <w:p>
      <w:pPr>
        <w:spacing w:after="120" w:line="276" w:lineRule="auto"/>
      </w:pPr>
      <w:r>
        <w:rPr>
          <w:rFonts w:ascii="Inter" w:hAnsi="Inter" w:cs="Inter"/>
          <w:b w:val="0"/>
          <w:i w:val="0"/>
          <w:color w:val="2D2D2D"/>
          <w:sz w:val="22"/>
        </w:rPr>
        <w:t>The target length is 2–3 pages. Five to seven focused paragraphs, a summary table, and a signature block. Do not exceed 4 pages. An executive summary longer than 4 pages is a document, not a summary.</w:t>
      </w:r>
    </w:p>
    <w:p>
      <w:pPr>
        <w:spacing w:after="120" w:line="276" w:lineRule="auto"/>
      </w:pPr>
      <w:r>
        <w:rPr>
          <w:rFonts w:ascii="Inter" w:hAnsi="Inter" w:cs="Inter"/>
          <w:b w:val="0"/>
          <w:i w:val="0"/>
          <w:color w:val="2D2D2D"/>
          <w:sz w:val="22"/>
        </w:rPr>
        <w:t>Write the executive summary last — after every other section of the plan is complete. You cannot accurately summarize something you have not yet fully developed.</w:t>
      </w:r>
    </w:p>
    <w:p>
      <w:pPr>
        <w:pStyle w:val="Heading3"/>
      </w:pPr>
      <w:r>
        <w:rPr>
          <w:rFonts w:ascii="Inter" w:hAnsi="Inter" w:cs="Inter"/>
          <w:b/>
          <w:i w:val="0"/>
          <w:color w:val="2C5F7C"/>
          <w:sz w:val="26"/>
        </w:rPr>
        <w:t>What the Executive Summary Must Cover</w:t>
      </w:r>
    </w:p>
    <w:p>
      <w:pPr>
        <w:spacing w:after="120" w:line="276" w:lineRule="auto"/>
      </w:pPr>
      <w:r>
        <w:rPr>
          <w:rFonts w:ascii="Inter" w:hAnsi="Inter" w:cs="Inter"/>
          <w:b w:val="0"/>
          <w:i w:val="0"/>
          <w:color w:val="2D2D2D"/>
          <w:sz w:val="22"/>
        </w:rPr>
      </w:r>
      <w:r>
        <w:rPr>
          <w:rFonts w:ascii="Inter" w:hAnsi="Inter" w:cs="Inter"/>
          <w:b/>
          <w:i w:val="0"/>
          <w:color w:val="2D2D2D"/>
          <w:sz w:val="22"/>
        </w:rPr>
        <w:t>Paragraph 1: MOA Mandate Summary</w:t>
      </w:r>
      <w:r>
        <w:rPr>
          <w:rFonts w:ascii="Inter" w:hAnsi="Inter" w:cs="Inter"/>
          <w:b w:val="0"/>
          <w:i w:val="0"/>
          <w:color w:val="2D2D2D"/>
          <w:sz w:val="22"/>
        </w:rPr>
      </w:r>
    </w:p>
    <w:p>
      <w:pPr>
        <w:spacing w:after="120" w:line="276" w:lineRule="auto"/>
      </w:pPr>
      <w:r>
        <w:rPr>
          <w:rFonts w:ascii="Inter" w:hAnsi="Inter" w:cs="Inter"/>
          <w:b w:val="0"/>
          <w:i w:val="0"/>
          <w:color w:val="2D2D2D"/>
          <w:sz w:val="22"/>
        </w:rPr>
        <w:t>Introduce your MOA in one paragraph. State the full name, the legal basis for its establishment (cite the specific BAA or BOL provision), the scope of its mandate, and the geographic or sectoral reach of its authority. Do not list every function. Identify the two or three most significant mandate areas that your strategic plan addresses.</w:t>
      </w:r>
    </w:p>
    <w:p>
      <w:pPr>
        <w:spacing w:after="120" w:line="276" w:lineRule="auto"/>
      </w:pPr>
      <w:r>
        <w:rPr>
          <w:rFonts w:ascii="Inter" w:hAnsi="Inter" w:cs="Inter"/>
          <w:b w:val="0"/>
          <w:i w:val="0"/>
          <w:color w:val="2D2D2D"/>
          <w:sz w:val="22"/>
        </w:rPr>
        <w:t>Example structure: *"The Ministry of [Name] is established under [BAA/BOL provision] with responsibility for [core mandate areas]. It operates across [geographic scope] and serves [primary beneficiaries]. This strategic plan covers the period [years] and addresses [2–3 most significant planning priorities]."*</w:t>
      </w:r>
    </w:p>
    <w:p>
      <w:pPr>
        <w:spacing w:after="120" w:line="276" w:lineRule="auto"/>
      </w:pPr>
      <w:r>
        <w:rPr>
          <w:rFonts w:ascii="Inter" w:hAnsi="Inter" w:cs="Inter"/>
          <w:b w:val="0"/>
          <w:i w:val="0"/>
          <w:color w:val="2D2D2D"/>
          <w:sz w:val="22"/>
        </w:rPr>
      </w:r>
      <w:r>
        <w:rPr>
          <w:rFonts w:ascii="Inter" w:hAnsi="Inter" w:cs="Inter"/>
          <w:b/>
          <w:i w:val="0"/>
          <w:color w:val="2D2D2D"/>
          <w:sz w:val="22"/>
        </w:rPr>
        <w:t>Paragraph 2: Strategic Direction</w:t>
      </w:r>
      <w:r>
        <w:rPr>
          <w:rFonts w:ascii="Inter" w:hAnsi="Inter" w:cs="Inter"/>
          <w:b w:val="0"/>
          <w:i w:val="0"/>
          <w:color w:val="2D2D2D"/>
          <w:sz w:val="22"/>
        </w:rPr>
      </w:r>
    </w:p>
    <w:p>
      <w:pPr>
        <w:spacing w:after="120" w:line="276" w:lineRule="auto"/>
      </w:pPr>
      <w:r>
        <w:rPr>
          <w:rFonts w:ascii="Inter" w:hAnsi="Inter" w:cs="Inter"/>
          <w:b w:val="0"/>
          <w:i w:val="0"/>
          <w:color w:val="2D2D2D"/>
          <w:sz w:val="22"/>
        </w:rPr>
        <w:t>State your Vision and Mission in full — do not abbreviate or paraphrase them. Then present your strategic objectives as a numbered list. Use the complete objective statements from Chapter 6, including their measurable targets and deadlines. Do not substitute vague summaries for specific, time-bound objectives.</w:t>
      </w:r>
    </w:p>
    <w:p>
      <w:pPr>
        <w:spacing w:after="120" w:line="276" w:lineRule="auto"/>
      </w:pPr>
      <w:r>
        <w:rPr>
          <w:rFonts w:ascii="Inter" w:hAnsi="Inter" w:cs="Inter"/>
          <w:b w:val="0"/>
          <w:i w:val="0"/>
          <w:color w:val="2D2D2D"/>
          <w:sz w:val="22"/>
        </w:rPr>
        <w:t>If you have 3–5 strategic objectives, list them all. If you have 6–7, list them all. They must appear here, in full, so that any reader can understand the entire scope of your strategic direction from this one paragraph plus list.</w:t>
      </w:r>
    </w:p>
    <w:p>
      <w:pPr>
        <w:spacing w:after="120" w:line="276" w:lineRule="auto"/>
      </w:pPr>
      <w:r>
        <w:rPr>
          <w:rFonts w:ascii="Inter" w:hAnsi="Inter" w:cs="Inter"/>
          <w:b w:val="0"/>
          <w:i w:val="0"/>
          <w:color w:val="2D2D2D"/>
          <w:sz w:val="22"/>
        </w:rPr>
      </w:r>
      <w:r>
        <w:rPr>
          <w:rFonts w:ascii="Inter" w:hAnsi="Inter" w:cs="Inter"/>
          <w:b/>
          <w:i w:val="0"/>
          <w:color w:val="2D2D2D"/>
          <w:sz w:val="22"/>
        </w:rPr>
        <w:t>Paragraph 3: Development Plan and Priority Agenda Alignment</w:t>
      </w:r>
      <w:r>
        <w:rPr>
          <w:rFonts w:ascii="Inter" w:hAnsi="Inter" w:cs="Inter"/>
          <w:b w:val="0"/>
          <w:i w:val="0"/>
          <w:color w:val="2D2D2D"/>
          <w:sz w:val="22"/>
        </w:rPr>
      </w:r>
    </w:p>
    <w:p>
      <w:pPr>
        <w:spacing w:after="120" w:line="276" w:lineRule="auto"/>
      </w:pPr>
      <w:r>
        <w:rPr>
          <w:rFonts w:ascii="Inter" w:hAnsi="Inter" w:cs="Inter"/>
          <w:b w:val="0"/>
          <w:i w:val="0"/>
          <w:color w:val="2D2D2D"/>
          <w:sz w:val="22"/>
        </w:rPr>
        <w:t>Explain, in plain prose, how your MOA's plan connects to the Bangsamoro Development Plan and the 12-Point Priority Agenda. Name the specific BDP goals your programs advance. Identify the specific Priority Agenda points your MOA directly implements. State whether your MOA is a primary implementer for any Priority Agenda point, or a supporting or regulatory actor.</w:t>
      </w:r>
    </w:p>
    <w:p>
      <w:pPr>
        <w:spacing w:after="120" w:line="276" w:lineRule="auto"/>
      </w:pPr>
      <w:r>
        <w:rPr>
          <w:rFonts w:ascii="Inter" w:hAnsi="Inter" w:cs="Inter"/>
          <w:b w:val="0"/>
          <w:i w:val="0"/>
          <w:color w:val="2D2D2D"/>
          <w:sz w:val="22"/>
        </w:rPr>
        <w:t>This paragraph signals to BPDA, the OCM, and the Parliament that your plan is not self-referential. It is aligned with the larger strategic direction of the Bangsamoro Government.</w:t>
      </w:r>
    </w:p>
    <w:p>
      <w:pPr>
        <w:spacing w:after="120" w:line="276" w:lineRule="auto"/>
      </w:pPr>
      <w:r>
        <w:rPr>
          <w:rFonts w:ascii="Inter" w:hAnsi="Inter" w:cs="Inter"/>
          <w:b w:val="0"/>
          <w:i w:val="0"/>
          <w:color w:val="2D2D2D"/>
          <w:sz w:val="22"/>
        </w:rPr>
      </w:r>
      <w:r>
        <w:rPr>
          <w:rFonts w:ascii="Inter" w:hAnsi="Inter" w:cs="Inter"/>
          <w:b/>
          <w:i w:val="0"/>
          <w:color w:val="2D2D2D"/>
          <w:sz w:val="22"/>
        </w:rPr>
        <w:t>Paragraph 4: PPA Portfolio Summary</w:t>
      </w:r>
      <w:r>
        <w:rPr>
          <w:rFonts w:ascii="Inter" w:hAnsi="Inter" w:cs="Inter"/>
          <w:b w:val="0"/>
          <w:i w:val="0"/>
          <w:color w:val="2D2D2D"/>
          <w:sz w:val="22"/>
        </w:rPr>
      </w:r>
    </w:p>
    <w:p>
      <w:pPr>
        <w:spacing w:after="120" w:line="276" w:lineRule="auto"/>
      </w:pPr>
      <w:r>
        <w:rPr>
          <w:rFonts w:ascii="Inter" w:hAnsi="Inter" w:cs="Inter"/>
          <w:b w:val="0"/>
          <w:i w:val="0"/>
          <w:color w:val="2D2D2D"/>
          <w:sz w:val="22"/>
        </w:rPr>
        <w:t>Give the reader a one-paragraph picture of your entire PPA portfolio. State the total number of Programs, Projects, and Activities. Identify any major programs by name. State the total budget for the plan period, broken down by year and by expenditure class (PS, MOOE, CO). Identify the primary funding source (annual block grant appropriation) and any significant external resources (development partner co-financing, national government counterpart).</w:t>
      </w:r>
    </w:p>
    <w:p>
      <w:pPr>
        <w:spacing w:after="120" w:line="276" w:lineRule="auto"/>
      </w:pPr>
      <w:r>
        <w:rPr>
          <w:rFonts w:ascii="Inter" w:hAnsi="Inter" w:cs="Inter"/>
          <w:b w:val="0"/>
          <w:i w:val="0"/>
          <w:color w:val="2D2D2D"/>
          <w:sz w:val="22"/>
        </w:rPr>
        <w:t>Do not list every PPA. Summarize the portfolio — how many, what type, what total cost, what major initiatives stand out.</w:t>
      </w:r>
    </w:p>
    <w:p>
      <w:pPr>
        <w:spacing w:after="120" w:line="276" w:lineRule="auto"/>
      </w:pPr>
      <w:r>
        <w:rPr>
          <w:rFonts w:ascii="Inter" w:hAnsi="Inter" w:cs="Inter"/>
          <w:b w:val="0"/>
          <w:i w:val="0"/>
          <w:color w:val="2D2D2D"/>
          <w:sz w:val="22"/>
        </w:rPr>
      </w:r>
      <w:r>
        <w:rPr>
          <w:rFonts w:ascii="Inter" w:hAnsi="Inter" w:cs="Inter"/>
          <w:b/>
          <w:i w:val="0"/>
          <w:color w:val="2D2D2D"/>
          <w:sz w:val="22"/>
        </w:rPr>
        <w:t>Paragraph 5: Annual Plan Highlights</w:t>
      </w:r>
      <w:r>
        <w:rPr>
          <w:rFonts w:ascii="Inter" w:hAnsi="Inter" w:cs="Inter"/>
          <w:b w:val="0"/>
          <w:i w:val="0"/>
          <w:color w:val="2D2D2D"/>
          <w:sz w:val="22"/>
        </w:rPr>
      </w:r>
    </w:p>
    <w:p>
      <w:pPr>
        <w:spacing w:after="120" w:line="276" w:lineRule="auto"/>
      </w:pPr>
      <w:r>
        <w:rPr>
          <w:rFonts w:ascii="Inter" w:hAnsi="Inter" w:cs="Inter"/>
          <w:b w:val="0"/>
          <w:i w:val="0"/>
          <w:color w:val="2D2D2D"/>
          <w:sz w:val="22"/>
        </w:rPr>
        <w:t>Briefly note the first fiscal year's focus. What are the top 3–5 priorities for the coming year? What is the total appropriation request? Are there any major procurements, capital investments, or program launches planned for Year 1 that the reader should know about?</w:t>
      </w:r>
    </w:p>
    <w:p>
      <w:pPr>
        <w:spacing w:after="120" w:line="276" w:lineRule="auto"/>
      </w:pPr>
      <w:r>
        <w:rPr>
          <w:rFonts w:ascii="Inter" w:hAnsi="Inter" w:cs="Inter"/>
          <w:b w:val="0"/>
          <w:i w:val="0"/>
          <w:color w:val="2D2D2D"/>
          <w:sz w:val="22"/>
        </w:rPr>
        <w:t>This paragraph bridges the strategic plan to the near-term budget request. It connects the multi-year vision to the immediate fiscal reality.</w:t>
      </w:r>
    </w:p>
    <w:p>
      <w:pPr>
        <w:spacing w:after="120" w:line="276" w:lineRule="auto"/>
      </w:pPr>
      <w:r>
        <w:rPr>
          <w:rFonts w:ascii="Inter" w:hAnsi="Inter" w:cs="Inter"/>
          <w:b w:val="0"/>
          <w:i w:val="0"/>
          <w:color w:val="2D2D2D"/>
          <w:sz w:val="22"/>
        </w:rPr>
      </w:r>
      <w:r>
        <w:rPr>
          <w:rFonts w:ascii="Inter" w:hAnsi="Inter" w:cs="Inter"/>
          <w:b/>
          <w:i w:val="0"/>
          <w:color w:val="2D2D2D"/>
          <w:sz w:val="22"/>
        </w:rPr>
        <w:t>Summary Table: Key Targets for the Plan Period</w:t>
      </w:r>
      <w:r>
        <w:rPr>
          <w:rFonts w:ascii="Inter" w:hAnsi="Inter" w:cs="Inter"/>
          <w:b w:val="0"/>
          <w:i w:val="0"/>
          <w:color w:val="2D2D2D"/>
          <w:sz w:val="22"/>
        </w:rPr>
      </w:r>
    </w:p>
    <w:p>
      <w:pPr>
        <w:spacing w:after="120" w:line="276" w:lineRule="auto"/>
      </w:pPr>
      <w:r>
        <w:rPr>
          <w:rFonts w:ascii="Inter" w:hAnsi="Inter" w:cs="Inter"/>
          <w:b w:val="0"/>
          <w:i w:val="0"/>
          <w:color w:val="2D2D2D"/>
          <w:sz w:val="22"/>
        </w:rPr>
        <w:t>Insert a compact table immediately after Paragraph 5 listing your most important performance targets. The table should have no more than 8–10 rows. Select the indicators that best represent your MOA's contribution to BDP goals and Priority Agenda points — typically your impact indicators and most significant outcome indicators.</w:t>
      </w:r>
    </w:p>
    <w:p>
      <w:pPr>
        <w:spacing w:after="120" w:line="276" w:lineRule="auto"/>
      </w:pPr>
      <w:r>
        <w:rPr>
          <w:rFonts w:ascii="Inter" w:hAnsi="Inter" w:cs="Inter"/>
          <w:b w:val="0"/>
          <w:i w:val="0"/>
          <w:color w:val="2D2D2D"/>
          <w:sz w:val="22"/>
        </w:rPr>
        <w:t>The table format: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Strategic Objective</w:t>
            </w:r>
          </w:p>
        </w:tc>
        <w:tc>
          <w:tcPr>
            <w:tcW w:type="dxa" w:w="1872"/>
            <w:shd w:fill="1B365D"/>
          </w:tcPr>
          <w:p>
            <w:r/>
            <w:r>
              <w:rPr>
                <w:rFonts w:ascii="Inter" w:hAnsi="Inter" w:cs="Inter"/>
                <w:b/>
                <w:i w:val="0"/>
                <w:color w:val="FFFFFF"/>
                <w:sz w:val="19"/>
              </w:rPr>
              <w:t>Key Indicator</w:t>
            </w:r>
          </w:p>
        </w:tc>
        <w:tc>
          <w:tcPr>
            <w:tcW w:type="dxa" w:w="1872"/>
            <w:shd w:fill="1B365D"/>
          </w:tcPr>
          <w:p>
            <w:r/>
            <w:r>
              <w:rPr>
                <w:rFonts w:ascii="Inter" w:hAnsi="Inter" w:cs="Inter"/>
                <w:b/>
                <w:i w:val="0"/>
                <w:color w:val="FFFFFF"/>
                <w:sz w:val="19"/>
              </w:rPr>
              <w:t>Baseline</w:t>
            </w:r>
          </w:p>
        </w:tc>
        <w:tc>
          <w:tcPr>
            <w:tcW w:type="dxa" w:w="1872"/>
            <w:shd w:fill="1B365D"/>
          </w:tcPr>
          <w:p>
            <w:r/>
            <w:r>
              <w:rPr>
                <w:rFonts w:ascii="Inter" w:hAnsi="Inter" w:cs="Inter"/>
                <w:b/>
                <w:i w:val="0"/>
                <w:color w:val="FFFFFF"/>
                <w:sz w:val="19"/>
              </w:rPr>
              <w:t>End-of-Plan Target</w:t>
            </w:r>
          </w:p>
        </w:tc>
        <w:tc>
          <w:tcPr>
            <w:tcW w:type="dxa" w:w="1872"/>
            <w:shd w:fill="1B365D"/>
          </w:tcPr>
          <w:p>
            <w:r/>
            <w:r>
              <w:rPr>
                <w:rFonts w:ascii="Inter" w:hAnsi="Inter" w:cs="Inter"/>
                <w:b/>
                <w:i w:val="0"/>
                <w:color w:val="FFFFFF"/>
                <w:sz w:val="19"/>
              </w:rPr>
              <w:t>Target Year</w:t>
            </w:r>
          </w:p>
        </w:tc>
      </w:tr>
      <w:tr>
        <w:tc>
          <w:tcPr>
            <w:tcW w:type="dxa" w:w="1872"/>
          </w:tcPr>
          <w:p>
            <w:r/>
            <w:r>
              <w:rPr>
                <w:rFonts w:ascii="Inter" w:hAnsi="Inter" w:cs="Inter"/>
                <w:b w:val="0"/>
                <w:i w:val="0"/>
                <w:color w:val="2D2D2D"/>
                <w:sz w:val="19"/>
              </w:rPr>
              <w:t>SO-1</w:t>
            </w:r>
          </w:p>
        </w:tc>
        <w:tc>
          <w:tcPr>
            <w:tcW w:type="dxa" w:w="1872"/>
          </w:tcPr>
          <w:p>
            <w:r/>
            <w:r>
              <w:rPr>
                <w:rFonts w:ascii="Inter" w:hAnsi="Inter" w:cs="Inter"/>
                <w:b w:val="0"/>
                <w:i w:val="0"/>
                <w:color w:val="2D2D2D"/>
                <w:sz w:val="19"/>
              </w:rPr>
              <w:t>[Indicator name]</w:t>
            </w:r>
          </w:p>
        </w:tc>
        <w:tc>
          <w:tcPr>
            <w:tcW w:type="dxa" w:w="1872"/>
          </w:tcPr>
          <w:p>
            <w:r/>
            <w:r>
              <w:rPr>
                <w:rFonts w:ascii="Inter" w:hAnsi="Inter" w:cs="Inter"/>
                <w:b w:val="0"/>
                <w:i w:val="0"/>
                <w:color w:val="2D2D2D"/>
                <w:sz w:val="19"/>
              </w:rPr>
              <w:t>[Baseline value + year]</w:t>
            </w:r>
          </w:p>
        </w:tc>
        <w:tc>
          <w:tcPr>
            <w:tcW w:type="dxa" w:w="1872"/>
          </w:tcPr>
          <w:p>
            <w:r/>
            <w:r>
              <w:rPr>
                <w:rFonts w:ascii="Inter" w:hAnsi="Inter" w:cs="Inter"/>
                <w:b w:val="0"/>
                <w:i w:val="0"/>
                <w:color w:val="2D2D2D"/>
                <w:sz w:val="19"/>
              </w:rPr>
              <w:t>[Target value]</w:t>
            </w:r>
          </w:p>
        </w:tc>
        <w:tc>
          <w:tcPr>
            <w:tcW w:type="dxa" w:w="1872"/>
          </w:tcPr>
          <w:p>
            <w:r/>
            <w:r>
              <w:rPr>
                <w:rFonts w:ascii="Inter" w:hAnsi="Inter" w:cs="Inter"/>
                <w:b w:val="0"/>
                <w:i w:val="0"/>
                <w:color w:val="2D2D2D"/>
                <w:sz w:val="19"/>
              </w:rPr>
              <w:t>[Year]</w:t>
            </w:r>
          </w:p>
        </w:tc>
      </w:tr>
      <w:tr>
        <w:tc>
          <w:tcPr>
            <w:tcW w:type="dxa" w:w="1872"/>
            <w:shd w:fill="F0F3F6"/>
          </w:tcPr>
          <w:p>
            <w:r/>
            <w:r>
              <w:rPr>
                <w:rFonts w:ascii="Inter" w:hAnsi="Inter" w:cs="Inter"/>
                <w:b w:val="0"/>
                <w:i w:val="0"/>
                <w:color w:val="2D2D2D"/>
                <w:sz w:val="19"/>
              </w:rPr>
              <w:t>SO-2</w:t>
            </w:r>
          </w:p>
        </w:tc>
        <w:tc>
          <w:tcPr>
            <w:tcW w:type="dxa" w:w="1872"/>
            <w:shd w:fill="F0F3F6"/>
          </w:tcPr>
          <w:p>
            <w:r/>
            <w:r>
              <w:rPr>
                <w:rFonts w:ascii="Inter" w:hAnsi="Inter" w:cs="Inter"/>
                <w:b w:val="0"/>
                <w:i w:val="0"/>
                <w:color w:val="2D2D2D"/>
                <w:sz w:val="19"/>
              </w:rPr>
              <w:t>[Indicator name]</w:t>
            </w:r>
          </w:p>
        </w:tc>
        <w:tc>
          <w:tcPr>
            <w:tcW w:type="dxa" w:w="1872"/>
            <w:shd w:fill="F0F3F6"/>
          </w:tcPr>
          <w:p>
            <w:r/>
            <w:r>
              <w:rPr>
                <w:rFonts w:ascii="Inter" w:hAnsi="Inter" w:cs="Inter"/>
                <w:b w:val="0"/>
                <w:i w:val="0"/>
                <w:color w:val="2D2D2D"/>
                <w:sz w:val="19"/>
              </w:rPr>
              <w:t>[Baseline value + year]</w:t>
            </w:r>
          </w:p>
        </w:tc>
        <w:tc>
          <w:tcPr>
            <w:tcW w:type="dxa" w:w="1872"/>
            <w:shd w:fill="F0F3F6"/>
          </w:tcPr>
          <w:p>
            <w:r/>
            <w:r>
              <w:rPr>
                <w:rFonts w:ascii="Inter" w:hAnsi="Inter" w:cs="Inter"/>
                <w:b w:val="0"/>
                <w:i w:val="0"/>
                <w:color w:val="2D2D2D"/>
                <w:sz w:val="19"/>
              </w:rPr>
              <w:t>[Target value]</w:t>
            </w:r>
          </w:p>
        </w:tc>
        <w:tc>
          <w:tcPr>
            <w:tcW w:type="dxa" w:w="1872"/>
            <w:shd w:fill="F0F3F6"/>
          </w:tcPr>
          <w:p>
            <w:r/>
            <w:r>
              <w:rPr>
                <w:rFonts w:ascii="Inter" w:hAnsi="Inter" w:cs="Inter"/>
                <w:b w:val="0"/>
                <w:i w:val="0"/>
                <w:color w:val="2D2D2D"/>
                <w:sz w:val="19"/>
              </w:rPr>
              <w:t>[Year]</w:t>
            </w:r>
          </w:p>
        </w:tc>
      </w:tr>
      <w:tr>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Closing Statement and Signatories</w:t>
      </w:r>
      <w:r>
        <w:rPr>
          <w:rFonts w:ascii="Inter" w:hAnsi="Inter" w:cs="Inter"/>
          <w:b w:val="0"/>
          <w:i w:val="0"/>
          <w:color w:val="2D2D2D"/>
          <w:sz w:val="22"/>
        </w:rPr>
      </w:r>
    </w:p>
    <w:p>
      <w:pPr>
        <w:spacing w:after="120" w:line="276" w:lineRule="auto"/>
      </w:pPr>
      <w:r>
        <w:rPr>
          <w:rFonts w:ascii="Inter" w:hAnsi="Inter" w:cs="Inter"/>
          <w:b w:val="0"/>
          <w:i w:val="0"/>
          <w:color w:val="2D2D2D"/>
          <w:sz w:val="22"/>
        </w:rPr>
        <w:t>End the executive summary with a single sentence of commitment: a statement that the MOA's leadership takes accountability for the plan's implementation and results. Follow with the signature block:</w:t>
      </w:r>
    </w:p>
    <w:p>
      <w:pPr>
        <w:pStyle w:val="ListBullet"/>
      </w:pPr>
      <w:r>
        <w:rPr>
          <w:rFonts w:ascii="Inter" w:hAnsi="Inter" w:cs="Inter"/>
          <w:b w:val="0"/>
          <w:i w:val="0"/>
          <w:color w:val="2D2D2D"/>
          <w:sz w:val="22"/>
        </w:rPr>
        <w:t>Minister or Executive Director (name, title, signature)</w:t>
      </w:r>
    </w:p>
    <w:p>
      <w:pPr>
        <w:pStyle w:val="ListBullet"/>
      </w:pPr>
      <w:r>
        <w:rPr>
          <w:rFonts w:ascii="Inter" w:hAnsi="Inter" w:cs="Inter"/>
          <w:b w:val="0"/>
          <w:i w:val="0"/>
          <w:color w:val="2D2D2D"/>
          <w:sz w:val="22"/>
        </w:rPr>
        <w:t>Deputy Minister or Deputy Director General for Planning (name, title, signature)</w:t>
      </w:r>
    </w:p>
    <w:p>
      <w:pPr>
        <w:pStyle w:val="ListBullet"/>
      </w:pPr>
      <w:r>
        <w:rPr>
          <w:rFonts w:ascii="Inter" w:hAnsi="Inter" w:cs="Inter"/>
          <w:b w:val="0"/>
          <w:i w:val="0"/>
          <w:color w:val="2D2D2D"/>
          <w:sz w:val="22"/>
        </w:rPr>
        <w:t>Planning Officer (name, title, signature)</w:t>
      </w:r>
    </w:p>
    <w:p>
      <w:pPr>
        <w:pStyle w:val="ListBullet"/>
      </w:pPr>
      <w:r>
        <w:rPr>
          <w:rFonts w:ascii="Inter" w:hAnsi="Inter" w:cs="Inter"/>
          <w:b w:val="0"/>
          <w:i w:val="0"/>
          <w:color w:val="2D2D2D"/>
          <w:sz w:val="22"/>
        </w:rPr>
        <w:t>Date of submission</w:t>
      </w:r>
    </w:p>
    <w:p>
      <w:pPr>
        <w:pStyle w:val="Heading3"/>
      </w:pPr>
      <w:r>
        <w:rPr>
          <w:rFonts w:ascii="Inter" w:hAnsi="Inter" w:cs="Inter"/>
          <w:b/>
          <w:i w:val="0"/>
          <w:color w:val="2C5F7C"/>
          <w:sz w:val="26"/>
        </w:rPr>
        <w:t>Executive Summary Template</w:t>
      </w:r>
    </w:p>
    <w:p>
      <w:pPr>
        <w:spacing w:after="120" w:line="276" w:lineRule="auto"/>
      </w:pPr>
      <w:r>
        <w:rPr>
          <w:rFonts w:ascii="Inter" w:hAnsi="Inter" w:cs="Inter"/>
          <w:b w:val="0"/>
          <w:i w:val="0"/>
          <w:color w:val="2D2D2D"/>
          <w:sz w:val="22"/>
        </w:rPr>
        <w:t>The following template is ready to fill in. Replace every item in brackets with your MOA's specific content.</w:t>
      </w:r>
    </w:p>
    <w:p>
      <w:pPr>
        <w:spacing w:after="120" w:line="276" w:lineRule="auto"/>
      </w:pPr>
      <w:r>
        <w:rPr>
          <w:rFonts w:ascii="Inter" w:hAnsi="Inter" w:cs="Inter"/>
          <w:b w:val="0"/>
          <w:i w:val="0"/>
          <w:color w:val="2D2D2D"/>
          <w:sz w:val="22"/>
        </w:rPr>
      </w:r>
      <w:r>
        <w:rPr>
          <w:rFonts w:ascii="Inter" w:hAnsi="Inter" w:cs="Inter"/>
          <w:b/>
          <w:i w:val="0"/>
          <w:color w:val="2D2D2D"/>
          <w:sz w:val="22"/>
        </w:rPr>
        <w:t>[FULL NAME OF MINISTRY/OFFICE/AGENCY]</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STRATEGIC PLAN [FISCAL YEAR START]–[FISCAL YEAR END]</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EXECUTIVE SUMMARY</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Mandate</w:t>
      </w:r>
      <w:r>
        <w:rPr>
          <w:rFonts w:ascii="Inter" w:hAnsi="Inter" w:cs="Inter"/>
          <w:b w:val="0"/>
          <w:i w:val="0"/>
          <w:color w:val="2D2D2D"/>
          <w:sz w:val="22"/>
        </w:rPr>
      </w:r>
    </w:p>
    <w:p>
      <w:pPr>
        <w:spacing w:after="120" w:line="276" w:lineRule="auto"/>
      </w:pPr>
      <w:r>
        <w:rPr>
          <w:rFonts w:ascii="Inter" w:hAnsi="Inter" w:cs="Inter"/>
          <w:b w:val="0"/>
          <w:i w:val="0"/>
          <w:color w:val="2D2D2D"/>
          <w:sz w:val="22"/>
        </w:rPr>
        <w:t>The [Ministry/Office/Agency full name] is established under [specific legal authority — BAA number, BOL article and section, or executive order] with authority over [core mandate areas]. It serves [primary beneficiaries] across [geographic scope or functional jurisdiction]. This Strategic Plan covers the period [start year] to [end year] and addresses [2–3 most significant planning priorities consistent with the mandate].</w:t>
      </w:r>
    </w:p>
    <w:p>
      <w:pPr>
        <w:spacing w:after="120" w:line="276" w:lineRule="auto"/>
      </w:pPr>
      <w:r>
        <w:rPr>
          <w:rFonts w:ascii="Inter" w:hAnsi="Inter" w:cs="Inter"/>
          <w:b w:val="0"/>
          <w:i w:val="0"/>
          <w:color w:val="2D2D2D"/>
          <w:sz w:val="22"/>
        </w:rPr>
      </w:r>
      <w:r>
        <w:rPr>
          <w:rFonts w:ascii="Inter" w:hAnsi="Inter" w:cs="Inter"/>
          <w:b/>
          <w:i w:val="0"/>
          <w:color w:val="2D2D2D"/>
          <w:sz w:val="22"/>
        </w:rPr>
        <w:t>Strategic Direction</w:t>
      </w:r>
      <w:r>
        <w:rPr>
          <w:rFonts w:ascii="Inter" w:hAnsi="Inter" w:cs="Inter"/>
          <w:b w:val="0"/>
          <w:i w:val="0"/>
          <w:color w:val="2D2D2D"/>
          <w:sz w:val="22"/>
        </w:rPr>
      </w:r>
    </w:p>
    <w:p>
      <w:pPr>
        <w:spacing w:after="120" w:line="276" w:lineRule="auto"/>
      </w:pPr>
      <w:r>
        <w:rPr>
          <w:rFonts w:ascii="Inter" w:hAnsi="Inter" w:cs="Inter"/>
          <w:b w:val="0"/>
          <w:i w:val="0"/>
          <w:color w:val="2D2D2D"/>
          <w:sz w:val="22"/>
        </w:rPr>
        <w:t>*Vision:* [Full Vision statement from Chapter 6.]</w:t>
      </w:r>
    </w:p>
    <w:p>
      <w:pPr>
        <w:spacing w:after="120" w:line="276" w:lineRule="auto"/>
      </w:pPr>
      <w:r>
        <w:rPr>
          <w:rFonts w:ascii="Inter" w:hAnsi="Inter" w:cs="Inter"/>
          <w:b w:val="0"/>
          <w:i w:val="0"/>
          <w:color w:val="2D2D2D"/>
          <w:sz w:val="22"/>
        </w:rPr>
        <w:t>*Mission:* [Full Mission statement from Chapter 6.]</w:t>
      </w:r>
    </w:p>
    <w:p>
      <w:pPr>
        <w:spacing w:after="120" w:line="276" w:lineRule="auto"/>
      </w:pPr>
      <w:r>
        <w:rPr>
          <w:rFonts w:ascii="Inter" w:hAnsi="Inter" w:cs="Inter"/>
          <w:b w:val="0"/>
          <w:i w:val="0"/>
          <w:color w:val="2D2D2D"/>
          <w:sz w:val="22"/>
        </w:rPr>
        <w:t>*Strategic Objectives:*</w:t>
      </w:r>
    </w:p>
    <w:p>
      <w:pPr>
        <w:pStyle w:val="ListNumber"/>
      </w:pPr>
      <w:r>
        <w:rPr>
          <w:rFonts w:ascii="Inter" w:hAnsi="Inter" w:cs="Inter"/>
          <w:b w:val="0"/>
          <w:i w:val="0"/>
          <w:color w:val="2D2D2D"/>
          <w:sz w:val="22"/>
        </w:rPr>
        <w:t>[SO-1: Full statement, including measurable target and deadline]</w:t>
      </w:r>
    </w:p>
    <w:p>
      <w:pPr>
        <w:pStyle w:val="ListNumber"/>
      </w:pPr>
      <w:r>
        <w:rPr>
          <w:rFonts w:ascii="Inter" w:hAnsi="Inter" w:cs="Inter"/>
          <w:b w:val="0"/>
          <w:i w:val="0"/>
          <w:color w:val="2D2D2D"/>
          <w:sz w:val="22"/>
        </w:rPr>
        <w:t>[SO-2: Full statement, including measurable target and deadline]</w:t>
      </w:r>
    </w:p>
    <w:p>
      <w:pPr>
        <w:pStyle w:val="ListNumber"/>
      </w:pPr>
      <w:r>
        <w:rPr>
          <w:rFonts w:ascii="Inter" w:hAnsi="Inter" w:cs="Inter"/>
          <w:b w:val="0"/>
          <w:i w:val="0"/>
          <w:color w:val="2D2D2D"/>
          <w:sz w:val="22"/>
        </w:rPr>
        <w:t>[SO-3: Full statement, including measurable target and deadline]</w:t>
      </w:r>
    </w:p>
    <w:p>
      <w:pPr>
        <w:pStyle w:val="ListNumber"/>
      </w:pPr>
      <w:r>
        <w:rPr>
          <w:rFonts w:ascii="Inter" w:hAnsi="Inter" w:cs="Inter"/>
          <w:b w:val="0"/>
          <w:i w:val="0"/>
          <w:color w:val="2D2D2D"/>
          <w:sz w:val="22"/>
        </w:rPr>
        <w:t>[SO-4 if applicable]</w:t>
      </w:r>
    </w:p>
    <w:p>
      <w:pPr>
        <w:pStyle w:val="ListNumber"/>
      </w:pPr>
      <w:r>
        <w:rPr>
          <w:rFonts w:ascii="Inter" w:hAnsi="Inter" w:cs="Inter"/>
          <w:b w:val="0"/>
          <w:i w:val="0"/>
          <w:color w:val="2D2D2D"/>
          <w:sz w:val="22"/>
        </w:rPr>
        <w:t>[SO-5 if applicable]</w:t>
      </w:r>
    </w:p>
    <w:p>
      <w:pPr>
        <w:spacing w:after="120" w:line="276" w:lineRule="auto"/>
      </w:pPr>
      <w:r>
        <w:rPr>
          <w:rFonts w:ascii="Inter" w:hAnsi="Inter" w:cs="Inter"/>
          <w:b w:val="0"/>
          <w:i w:val="0"/>
          <w:color w:val="2D2D2D"/>
          <w:sz w:val="22"/>
        </w:rPr>
      </w:r>
      <w:r>
        <w:rPr>
          <w:rFonts w:ascii="Inter" w:hAnsi="Inter" w:cs="Inter"/>
          <w:b/>
          <w:i w:val="0"/>
          <w:color w:val="2D2D2D"/>
          <w:sz w:val="22"/>
        </w:rPr>
        <w:t>Alignment with National and Regional Development Priorities</w:t>
      </w:r>
      <w:r>
        <w:rPr>
          <w:rFonts w:ascii="Inter" w:hAnsi="Inter" w:cs="Inter"/>
          <w:b w:val="0"/>
          <w:i w:val="0"/>
          <w:color w:val="2D2D2D"/>
          <w:sz w:val="22"/>
        </w:rPr>
      </w:r>
    </w:p>
    <w:p>
      <w:pPr>
        <w:spacing w:after="120" w:line="276" w:lineRule="auto"/>
      </w:pPr>
      <w:r>
        <w:rPr>
          <w:rFonts w:ascii="Inter" w:hAnsi="Inter" w:cs="Inter"/>
          <w:b w:val="0"/>
          <w:i w:val="0"/>
          <w:color w:val="2D2D2D"/>
          <w:sz w:val="22"/>
        </w:rPr>
        <w:t>This plan directly advances [BDP Goal number(s) and name(s)], contributing to [specific BDP target(s) where known]. It implements [Priority Agenda point(s) — state number and name] as [alignment mode: primary implementer / regulatory authority / policy support / coordination role]. [One to two sentences explaining the substantive link — not just the reference, but why this MOA's work advances the stated goal or priority.]</w:t>
      </w:r>
    </w:p>
    <w:p>
      <w:pPr>
        <w:spacing w:after="120" w:line="276" w:lineRule="auto"/>
      </w:pPr>
      <w:r>
        <w:rPr>
          <w:rFonts w:ascii="Inter" w:hAnsi="Inter" w:cs="Inter"/>
          <w:b w:val="0"/>
          <w:i w:val="0"/>
          <w:color w:val="2D2D2D"/>
          <w:sz w:val="22"/>
        </w:rPr>
      </w:r>
      <w:r>
        <w:rPr>
          <w:rFonts w:ascii="Inter" w:hAnsi="Inter" w:cs="Inter"/>
          <w:b/>
          <w:i w:val="0"/>
          <w:color w:val="2D2D2D"/>
          <w:sz w:val="22"/>
        </w:rPr>
        <w:t>PPA Portfolio</w:t>
      </w:r>
      <w:r>
        <w:rPr>
          <w:rFonts w:ascii="Inter" w:hAnsi="Inter" w:cs="Inter"/>
          <w:b w:val="0"/>
          <w:i w:val="0"/>
          <w:color w:val="2D2D2D"/>
          <w:sz w:val="22"/>
        </w:rPr>
      </w:r>
    </w:p>
    <w:p>
      <w:pPr>
        <w:spacing w:after="120" w:line="276" w:lineRule="auto"/>
      </w:pPr>
      <w:r>
        <w:rPr>
          <w:rFonts w:ascii="Inter" w:hAnsi="Inter" w:cs="Inter"/>
          <w:b w:val="0"/>
          <w:i w:val="0"/>
          <w:color w:val="2D2D2D"/>
          <w:sz w:val="22"/>
        </w:rPr>
        <w:t>The plan includes [total number] Programs, Projects, and Activities organized around [number] strategic objectives. Major programs include [name 1–3 flagship programs]. Total resource requirements for the plan period are ₱[total amount], allocated across ₱[PS total] in Personnel Services, ₱[MOOE total] in MOOE, and ₱[CO total] in Capital Outlay. [State funding sources: e.g., "Funded primarily through the annual Bangsamoro appropriation, supplemented by ₱[amount] in confirmed development partner co-financing from [partner name(s)]"].</w:t>
      </w:r>
    </w:p>
    <w:p>
      <w:pPr>
        <w:spacing w:after="120" w:line="276" w:lineRule="auto"/>
      </w:pPr>
      <w:r>
        <w:rPr>
          <w:rFonts w:ascii="Inter" w:hAnsi="Inter" w:cs="Inter"/>
          <w:b w:val="0"/>
          <w:i w:val="0"/>
          <w:color w:val="2D2D2D"/>
          <w:sz w:val="22"/>
        </w:rPr>
      </w:r>
      <w:r>
        <w:rPr>
          <w:rFonts w:ascii="Inter" w:hAnsi="Inter" w:cs="Inter"/>
          <w:b/>
          <w:i w:val="0"/>
          <w:color w:val="2D2D2D"/>
          <w:sz w:val="22"/>
        </w:rPr>
        <w:t>Year [First Year] Priorities</w:t>
      </w:r>
      <w:r>
        <w:rPr>
          <w:rFonts w:ascii="Inter" w:hAnsi="Inter" w:cs="Inter"/>
          <w:b w:val="0"/>
          <w:i w:val="0"/>
          <w:color w:val="2D2D2D"/>
          <w:sz w:val="22"/>
        </w:rPr>
      </w:r>
    </w:p>
    <w:p>
      <w:pPr>
        <w:spacing w:after="120" w:line="276" w:lineRule="auto"/>
      </w:pPr>
      <w:r>
        <w:rPr>
          <w:rFonts w:ascii="Inter" w:hAnsi="Inter" w:cs="Inter"/>
          <w:b w:val="0"/>
          <w:i w:val="0"/>
          <w:color w:val="2D2D2D"/>
          <w:sz w:val="22"/>
        </w:rPr>
        <w:t>In [first fiscal year], the [MOA name] will focus on [1–3 Year 1 priorities]. Total Year 1 appropriation request: ₱[amount]. Key milestones include [1–3 major Year 1 deliverables — a program launch, a capital procurement, a regulation enacted, a survey completed].</w:t>
      </w:r>
    </w:p>
    <w:p>
      <w:pPr>
        <w:spacing w:after="120" w:line="276" w:lineRule="auto"/>
      </w:pPr>
      <w:r>
        <w:rPr>
          <w:rFonts w:ascii="Inter" w:hAnsi="Inter" w:cs="Inter"/>
          <w:b w:val="0"/>
          <w:i w:val="0"/>
          <w:color w:val="2D2D2D"/>
          <w:sz w:val="22"/>
        </w:rPr>
      </w:r>
      <w:r>
        <w:rPr>
          <w:rFonts w:ascii="Inter" w:hAnsi="Inter" w:cs="Inter"/>
          <w:b/>
          <w:i w:val="0"/>
          <w:color w:val="2D2D2D"/>
          <w:sz w:val="22"/>
        </w:rPr>
        <w:t>Key Performance Targets, [Start Year]–[End Year]</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Strategic Objective</w:t>
            </w:r>
          </w:p>
        </w:tc>
        <w:tc>
          <w:tcPr>
            <w:tcW w:type="dxa" w:w="1872"/>
            <w:shd w:fill="1B365D"/>
          </w:tcPr>
          <w:p>
            <w:r/>
            <w:r>
              <w:rPr>
                <w:rFonts w:ascii="Inter" w:hAnsi="Inter" w:cs="Inter"/>
                <w:b/>
                <w:i w:val="0"/>
                <w:color w:val="FFFFFF"/>
                <w:sz w:val="19"/>
              </w:rPr>
              <w:t>Key Indicator</w:t>
            </w:r>
          </w:p>
        </w:tc>
        <w:tc>
          <w:tcPr>
            <w:tcW w:type="dxa" w:w="1872"/>
            <w:shd w:fill="1B365D"/>
          </w:tcPr>
          <w:p>
            <w:r/>
            <w:r>
              <w:rPr>
                <w:rFonts w:ascii="Inter" w:hAnsi="Inter" w:cs="Inter"/>
                <w:b/>
                <w:i w:val="0"/>
                <w:color w:val="FFFFFF"/>
                <w:sz w:val="19"/>
              </w:rPr>
              <w:t>Baseline</w:t>
            </w:r>
          </w:p>
        </w:tc>
        <w:tc>
          <w:tcPr>
            <w:tcW w:type="dxa" w:w="1872"/>
            <w:shd w:fill="1B365D"/>
          </w:tcPr>
          <w:p>
            <w:r/>
            <w:r>
              <w:rPr>
                <w:rFonts w:ascii="Inter" w:hAnsi="Inter" w:cs="Inter"/>
                <w:b/>
                <w:i w:val="0"/>
                <w:color w:val="FFFFFF"/>
                <w:sz w:val="19"/>
              </w:rPr>
              <w:t>End-of-Plan Target</w:t>
            </w:r>
          </w:p>
        </w:tc>
        <w:tc>
          <w:tcPr>
            <w:tcW w:type="dxa" w:w="1872"/>
            <w:shd w:fill="1B365D"/>
          </w:tcPr>
          <w:p>
            <w:r/>
            <w:r>
              <w:rPr>
                <w:rFonts w:ascii="Inter" w:hAnsi="Inter" w:cs="Inter"/>
                <w:b/>
                <w:i w:val="0"/>
                <w:color w:val="FFFFFF"/>
                <w:sz w:val="19"/>
              </w:rPr>
              <w:t>Target Year</w:t>
            </w:r>
          </w:p>
        </w:tc>
      </w:tr>
      <w:tr>
        <w:tc>
          <w:tcPr>
            <w:tcW w:type="dxa" w:w="1872"/>
          </w:tcPr>
          <w:p>
            <w:r/>
            <w:r>
              <w:rPr>
                <w:rFonts w:ascii="Inter" w:hAnsi="Inter" w:cs="Inter"/>
                <w:b w:val="0"/>
                <w:i w:val="0"/>
                <w:color w:val="2D2D2D"/>
                <w:sz w:val="19"/>
              </w:rPr>
              <w:t>[SO-1]</w:t>
            </w:r>
          </w:p>
        </w:tc>
        <w:tc>
          <w:tcPr>
            <w:tcW w:type="dxa" w:w="1872"/>
          </w:tcPr>
          <w:p>
            <w:r/>
            <w:r>
              <w:rPr>
                <w:rFonts w:ascii="Inter" w:hAnsi="Inter" w:cs="Inter"/>
                <w:b w:val="0"/>
                <w:i w:val="0"/>
                <w:color w:val="2D2D2D"/>
                <w:sz w:val="19"/>
              </w:rPr>
              <w:t>[Indicator]</w:t>
            </w:r>
          </w:p>
        </w:tc>
        <w:tc>
          <w:tcPr>
            <w:tcW w:type="dxa" w:w="1872"/>
          </w:tcPr>
          <w:p>
            <w:r/>
            <w:r>
              <w:rPr>
                <w:rFonts w:ascii="Inter" w:hAnsi="Inter" w:cs="Inter"/>
                <w:b w:val="0"/>
                <w:i w:val="0"/>
                <w:color w:val="2D2D2D"/>
                <w:sz w:val="19"/>
              </w:rPr>
              <w:t>[Value, Year]</w:t>
            </w:r>
          </w:p>
        </w:tc>
        <w:tc>
          <w:tcPr>
            <w:tcW w:type="dxa" w:w="1872"/>
          </w:tcPr>
          <w:p>
            <w:r/>
            <w:r>
              <w:rPr>
                <w:rFonts w:ascii="Inter" w:hAnsi="Inter" w:cs="Inter"/>
                <w:b w:val="0"/>
                <w:i w:val="0"/>
                <w:color w:val="2D2D2D"/>
                <w:sz w:val="19"/>
              </w:rPr>
              <w:t>[Target]</w:t>
            </w:r>
          </w:p>
        </w:tc>
        <w:tc>
          <w:tcPr>
            <w:tcW w:type="dxa" w:w="1872"/>
          </w:tcPr>
          <w:p>
            <w:r/>
            <w:r>
              <w:rPr>
                <w:rFonts w:ascii="Inter" w:hAnsi="Inter" w:cs="Inter"/>
                <w:b w:val="0"/>
                <w:i w:val="0"/>
                <w:color w:val="2D2D2D"/>
                <w:sz w:val="19"/>
              </w:rPr>
              <w:t>[Year]</w:t>
            </w:r>
          </w:p>
        </w:tc>
      </w:tr>
      <w:tr>
        <w:tc>
          <w:tcPr>
            <w:tcW w:type="dxa" w:w="1872"/>
            <w:shd w:fill="F0F3F6"/>
          </w:tcPr>
          <w:p>
            <w:r/>
            <w:r>
              <w:rPr>
                <w:rFonts w:ascii="Inter" w:hAnsi="Inter" w:cs="Inter"/>
                <w:b w:val="0"/>
                <w:i w:val="0"/>
                <w:color w:val="2D2D2D"/>
                <w:sz w:val="19"/>
              </w:rPr>
              <w:t>[SO-2]</w:t>
            </w:r>
          </w:p>
        </w:tc>
        <w:tc>
          <w:tcPr>
            <w:tcW w:type="dxa" w:w="1872"/>
            <w:shd w:fill="F0F3F6"/>
          </w:tcPr>
          <w:p>
            <w:r/>
            <w:r>
              <w:rPr>
                <w:rFonts w:ascii="Inter" w:hAnsi="Inter" w:cs="Inter"/>
                <w:b w:val="0"/>
                <w:i w:val="0"/>
                <w:color w:val="2D2D2D"/>
                <w:sz w:val="19"/>
              </w:rPr>
              <w:t>[Indicator]</w:t>
            </w:r>
          </w:p>
        </w:tc>
        <w:tc>
          <w:tcPr>
            <w:tcW w:type="dxa" w:w="1872"/>
            <w:shd w:fill="F0F3F6"/>
          </w:tcPr>
          <w:p>
            <w:r/>
            <w:r>
              <w:rPr>
                <w:rFonts w:ascii="Inter" w:hAnsi="Inter" w:cs="Inter"/>
                <w:b w:val="0"/>
                <w:i w:val="0"/>
                <w:color w:val="2D2D2D"/>
                <w:sz w:val="19"/>
              </w:rPr>
              <w:t>[Value, Year]</w:t>
            </w:r>
          </w:p>
        </w:tc>
        <w:tc>
          <w:tcPr>
            <w:tcW w:type="dxa" w:w="1872"/>
            <w:shd w:fill="F0F3F6"/>
          </w:tcPr>
          <w:p>
            <w:r/>
            <w:r>
              <w:rPr>
                <w:rFonts w:ascii="Inter" w:hAnsi="Inter" w:cs="Inter"/>
                <w:b w:val="0"/>
                <w:i w:val="0"/>
                <w:color w:val="2D2D2D"/>
                <w:sz w:val="19"/>
              </w:rPr>
              <w:t>[Target]</w:t>
            </w:r>
          </w:p>
        </w:tc>
        <w:tc>
          <w:tcPr>
            <w:tcW w:type="dxa" w:w="1872"/>
            <w:shd w:fill="F0F3F6"/>
          </w:tcPr>
          <w:p>
            <w:r/>
            <w:r>
              <w:rPr>
                <w:rFonts w:ascii="Inter" w:hAnsi="Inter" w:cs="Inter"/>
                <w:b w:val="0"/>
                <w:i w:val="0"/>
                <w:color w:val="2D2D2D"/>
                <w:sz w:val="19"/>
              </w:rPr>
              <w:t>[Year]</w:t>
            </w:r>
          </w:p>
        </w:tc>
      </w:tr>
      <w:tr>
        <w:tc>
          <w:tcPr>
            <w:tcW w:type="dxa" w:w="1872"/>
          </w:tcPr>
          <w:p>
            <w:r/>
            <w:r>
              <w:rPr>
                <w:rFonts w:ascii="Inter" w:hAnsi="Inter" w:cs="Inter"/>
                <w:b w:val="0"/>
                <w:i w:val="0"/>
                <w:color w:val="2D2D2D"/>
                <w:sz w:val="19"/>
              </w:rPr>
              <w:t>[SO-3]</w:t>
            </w:r>
          </w:p>
        </w:tc>
        <w:tc>
          <w:tcPr>
            <w:tcW w:type="dxa" w:w="1872"/>
          </w:tcPr>
          <w:p>
            <w:r/>
            <w:r>
              <w:rPr>
                <w:rFonts w:ascii="Inter" w:hAnsi="Inter" w:cs="Inter"/>
                <w:b w:val="0"/>
                <w:i w:val="0"/>
                <w:color w:val="2D2D2D"/>
                <w:sz w:val="19"/>
              </w:rPr>
              <w:t>[Indicator]</w:t>
            </w:r>
          </w:p>
        </w:tc>
        <w:tc>
          <w:tcPr>
            <w:tcW w:type="dxa" w:w="1872"/>
          </w:tcPr>
          <w:p>
            <w:r/>
            <w:r>
              <w:rPr>
                <w:rFonts w:ascii="Inter" w:hAnsi="Inter" w:cs="Inter"/>
                <w:b w:val="0"/>
                <w:i w:val="0"/>
                <w:color w:val="2D2D2D"/>
                <w:sz w:val="19"/>
              </w:rPr>
              <w:t>[Value, Year]</w:t>
            </w:r>
          </w:p>
        </w:tc>
        <w:tc>
          <w:tcPr>
            <w:tcW w:type="dxa" w:w="1872"/>
          </w:tcPr>
          <w:p>
            <w:r/>
            <w:r>
              <w:rPr>
                <w:rFonts w:ascii="Inter" w:hAnsi="Inter" w:cs="Inter"/>
                <w:b w:val="0"/>
                <w:i w:val="0"/>
                <w:color w:val="2D2D2D"/>
                <w:sz w:val="19"/>
              </w:rPr>
              <w:t>[Target]</w:t>
            </w:r>
          </w:p>
        </w:tc>
        <w:tc>
          <w:tcPr>
            <w:tcW w:type="dxa" w:w="1872"/>
          </w:tcPr>
          <w:p>
            <w:r/>
            <w:r>
              <w:rPr>
                <w:rFonts w:ascii="Inter" w:hAnsi="Inter" w:cs="Inter"/>
                <w:b w:val="0"/>
                <w:i w:val="0"/>
                <w:color w:val="2D2D2D"/>
                <w:sz w:val="19"/>
              </w:rPr>
              <w:t>[Year]</w:t>
            </w:r>
          </w:p>
        </w:tc>
      </w:tr>
    </w:tbl>
    <w:p/>
    <w:p>
      <w:pPr>
        <w:spacing w:after="120" w:line="276" w:lineRule="auto"/>
      </w:pPr>
      <w:r>
        <w:rPr>
          <w:rFonts w:ascii="Inter" w:hAnsi="Inter" w:cs="Inter"/>
          <w:b w:val="0"/>
          <w:i w:val="0"/>
          <w:color w:val="2D2D2D"/>
          <w:sz w:val="22"/>
        </w:rPr>
        <w:t>The [MOA name] submits this Strategic Plan as a binding commitment to the Bangsamoro Government and to the communities it serves. Leadership accepts full accountability for its implementation.</w:t>
      </w:r>
    </w:p>
    <w:p>
      <w:pPr>
        <w:spacing w:after="120" w:line="276" w:lineRule="auto"/>
      </w:pPr>
      <w:r>
        <w:rPr>
          <w:rFonts w:ascii="Inter" w:hAnsi="Inter" w:cs="Inter"/>
          <w:b w:val="0"/>
          <w:i w:val="0"/>
          <w:color w:val="2D2D2D"/>
          <w:sz w:val="22"/>
        </w:rPr>
        <w:t>[Signature of Minister/Executive Director]                  [Signature of Deputy/DG Planning]                  [Signature of Planning Officer]</w:t>
      </w:r>
    </w:p>
    <w:p>
      <w:pPr>
        <w:spacing w:after="120" w:line="276" w:lineRule="auto"/>
      </w:pPr>
      <w:r>
        <w:rPr>
          <w:rFonts w:ascii="Inter" w:hAnsi="Inter" w:cs="Inter"/>
          <w:b w:val="0"/>
          <w:i w:val="0"/>
          <w:color w:val="2D2D2D"/>
          <w:sz w:val="22"/>
        </w:rPr>
        <w:t>[Name, Title]                                                              [Name, Title]                                                              [Name, Title]</w:t>
      </w:r>
    </w:p>
    <w:p>
      <w:pPr>
        <w:spacing w:after="120" w:line="276" w:lineRule="auto"/>
      </w:pPr>
      <w:r>
        <w:rPr>
          <w:rFonts w:ascii="Inter" w:hAnsi="Inter" w:cs="Inter"/>
          <w:b w:val="0"/>
          <w:i w:val="0"/>
          <w:color w:val="2D2D2D"/>
          <w:sz w:val="22"/>
        </w:rPr>
        <w:t>Date of Submission: ___________________</w:t>
      </w:r>
    </w:p>
    <w:p>
      <w:pPr>
        <w:pStyle w:val="Heading3"/>
      </w:pPr>
      <w:r>
        <w:rPr>
          <w:rFonts w:ascii="Inter" w:hAnsi="Inter" w:cs="Inter"/>
          <w:b/>
          <w:i w:val="0"/>
          <w:color w:val="2C5F7C"/>
          <w:sz w:val="26"/>
        </w:rPr>
        <w:t>Common Mistakes in Executive Summaries</w:t>
      </w:r>
    </w:p>
    <w:p>
      <w:pPr>
        <w:spacing w:after="120" w:line="276" w:lineRule="auto"/>
      </w:pPr>
      <w:r>
        <w:rPr>
          <w:rFonts w:ascii="Inter" w:hAnsi="Inter" w:cs="Inter"/>
          <w:b w:val="0"/>
          <w:i w:val="0"/>
          <w:color w:val="2D2D2D"/>
          <w:sz w:val="22"/>
        </w:rPr>
      </w:r>
      <w:r>
        <w:rPr>
          <w:rFonts w:ascii="Inter" w:hAnsi="Inter" w:cs="Inter"/>
          <w:b/>
          <w:i w:val="0"/>
          <w:color w:val="2D2D2D"/>
          <w:sz w:val="22"/>
        </w:rPr>
        <w:t>Writing the summary before the plan is complete.</w:t>
      </w:r>
      <w:r>
        <w:rPr>
          <w:rFonts w:ascii="Inter" w:hAnsi="Inter" w:cs="Inter"/>
          <w:b w:val="0"/>
          <w:i w:val="0"/>
          <w:color w:val="2D2D2D"/>
          <w:sz w:val="22"/>
        </w:rPr>
        <w:t xml:space="preserve"> This produces a summary that does not match the detailed content — numbers are inconsistent, objectives are described differently, and targets do not align with the Indicator Registry. Write the executive summary last.</w:t>
      </w:r>
    </w:p>
    <w:p>
      <w:pPr>
        <w:spacing w:after="120" w:line="276" w:lineRule="auto"/>
      </w:pPr>
      <w:r>
        <w:rPr>
          <w:rFonts w:ascii="Inter" w:hAnsi="Inter" w:cs="Inter"/>
          <w:b w:val="0"/>
          <w:i w:val="0"/>
          <w:color w:val="2D2D2D"/>
          <w:sz w:val="22"/>
        </w:rPr>
      </w:r>
      <w:r>
        <w:rPr>
          <w:rFonts w:ascii="Inter" w:hAnsi="Inter" w:cs="Inter"/>
          <w:b/>
          <w:i w:val="0"/>
          <w:color w:val="2D2D2D"/>
          <w:sz w:val="22"/>
        </w:rPr>
        <w:t>Summarizing the process, not the content.</w:t>
      </w:r>
      <w:r>
        <w:rPr>
          <w:rFonts w:ascii="Inter" w:hAnsi="Inter" w:cs="Inter"/>
          <w:b w:val="0"/>
          <w:i w:val="0"/>
          <w:color w:val="2D2D2D"/>
          <w:sz w:val="22"/>
        </w:rPr>
        <w:t xml:space="preserve"> "We conducted stakeholder consultations and a SWOT analysis before developing our strategic objectives" is a description of your planning methodology. It belongs in an annex, not the executive summary. The summary is about what you plan to achieve, not how you planned.</w:t>
      </w:r>
    </w:p>
    <w:p>
      <w:pPr>
        <w:spacing w:after="120" w:line="276" w:lineRule="auto"/>
      </w:pPr>
      <w:r>
        <w:rPr>
          <w:rFonts w:ascii="Inter" w:hAnsi="Inter" w:cs="Inter"/>
          <w:b w:val="0"/>
          <w:i w:val="0"/>
          <w:color w:val="2D2D2D"/>
          <w:sz w:val="22"/>
        </w:rPr>
      </w:r>
      <w:r>
        <w:rPr>
          <w:rFonts w:ascii="Inter" w:hAnsi="Inter" w:cs="Inter"/>
          <w:b/>
          <w:i w:val="0"/>
          <w:color w:val="2D2D2D"/>
          <w:sz w:val="22"/>
        </w:rPr>
        <w:t>Using vague language instead of specific targets.</w:t>
      </w:r>
      <w:r>
        <w:rPr>
          <w:rFonts w:ascii="Inter" w:hAnsi="Inter" w:cs="Inter"/>
          <w:b w:val="0"/>
          <w:i w:val="0"/>
          <w:color w:val="2D2D2D"/>
          <w:sz w:val="22"/>
        </w:rPr>
        <w:t xml:space="preserve"> "We aim to improve environmental outcomes across the region" is not an executive summary statement. "We will increase BARMM forest cover from 299,169 hectares to 330,000 hectares by December 2028" is. Every strategic objective must appear in full, with its measurable target and deadline.</w:t>
      </w:r>
    </w:p>
    <w:p>
      <w:pPr>
        <w:spacing w:after="120" w:line="276" w:lineRule="auto"/>
      </w:pPr>
      <w:r>
        <w:rPr>
          <w:rFonts w:ascii="Inter" w:hAnsi="Inter" w:cs="Inter"/>
          <w:b w:val="0"/>
          <w:i w:val="0"/>
          <w:color w:val="2D2D2D"/>
          <w:sz w:val="22"/>
        </w:rPr>
      </w:r>
      <w:r>
        <w:rPr>
          <w:rFonts w:ascii="Inter" w:hAnsi="Inter" w:cs="Inter"/>
          <w:b/>
          <w:i w:val="0"/>
          <w:color w:val="2D2D2D"/>
          <w:sz w:val="22"/>
        </w:rPr>
        <w:t>Exceeding three pages.</w:t>
      </w:r>
      <w:r>
        <w:rPr>
          <w:rFonts w:ascii="Inter" w:hAnsi="Inter" w:cs="Inter"/>
          <w:b w:val="0"/>
          <w:i w:val="0"/>
          <w:color w:val="2D2D2D"/>
          <w:sz w:val="22"/>
        </w:rPr>
        <w:t xml:space="preserve"> If you cannot summarize your strategic plan in three pages, the plan lacks clarity at the strategic level. The discipline of writing a tight executive summary often reveals that your objectives are not specific enough, your PPA portfolio is unfocused, or your key targets are not yet finalized. Use the process of writing the summary as a quality check on the plan itself.</w:t>
      </w:r>
    </w:p>
    <w:p>
      <w:pPr>
        <w:pStyle w:val="Heading2"/>
      </w:pPr>
      <w:r>
        <w:rPr>
          <w:rFonts w:ascii="Inter" w:hAnsi="Inter" w:cs="Inter"/>
          <w:b/>
          <w:i w:val="0"/>
          <w:color w:val="1B365D"/>
          <w:sz w:val="32"/>
        </w:rPr>
        <w:t>12.4 The Submission and Approval Workflow</w:t>
      </w:r>
    </w:p>
    <w:p>
      <w:pPr>
        <w:spacing w:after="120" w:line="276" w:lineRule="auto"/>
      </w:pPr>
      <w:r>
        <w:rPr>
          <w:rFonts w:ascii="Inter" w:hAnsi="Inter" w:cs="Inter"/>
          <w:b w:val="0"/>
          <w:i w:val="0"/>
          <w:color w:val="2D2D2D"/>
          <w:sz w:val="22"/>
        </w:rPr>
        <w:t>A completed strategic plan document does not become an approved plan by itself. It moves through a defined review and approval workflow. Understanding this workflow before you submit prevents the most common cause of delays: submitting to the wrong body at the wrong stage, or submitting an incomplete package that must be returned for revision.</w:t>
      </w:r>
    </w:p>
    <w:p>
      <w:pPr>
        <w:pStyle w:val="Heading3"/>
      </w:pPr>
      <w:r>
        <w:rPr>
          <w:rFonts w:ascii="Inter" w:hAnsi="Inter" w:cs="Inter"/>
          <w:b/>
          <w:i w:val="0"/>
          <w:color w:val="2C5F7C"/>
          <w:sz w:val="26"/>
        </w:rPr>
        <w:t>Step 1: Internal Review and Endorsement</w:t>
      </w:r>
    </w:p>
    <w:p>
      <w:pPr>
        <w:spacing w:after="120" w:line="276" w:lineRule="auto"/>
      </w:pPr>
      <w:r>
        <w:rPr>
          <w:rFonts w:ascii="Inter" w:hAnsi="Inter" w:cs="Inter"/>
          <w:b w:val="0"/>
          <w:i w:val="0"/>
          <w:color w:val="2D2D2D"/>
          <w:sz w:val="22"/>
        </w:rPr>
        <w:t>Before a plan leaves your MOA, it must be reviewed internally by the people responsible for implementing it.</w:t>
      </w:r>
    </w:p>
    <w:p>
      <w:pPr>
        <w:spacing w:after="120" w:line="276" w:lineRule="auto"/>
      </w:pPr>
      <w:r>
        <w:rPr>
          <w:rFonts w:ascii="Inter" w:hAnsi="Inter" w:cs="Inter"/>
          <w:b w:val="0"/>
          <w:i w:val="0"/>
          <w:color w:val="2D2D2D"/>
          <w:sz w:val="22"/>
        </w:rPr>
      </w:r>
      <w:r>
        <w:rPr>
          <w:rFonts w:ascii="Inter" w:hAnsi="Inter" w:cs="Inter"/>
          <w:b/>
          <w:i w:val="0"/>
          <w:color w:val="2D2D2D"/>
          <w:sz w:val="22"/>
        </w:rPr>
        <w:t>Planning Officer consolidates.</w:t>
      </w:r>
      <w:r>
        <w:rPr>
          <w:rFonts w:ascii="Inter" w:hAnsi="Inter" w:cs="Inter"/>
          <w:b w:val="0"/>
          <w:i w:val="0"/>
          <w:color w:val="2D2D2D"/>
          <w:sz w:val="22"/>
        </w:rPr>
        <w:t xml:space="preserve"> The Planning Officer assembles all ten template outputs into the final document structure described in Section 12.2. The Planning Officer reviews every section for internal consistency — does the PPA Register align with the Resource Matrix? Do the AWP targets match the M&amp;E Framework baselines? Does the AFP total equal the Resource Matrix Year 1 column? Resolve all discrepancies before submitting to internal reviewers.</w:t>
      </w:r>
    </w:p>
    <w:p>
      <w:pPr>
        <w:spacing w:after="120" w:line="276" w:lineRule="auto"/>
      </w:pPr>
      <w:r>
        <w:rPr>
          <w:rFonts w:ascii="Inter" w:hAnsi="Inter" w:cs="Inter"/>
          <w:b w:val="0"/>
          <w:i w:val="0"/>
          <w:color w:val="2D2D2D"/>
          <w:sz w:val="22"/>
        </w:rPr>
      </w:r>
      <w:r>
        <w:rPr>
          <w:rFonts w:ascii="Inter" w:hAnsi="Inter" w:cs="Inter"/>
          <w:b/>
          <w:i w:val="0"/>
          <w:color w:val="2D2D2D"/>
          <w:sz w:val="22"/>
        </w:rPr>
        <w:t>Division Chiefs review their sections.</w:t>
      </w:r>
      <w:r>
        <w:rPr>
          <w:rFonts w:ascii="Inter" w:hAnsi="Inter" w:cs="Inter"/>
          <w:b w:val="0"/>
          <w:i w:val="0"/>
          <w:color w:val="2D2D2D"/>
          <w:sz w:val="22"/>
        </w:rPr>
        <w:t xml:space="preserve"> Each Division Chief is responsible for the accuracy of the PPA entries, resource estimates, and indicators that relate to their division's work. The Planning Officer distributes the relevant sections to each Division Chief for a 5-working-day review. Division Chiefs should verify: that PPAs are accurately described, that resource estimates are based on actual data, and that performance targets are achievable.</w:t>
      </w:r>
    </w:p>
    <w:p>
      <w:pPr>
        <w:spacing w:after="120" w:line="276" w:lineRule="auto"/>
      </w:pPr>
      <w:r>
        <w:rPr>
          <w:rFonts w:ascii="Inter" w:hAnsi="Inter" w:cs="Inter"/>
          <w:b w:val="0"/>
          <w:i w:val="0"/>
          <w:color w:val="2D2D2D"/>
          <w:sz w:val="22"/>
        </w:rPr>
      </w:r>
      <w:r>
        <w:rPr>
          <w:rFonts w:ascii="Inter" w:hAnsi="Inter" w:cs="Inter"/>
          <w:b/>
          <w:i w:val="0"/>
          <w:color w:val="2D2D2D"/>
          <w:sz w:val="22"/>
        </w:rPr>
        <w:t>Service Director or Director General reviews the full plan.</w:t>
      </w:r>
      <w:r>
        <w:rPr>
          <w:rFonts w:ascii="Inter" w:hAnsi="Inter" w:cs="Inter"/>
          <w:b w:val="0"/>
          <w:i w:val="0"/>
          <w:color w:val="2D2D2D"/>
          <w:sz w:val="22"/>
        </w:rPr>
        <w:t xml:space="preserve"> The head of your main office below the Minister level — Service Director or Director General — reviews the complete document for coherence, completeness, and institutional alignment. This review should focus on: whether the strategic objectives reflect leadership's actual priorities, whether the PPA portfolio is realistic given budget constraints, and whether the executive summary accurately represents the plan.</w:t>
      </w:r>
    </w:p>
    <w:p>
      <w:pPr>
        <w:spacing w:after="120" w:line="276" w:lineRule="auto"/>
      </w:pPr>
      <w:r>
        <w:rPr>
          <w:rFonts w:ascii="Inter" w:hAnsi="Inter" w:cs="Inter"/>
          <w:b w:val="0"/>
          <w:i w:val="0"/>
          <w:color w:val="2D2D2D"/>
          <w:sz w:val="22"/>
        </w:rPr>
      </w:r>
      <w:r>
        <w:rPr>
          <w:rFonts w:ascii="Inter" w:hAnsi="Inter" w:cs="Inter"/>
          <w:b/>
          <w:i w:val="0"/>
          <w:color w:val="2D2D2D"/>
          <w:sz w:val="22"/>
        </w:rPr>
        <w:t>Minister or Executive Director gives final internal approval.</w:t>
      </w:r>
      <w:r>
        <w:rPr>
          <w:rFonts w:ascii="Inter" w:hAnsi="Inter" w:cs="Inter"/>
          <w:b w:val="0"/>
          <w:i w:val="0"/>
          <w:color w:val="2D2D2D"/>
          <w:sz w:val="22"/>
        </w:rPr>
        <w:t xml:space="preserve"> The Minister or Executive Director signs the executive summary signature block. This signature means: the head of the MOA has read the plan, endorses it as the MOA's official strategic direction, and commits to its implementation. Do not allow the Minister's signature to be secured without the Minister or ED actually reviewing the executive summary and at least the strategic objectives section.</w:t>
      </w:r>
    </w:p>
    <w:p>
      <w:pPr>
        <w:pStyle w:val="Heading3"/>
      </w:pPr>
      <w:r>
        <w:rPr>
          <w:rFonts w:ascii="Inter" w:hAnsi="Inter" w:cs="Inter"/>
          <w:b/>
          <w:i w:val="0"/>
          <w:color w:val="2C5F7C"/>
          <w:sz w:val="26"/>
        </w:rPr>
        <w:t>Step 2: Submission to BPDA for Technical Review</w:t>
      </w:r>
    </w:p>
    <w:p>
      <w:pPr>
        <w:spacing w:after="120" w:line="276" w:lineRule="auto"/>
      </w:pPr>
      <w:r>
        <w:rPr>
          <w:rFonts w:ascii="Inter" w:hAnsi="Inter" w:cs="Inter"/>
          <w:b w:val="0"/>
          <w:i w:val="0"/>
          <w:color w:val="2D2D2D"/>
          <w:sz w:val="22"/>
        </w:rPr>
        <w:t>Submit the complete plan package to the Bangsamoro Planning and Development Authority. BPDA conducts technical review and certification of all MOA strategic plans in accordance with its planning guidelines.[^1]</w:t>
      </w:r>
    </w:p>
    <w:p>
      <w:pPr>
        <w:spacing w:after="120" w:line="276" w:lineRule="auto"/>
      </w:pPr>
      <w:r>
        <w:rPr>
          <w:rFonts w:ascii="Inter" w:hAnsi="Inter" w:cs="Inter"/>
          <w:b w:val="0"/>
          <w:i w:val="0"/>
          <w:color w:val="2D2D2D"/>
          <w:sz w:val="22"/>
        </w:rPr>
        <w:t>BPDA's technical review covers:</w:t>
      </w:r>
    </w:p>
    <w:p>
      <w:pPr>
        <w:pStyle w:val="ListBullet"/>
      </w:pPr>
      <w:r>
        <w:rPr>
          <w:rFonts w:ascii="Inter" w:hAnsi="Inter" w:cs="Inter"/>
          <w:b w:val="0"/>
          <w:i w:val="0"/>
          <w:color w:val="2D2D2D"/>
          <w:sz w:val="22"/>
        </w:rPr>
      </w:r>
      <w:r>
        <w:rPr>
          <w:rFonts w:ascii="Inter" w:hAnsi="Inter" w:cs="Inter"/>
          <w:b/>
          <w:i w:val="0"/>
          <w:color w:val="2D2D2D"/>
          <w:sz w:val="22"/>
        </w:rPr>
        <w:t>BDP alignment verification:</w:t>
      </w:r>
      <w:r>
        <w:rPr>
          <w:rFonts w:ascii="Inter" w:hAnsi="Inter" w:cs="Inter"/>
          <w:b w:val="0"/>
          <w:i w:val="0"/>
          <w:color w:val="2D2D2D"/>
          <w:sz w:val="22"/>
        </w:rPr>
        <w:t xml:space="preserve"> Does the plan's stated contribution to BDP goals follow logically from the MOA's mandate and proposed programs?</w:t>
      </w:r>
    </w:p>
    <w:p>
      <w:pPr>
        <w:pStyle w:val="ListBullet"/>
      </w:pPr>
      <w:r>
        <w:rPr>
          <w:rFonts w:ascii="Inter" w:hAnsi="Inter" w:cs="Inter"/>
          <w:b w:val="0"/>
          <w:i w:val="0"/>
          <w:color w:val="2D2D2D"/>
          <w:sz w:val="22"/>
        </w:rPr>
      </w:r>
      <w:r>
        <w:rPr>
          <w:rFonts w:ascii="Inter" w:hAnsi="Inter" w:cs="Inter"/>
          <w:b/>
          <w:i w:val="0"/>
          <w:color w:val="2D2D2D"/>
          <w:sz w:val="22"/>
        </w:rPr>
        <w:t>Strategic logic review:</w:t>
      </w:r>
      <w:r>
        <w:rPr>
          <w:rFonts w:ascii="Inter" w:hAnsi="Inter" w:cs="Inter"/>
          <w:b w:val="0"/>
          <w:i w:val="0"/>
          <w:color w:val="2D2D2D"/>
          <w:sz w:val="22"/>
        </w:rPr>
        <w:t xml:space="preserve"> Is the Theory of Change coherent? Are the causal pathways between activities, outputs, outcomes, and impact credible?</w:t>
      </w:r>
    </w:p>
    <w:p>
      <w:pPr>
        <w:pStyle w:val="ListBullet"/>
      </w:pPr>
      <w:r>
        <w:rPr>
          <w:rFonts w:ascii="Inter" w:hAnsi="Inter" w:cs="Inter"/>
          <w:b w:val="0"/>
          <w:i w:val="0"/>
          <w:color w:val="2D2D2D"/>
          <w:sz w:val="22"/>
        </w:rPr>
      </w:r>
      <w:r>
        <w:rPr>
          <w:rFonts w:ascii="Inter" w:hAnsi="Inter" w:cs="Inter"/>
          <w:b/>
          <w:i w:val="0"/>
          <w:color w:val="2D2D2D"/>
          <w:sz w:val="22"/>
        </w:rPr>
        <w:t>Indicator quality review:</w:t>
      </w:r>
      <w:r>
        <w:rPr>
          <w:rFonts w:ascii="Inter" w:hAnsi="Inter" w:cs="Inter"/>
          <w:b w:val="0"/>
          <w:i w:val="0"/>
          <w:color w:val="2D2D2D"/>
          <w:sz w:val="22"/>
        </w:rPr>
        <w:t xml:space="preserve"> Are the M&amp;E indicators properly defined, with baselines, targets, and data sources? Is the indicator count manageable?</w:t>
      </w:r>
    </w:p>
    <w:p>
      <w:pPr>
        <w:pStyle w:val="ListBullet"/>
      </w:pPr>
      <w:r>
        <w:rPr>
          <w:rFonts w:ascii="Inter" w:hAnsi="Inter" w:cs="Inter"/>
          <w:b w:val="0"/>
          <w:i w:val="0"/>
          <w:color w:val="2D2D2D"/>
          <w:sz w:val="22"/>
        </w:rPr>
      </w:r>
      <w:r>
        <w:rPr>
          <w:rFonts w:ascii="Inter" w:hAnsi="Inter" w:cs="Inter"/>
          <w:b/>
          <w:i w:val="0"/>
          <w:color w:val="2D2D2D"/>
          <w:sz w:val="22"/>
        </w:rPr>
        <w:t>Template compliance:</w:t>
      </w:r>
      <w:r>
        <w:rPr>
          <w:rFonts w:ascii="Inter" w:hAnsi="Inter" w:cs="Inter"/>
          <w:b w:val="0"/>
          <w:i w:val="0"/>
          <w:color w:val="2D2D2D"/>
          <w:sz w:val="22"/>
        </w:rPr>
        <w:t xml:space="preserve"> Has the MOA used the standard planning templates? Are all required sections present?</w:t>
      </w:r>
    </w:p>
    <w:p>
      <w:pPr>
        <w:spacing w:after="120" w:line="276" w:lineRule="auto"/>
      </w:pPr>
      <w:r>
        <w:rPr>
          <w:rFonts w:ascii="Inter" w:hAnsi="Inter" w:cs="Inter"/>
          <w:b w:val="0"/>
          <w:i w:val="0"/>
          <w:color w:val="2D2D2D"/>
          <w:sz w:val="22"/>
        </w:rPr>
        <w:t>BPDA may return the plan for revision with specific comments. When this happens, treat it as a quality improvement opportunity, not a bureaucratic obstacle. BPDA's technical reviewers see strategic plans from all MOAs across BARMM — they can identify structural weaknesses that internal reviewers missed.</w:t>
      </w:r>
    </w:p>
    <w:p>
      <w:pPr>
        <w:pStyle w:val="Heading3"/>
      </w:pPr>
      <w:r>
        <w:rPr>
          <w:rFonts w:ascii="Inter" w:hAnsi="Inter" w:cs="Inter"/>
          <w:b/>
          <w:i w:val="0"/>
          <w:color w:val="2C5F7C"/>
          <w:sz w:val="26"/>
        </w:rPr>
        <w:t>Step 3: MFBM Budget Feasibility Review</w:t>
      </w:r>
    </w:p>
    <w:p>
      <w:pPr>
        <w:spacing w:after="120" w:line="276" w:lineRule="auto"/>
      </w:pPr>
      <w:r>
        <w:rPr>
          <w:rFonts w:ascii="Inter" w:hAnsi="Inter" w:cs="Inter"/>
          <w:b w:val="0"/>
          <w:i w:val="0"/>
          <w:color w:val="2D2D2D"/>
          <w:sz w:val="22"/>
        </w:rPr>
        <w:t>The Ministry of Finance, Budget, and Management reviews the Annual Financial Plan and Resource Requirements Matrix for budget feasibility.[^2] MFBM's review focuses on:</w:t>
      </w:r>
    </w:p>
    <w:p>
      <w:pPr>
        <w:pStyle w:val="ListBullet"/>
      </w:pPr>
      <w:r>
        <w:rPr>
          <w:rFonts w:ascii="Inter" w:hAnsi="Inter" w:cs="Inter"/>
          <w:b w:val="0"/>
          <w:i w:val="0"/>
          <w:color w:val="2D2D2D"/>
          <w:sz w:val="22"/>
        </w:rPr>
        <w:t>Whether the Year 1 AFP is consistent with the budget ceiling communicated to your MOA in the annual Budget Call.</w:t>
      </w:r>
    </w:p>
    <w:p>
      <w:pPr>
        <w:pStyle w:val="ListBullet"/>
      </w:pPr>
      <w:r>
        <w:rPr>
          <w:rFonts w:ascii="Inter" w:hAnsi="Inter" w:cs="Inter"/>
          <w:b w:val="0"/>
          <w:i w:val="0"/>
          <w:color w:val="2D2D2D"/>
          <w:sz w:val="22"/>
        </w:rPr>
        <w:t>Whether the PPA classifications (PS, MOOE, CO) follow standard budget classification.</w:t>
      </w:r>
    </w:p>
    <w:p>
      <w:pPr>
        <w:pStyle w:val="ListBullet"/>
      </w:pPr>
      <w:r>
        <w:rPr>
          <w:rFonts w:ascii="Inter" w:hAnsi="Inter" w:cs="Inter"/>
          <w:b w:val="0"/>
          <w:i w:val="0"/>
          <w:color w:val="2D2D2D"/>
          <w:sz w:val="22"/>
        </w:rPr>
        <w:t>Whether multi-year resource projections are realistic relative to historical appropriation levels and MFBM's medium-term expenditure framework.</w:t>
      </w:r>
    </w:p>
    <w:p>
      <w:pPr>
        <w:spacing w:after="120" w:line="276" w:lineRule="auto"/>
      </w:pPr>
      <w:r>
        <w:rPr>
          <w:rFonts w:ascii="Inter" w:hAnsi="Inter" w:cs="Inter"/>
          <w:b w:val="0"/>
          <w:i w:val="0"/>
          <w:color w:val="2D2D2D"/>
          <w:sz w:val="22"/>
        </w:rPr>
        <w:t>MFBM does not approve or certify strategic plans — that is BPDA's role. MFBM's review of the AFP is part of the annual budget cycle. However, for your strategic plan to serve as the basis for your budget proposal, the AFP must be consistent with what MFBM has reviewed and accepted.</w:t>
      </w:r>
    </w:p>
    <w:p>
      <w:pPr>
        <w:spacing w:after="120" w:line="276" w:lineRule="auto"/>
      </w:pPr>
      <w:r>
        <w:rPr>
          <w:rFonts w:ascii="Inter" w:hAnsi="Inter" w:cs="Inter"/>
          <w:b w:val="0"/>
          <w:i w:val="0"/>
          <w:color w:val="2D2D2D"/>
          <w:sz w:val="22"/>
        </w:rPr>
        <w:t>Submit your AFP to MFBM in accordance with the deadlines set in the annual Budget Call issued by MFBM in the second semester of the prior year.[^3]</w:t>
      </w:r>
    </w:p>
    <w:p>
      <w:pPr>
        <w:pStyle w:val="Heading3"/>
      </w:pPr>
      <w:r>
        <w:rPr>
          <w:rFonts w:ascii="Inter" w:hAnsi="Inter" w:cs="Inter"/>
          <w:b/>
          <w:i w:val="0"/>
          <w:color w:val="2C5F7C"/>
          <w:sz w:val="26"/>
        </w:rPr>
        <w:t>Step 4: BEDC and OCM Strategic Oversight Review</w:t>
      </w:r>
    </w:p>
    <w:p>
      <w:pPr>
        <w:spacing w:after="120" w:line="276" w:lineRule="auto"/>
      </w:pPr>
      <w:r>
        <w:rPr>
          <w:rFonts w:ascii="Inter" w:hAnsi="Inter" w:cs="Inter"/>
          <w:b w:val="0"/>
          <w:i w:val="0"/>
          <w:color w:val="2D2D2D"/>
          <w:sz w:val="22"/>
        </w:rPr>
        <w:t>For ministries and large offices, the Bangsamoro Economic and Development Council (BEDC) and the Office of the Chief Minister conduct a strategic oversight review to ensure cross-MOA coordination and alignment with the administration's 12-Point Priority Agenda.[^4] This review is not a line-by-line technical review — it is a high-level strategic alignment check.</w:t>
      </w:r>
    </w:p>
    <w:p>
      <w:pPr>
        <w:spacing w:after="120" w:line="276" w:lineRule="auto"/>
      </w:pPr>
      <w:r>
        <w:rPr>
          <w:rFonts w:ascii="Inter" w:hAnsi="Inter" w:cs="Inter"/>
          <w:b w:val="0"/>
          <w:i w:val="0"/>
          <w:color w:val="2D2D2D"/>
          <w:sz w:val="22"/>
        </w:rPr>
        <w:t>If your MOA's strategic plan involves significant cross-ministry coordination (e.g., a ministry whose environmental programs interface with agriculture, LGU governance, and infrastructure), BEDC may facilitate a cross-MOA coordination session before final certification.</w:t>
      </w:r>
    </w:p>
    <w:p>
      <w:pPr>
        <w:spacing w:after="120" w:line="276" w:lineRule="auto"/>
      </w:pPr>
      <w:r>
        <w:rPr>
          <w:rFonts w:ascii="Inter" w:hAnsi="Inter" w:cs="Inter"/>
          <w:b w:val="0"/>
          <w:i w:val="0"/>
          <w:color w:val="2D2D2D"/>
          <w:sz w:val="22"/>
        </w:rPr>
        <w:t>Not all MOAs will go through Step 4. Smaller offices and agencies typically do not. Confirm with BPDA at the start of the planning process whether your MOA is included in the BEDC strategic review cycle.</w:t>
      </w:r>
    </w:p>
    <w:p>
      <w:pPr>
        <w:pStyle w:val="Heading3"/>
      </w:pPr>
      <w:r>
        <w:rPr>
          <w:rFonts w:ascii="Inter" w:hAnsi="Inter" w:cs="Inter"/>
          <w:b/>
          <w:i w:val="0"/>
          <w:color w:val="2C5F7C"/>
          <w:sz w:val="26"/>
        </w:rPr>
        <w:t>Step 5: Final Certification and Approval</w:t>
      </w:r>
    </w:p>
    <w:p>
      <w:pPr>
        <w:spacing w:after="120" w:line="276" w:lineRule="auto"/>
      </w:pPr>
      <w:r>
        <w:rPr>
          <w:rFonts w:ascii="Inter" w:hAnsi="Inter" w:cs="Inter"/>
          <w:b w:val="0"/>
          <w:i w:val="0"/>
          <w:color w:val="2D2D2D"/>
          <w:sz w:val="22"/>
        </w:rPr>
        <w:t>After completing Steps 1 through 4, BPDA issues a certification that the strategic plan meets technical requirements. This certification, together with the Minister or Executive Director's signature on the executive summary, constitutes the approved strategic plan.</w:t>
      </w:r>
    </w:p>
    <w:p>
      <w:pPr>
        <w:spacing w:after="120" w:line="276" w:lineRule="auto"/>
      </w:pPr>
      <w:r>
        <w:rPr>
          <w:rFonts w:ascii="Inter" w:hAnsi="Inter" w:cs="Inter"/>
          <w:b w:val="0"/>
          <w:i w:val="0"/>
          <w:color w:val="2D2D2D"/>
          <w:sz w:val="22"/>
        </w:rPr>
        <w:t>The approved plan should be distributed to:</w:t>
      </w:r>
    </w:p>
    <w:p>
      <w:pPr>
        <w:pStyle w:val="ListBullet"/>
      </w:pPr>
      <w:r>
        <w:rPr>
          <w:rFonts w:ascii="Inter" w:hAnsi="Inter" w:cs="Inter"/>
          <w:b w:val="0"/>
          <w:i w:val="0"/>
          <w:color w:val="2D2D2D"/>
          <w:sz w:val="22"/>
        </w:rPr>
        <w:t>All Division Chiefs and Service Directors within your MOA</w:t>
      </w:r>
    </w:p>
    <w:p>
      <w:pPr>
        <w:pStyle w:val="ListBullet"/>
      </w:pPr>
      <w:r>
        <w:rPr>
          <w:rFonts w:ascii="Inter" w:hAnsi="Inter" w:cs="Inter"/>
          <w:b w:val="0"/>
          <w:i w:val="0"/>
          <w:color w:val="2D2D2D"/>
          <w:sz w:val="22"/>
        </w:rPr>
        <w:t>BPDA (official copy)</w:t>
      </w:r>
    </w:p>
    <w:p>
      <w:pPr>
        <w:pStyle w:val="ListBullet"/>
      </w:pPr>
      <w:r>
        <w:rPr>
          <w:rFonts w:ascii="Inter" w:hAnsi="Inter" w:cs="Inter"/>
          <w:b w:val="0"/>
          <w:i w:val="0"/>
          <w:color w:val="2D2D2D"/>
          <w:sz w:val="22"/>
        </w:rPr>
        <w:t>MFBM (for budget reference)</w:t>
      </w:r>
    </w:p>
    <w:p>
      <w:pPr>
        <w:pStyle w:val="ListBullet"/>
      </w:pPr>
      <w:r>
        <w:rPr>
          <w:rFonts w:ascii="Inter" w:hAnsi="Inter" w:cs="Inter"/>
          <w:b w:val="0"/>
          <w:i w:val="0"/>
          <w:color w:val="2D2D2D"/>
          <w:sz w:val="22"/>
        </w:rPr>
        <w:t>OCM (copy, for Priority Agenda monitoring)</w:t>
      </w:r>
    </w:p>
    <w:p>
      <w:pPr>
        <w:pStyle w:val="ListBullet"/>
      </w:pPr>
      <w:r>
        <w:rPr>
          <w:rFonts w:ascii="Inter" w:hAnsi="Inter" w:cs="Inter"/>
          <w:b w:val="0"/>
          <w:i w:val="0"/>
          <w:color w:val="2D2D2D"/>
          <w:sz w:val="22"/>
        </w:rPr>
        <w:t>Your MOA's records section (master copy)</w:t>
      </w:r>
    </w:p>
    <w:p>
      <w:pPr>
        <w:spacing w:after="120" w:line="276" w:lineRule="auto"/>
      </w:pPr>
      <w:r>
        <w:rPr>
          <w:rFonts w:ascii="Inter" w:hAnsi="Inter" w:cs="Inter"/>
          <w:b w:val="0"/>
          <w:i w:val="0"/>
          <w:color w:val="2D2D2D"/>
          <w:sz w:val="22"/>
        </w:rPr>
        <w:t>Post a digital copy to your MOA's intranet or document management system so all staff can access it.</w:t>
      </w:r>
    </w:p>
    <w:p>
      <w:pPr>
        <w:pStyle w:val="Heading3"/>
      </w:pPr>
      <w:r>
        <w:rPr>
          <w:rFonts w:ascii="Inter" w:hAnsi="Inter" w:cs="Inter"/>
          <w:b/>
          <w:i w:val="0"/>
          <w:color w:val="2C5F7C"/>
          <w:sz w:val="26"/>
        </w:rPr>
        <w:t>Recommended Submission Timeline</w:t>
      </w:r>
    </w:p>
    <w:p>
      <w:pPr>
        <w:spacing w:after="120" w:line="276" w:lineRule="auto"/>
      </w:pPr>
      <w:r>
        <w:rPr>
          <w:rFonts w:ascii="Inter" w:hAnsi="Inter" w:cs="Inter"/>
          <w:b w:val="0"/>
          <w:i w:val="0"/>
          <w:color w:val="2D2D2D"/>
          <w:sz w:val="22"/>
        </w:rPr>
        <w:t>The most common strategic planning failure is not poor quality — it is poor timing. A technically excellent strategic plan submitted after the Budget Call deadline has no budget implications in the coming fiscal year. Your plan must be submitted early enough to feed into the annual budget process.</w:t>
      </w:r>
    </w:p>
    <w:p>
      <w:pPr>
        <w:spacing w:after="120" w:line="276" w:lineRule="auto"/>
      </w:pPr>
      <w:r>
        <w:rPr>
          <w:rFonts w:ascii="Inter" w:hAnsi="Inter" w:cs="Inter"/>
          <w:b w:val="0"/>
          <w:i w:val="0"/>
          <w:color w:val="2D2D2D"/>
          <w:sz w:val="22"/>
        </w:rPr>
        <w:t>Work backward from the MFBM Budget Call deadline (typically issued in the second semester, with MOA budget proposals due 60–90 days after issuance):</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Stage</w:t>
            </w:r>
          </w:p>
        </w:tc>
        <w:tc>
          <w:tcPr>
            <w:tcW w:type="dxa" w:w="4680"/>
            <w:shd w:fill="1B365D"/>
          </w:tcPr>
          <w:p>
            <w:r/>
            <w:r>
              <w:rPr>
                <w:rFonts w:ascii="Inter" w:hAnsi="Inter" w:cs="Inter"/>
                <w:b/>
                <w:i w:val="0"/>
                <w:color w:val="FFFFFF"/>
                <w:sz w:val="19"/>
              </w:rPr>
              <w:t>Target Completion</w:t>
            </w:r>
          </w:p>
        </w:tc>
      </w:tr>
      <w:tr>
        <w:tc>
          <w:tcPr>
            <w:tcW w:type="dxa" w:w="4680"/>
          </w:tcPr>
          <w:p>
            <w:r/>
            <w:r>
              <w:rPr>
                <w:rFonts w:ascii="Inter" w:hAnsi="Inter" w:cs="Inter"/>
                <w:b w:val="0"/>
                <w:i w:val="0"/>
                <w:color w:val="2D2D2D"/>
                <w:sz w:val="19"/>
              </w:rPr>
              <w:t>Planning team assembled; source materials ready</w:t>
            </w:r>
          </w:p>
        </w:tc>
        <w:tc>
          <w:tcPr>
            <w:tcW w:type="dxa" w:w="4680"/>
          </w:tcPr>
          <w:p>
            <w:r/>
            <w:r>
              <w:rPr>
                <w:rFonts w:ascii="Inter" w:hAnsi="Inter" w:cs="Inter"/>
                <w:b w:val="0"/>
                <w:i w:val="0"/>
                <w:color w:val="2D2D2D"/>
                <w:sz w:val="19"/>
              </w:rPr>
              <w:t>90 days before Budget Call deadline</w:t>
            </w:r>
          </w:p>
        </w:tc>
      </w:tr>
      <w:tr>
        <w:tc>
          <w:tcPr>
            <w:tcW w:type="dxa" w:w="4680"/>
            <w:shd w:fill="F0F3F6"/>
          </w:tcPr>
          <w:p>
            <w:r/>
            <w:r>
              <w:rPr>
                <w:rFonts w:ascii="Inter" w:hAnsi="Inter" w:cs="Inter"/>
                <w:b w:val="0"/>
                <w:i w:val="0"/>
                <w:color w:val="2D2D2D"/>
                <w:sz w:val="19"/>
              </w:rPr>
              <w:t>Chapters 2–7 complete (Foundation and Strategy)</w:t>
            </w:r>
          </w:p>
        </w:tc>
        <w:tc>
          <w:tcPr>
            <w:tcW w:type="dxa" w:w="4680"/>
            <w:shd w:fill="F0F3F6"/>
          </w:tcPr>
          <w:p>
            <w:r/>
            <w:r>
              <w:rPr>
                <w:rFonts w:ascii="Inter" w:hAnsi="Inter" w:cs="Inter"/>
                <w:b w:val="0"/>
                <w:i w:val="0"/>
                <w:color w:val="2D2D2D"/>
                <w:sz w:val="19"/>
              </w:rPr>
              <w:t>75 days before Budget Call deadline</w:t>
            </w:r>
          </w:p>
        </w:tc>
      </w:tr>
      <w:tr>
        <w:tc>
          <w:tcPr>
            <w:tcW w:type="dxa" w:w="4680"/>
          </w:tcPr>
          <w:p>
            <w:r/>
            <w:r>
              <w:rPr>
                <w:rFonts w:ascii="Inter" w:hAnsi="Inter" w:cs="Inter"/>
                <w:b w:val="0"/>
                <w:i w:val="0"/>
                <w:color w:val="2D2D2D"/>
                <w:sz w:val="19"/>
              </w:rPr>
              <w:t>Chapters 8–9 complete (PPAs and Resources)</w:t>
            </w:r>
          </w:p>
        </w:tc>
        <w:tc>
          <w:tcPr>
            <w:tcW w:type="dxa" w:w="4680"/>
          </w:tcPr>
          <w:p>
            <w:r/>
            <w:r>
              <w:rPr>
                <w:rFonts w:ascii="Inter" w:hAnsi="Inter" w:cs="Inter"/>
                <w:b w:val="0"/>
                <w:i w:val="0"/>
                <w:color w:val="2D2D2D"/>
                <w:sz w:val="19"/>
              </w:rPr>
              <w:t>60 days before Budget Call deadline</w:t>
            </w:r>
          </w:p>
        </w:tc>
      </w:tr>
      <w:tr>
        <w:tc>
          <w:tcPr>
            <w:tcW w:type="dxa" w:w="4680"/>
            <w:shd w:fill="F0F3F6"/>
          </w:tcPr>
          <w:p>
            <w:r/>
            <w:r>
              <w:rPr>
                <w:rFonts w:ascii="Inter" w:hAnsi="Inter" w:cs="Inter"/>
                <w:b w:val="0"/>
                <w:i w:val="0"/>
                <w:color w:val="2D2D2D"/>
                <w:sz w:val="19"/>
              </w:rPr>
              <w:t>Chapter 10–11 complete (Annual Plan, M&amp;E)</w:t>
            </w:r>
          </w:p>
        </w:tc>
        <w:tc>
          <w:tcPr>
            <w:tcW w:type="dxa" w:w="4680"/>
            <w:shd w:fill="F0F3F6"/>
          </w:tcPr>
          <w:p>
            <w:r/>
            <w:r>
              <w:rPr>
                <w:rFonts w:ascii="Inter" w:hAnsi="Inter" w:cs="Inter"/>
                <w:b w:val="0"/>
                <w:i w:val="0"/>
                <w:color w:val="2D2D2D"/>
                <w:sz w:val="19"/>
              </w:rPr>
              <w:t>45 days before Budget Call deadline</w:t>
            </w:r>
          </w:p>
        </w:tc>
      </w:tr>
      <w:tr>
        <w:tc>
          <w:tcPr>
            <w:tcW w:type="dxa" w:w="4680"/>
          </w:tcPr>
          <w:p>
            <w:r/>
            <w:r>
              <w:rPr>
                <w:rFonts w:ascii="Inter" w:hAnsi="Inter" w:cs="Inter"/>
                <w:b w:val="0"/>
                <w:i w:val="0"/>
                <w:color w:val="2D2D2D"/>
                <w:sz w:val="19"/>
              </w:rPr>
              <w:t>Executive summary written; internal review complete</w:t>
            </w:r>
          </w:p>
        </w:tc>
        <w:tc>
          <w:tcPr>
            <w:tcW w:type="dxa" w:w="4680"/>
          </w:tcPr>
          <w:p>
            <w:r/>
            <w:r>
              <w:rPr>
                <w:rFonts w:ascii="Inter" w:hAnsi="Inter" w:cs="Inter"/>
                <w:b w:val="0"/>
                <w:i w:val="0"/>
                <w:color w:val="2D2D2D"/>
                <w:sz w:val="19"/>
              </w:rPr>
              <w:t>35 days before Budget Call deadline</w:t>
            </w:r>
          </w:p>
        </w:tc>
      </w:tr>
      <w:tr>
        <w:tc>
          <w:tcPr>
            <w:tcW w:type="dxa" w:w="4680"/>
            <w:shd w:fill="F0F3F6"/>
          </w:tcPr>
          <w:p>
            <w:r/>
            <w:r>
              <w:rPr>
                <w:rFonts w:ascii="Inter" w:hAnsi="Inter" w:cs="Inter"/>
                <w:b w:val="0"/>
                <w:i w:val="0"/>
                <w:color w:val="2D2D2D"/>
                <w:sz w:val="19"/>
              </w:rPr>
              <w:t>Submitted to BPDA for technical review</w:t>
            </w:r>
          </w:p>
        </w:tc>
        <w:tc>
          <w:tcPr>
            <w:tcW w:type="dxa" w:w="4680"/>
            <w:shd w:fill="F0F3F6"/>
          </w:tcPr>
          <w:p>
            <w:r/>
            <w:r>
              <w:rPr>
                <w:rFonts w:ascii="Inter" w:hAnsi="Inter" w:cs="Inter"/>
                <w:b w:val="0"/>
                <w:i w:val="0"/>
                <w:color w:val="2D2D2D"/>
                <w:sz w:val="19"/>
              </w:rPr>
              <w:t>30 days before Budget Call deadline</w:t>
            </w:r>
          </w:p>
        </w:tc>
      </w:tr>
      <w:tr>
        <w:tc>
          <w:tcPr>
            <w:tcW w:type="dxa" w:w="4680"/>
          </w:tcPr>
          <w:p>
            <w:r/>
            <w:r>
              <w:rPr>
                <w:rFonts w:ascii="Inter" w:hAnsi="Inter" w:cs="Inter"/>
                <w:b w:val="0"/>
                <w:i w:val="0"/>
                <w:color w:val="2D2D2D"/>
                <w:sz w:val="19"/>
              </w:rPr>
              <w:t>MFBM AFP submission</w:t>
            </w:r>
          </w:p>
        </w:tc>
        <w:tc>
          <w:tcPr>
            <w:tcW w:type="dxa" w:w="4680"/>
          </w:tcPr>
          <w:p>
            <w:r/>
            <w:r>
              <w:rPr>
                <w:rFonts w:ascii="Inter" w:hAnsi="Inter" w:cs="Inter"/>
                <w:b w:val="0"/>
                <w:i w:val="0"/>
                <w:color w:val="2D2D2D"/>
                <w:sz w:val="19"/>
              </w:rPr>
              <w:t>On or before Budget Call deadline</w:t>
            </w:r>
          </w:p>
        </w:tc>
      </w:tr>
      <w:tr>
        <w:tc>
          <w:tcPr>
            <w:tcW w:type="dxa" w:w="4680"/>
            <w:shd w:fill="F0F3F6"/>
          </w:tcPr>
          <w:p>
            <w:r/>
            <w:r>
              <w:rPr>
                <w:rFonts w:ascii="Inter" w:hAnsi="Inter" w:cs="Inter"/>
                <w:b w:val="0"/>
                <w:i w:val="0"/>
                <w:color w:val="2D2D2D"/>
                <w:sz w:val="19"/>
              </w:rPr>
              <w:t>BPDA certification received</w:t>
            </w:r>
          </w:p>
        </w:tc>
        <w:tc>
          <w:tcPr>
            <w:tcW w:type="dxa" w:w="4680"/>
            <w:shd w:fill="F0F3F6"/>
          </w:tcPr>
          <w:p>
            <w:r/>
            <w:r>
              <w:rPr>
                <w:rFonts w:ascii="Inter" w:hAnsi="Inter" w:cs="Inter"/>
                <w:b w:val="0"/>
                <w:i w:val="0"/>
                <w:color w:val="2D2D2D"/>
                <w:sz w:val="19"/>
              </w:rPr>
              <w:t>15 days before Budget Call deadline (negotiate this timeline with BPDA)</w:t>
            </w:r>
          </w:p>
        </w:tc>
      </w:tr>
    </w:tbl>
    <w:p/>
    <w:p>
      <w:pPr>
        <w:spacing w:after="120" w:line="276" w:lineRule="auto"/>
      </w:pPr>
      <w:r>
        <w:rPr>
          <w:rFonts w:ascii="Inter" w:hAnsi="Inter" w:cs="Inter"/>
          <w:b w:val="0"/>
          <w:i w:val="0"/>
          <w:color w:val="2D2D2D"/>
          <w:sz w:val="22"/>
        </w:rPr>
        <w:t>Submit the plan to BPDA at least 30 days before the Budget Call deadline. This gives BPDA time to complete its technical review and return comments before your AFP must be finalized.</w:t>
      </w:r>
    </w:p>
    <w:p>
      <w:pPr>
        <w:pStyle w:val="Heading2"/>
      </w:pPr>
      <w:r>
        <w:rPr>
          <w:rFonts w:ascii="Inter" w:hAnsi="Inter" w:cs="Inter"/>
          <w:b/>
          <w:i w:val="0"/>
          <w:color w:val="1B365D"/>
          <w:sz w:val="32"/>
        </w:rPr>
        <w:t>12.5 Plan Updating and Revision Cycles</w:t>
      </w:r>
    </w:p>
    <w:p>
      <w:pPr>
        <w:spacing w:after="120" w:line="276" w:lineRule="auto"/>
      </w:pPr>
      <w:r>
        <w:rPr>
          <w:rFonts w:ascii="Inter" w:hAnsi="Inter" w:cs="Inter"/>
          <w:b w:val="0"/>
          <w:i w:val="0"/>
          <w:color w:val="2D2D2D"/>
          <w:sz w:val="22"/>
        </w:rPr>
        <w:t>A strategic plan is not a one-time document. It is a living instrument that is updated on a defined cycle. Understanding when and how to update your plan is as important as knowing how to write it.</w:t>
      </w:r>
    </w:p>
    <w:p>
      <w:pPr>
        <w:pStyle w:val="Heading3"/>
      </w:pPr>
      <w:r>
        <w:rPr>
          <w:rFonts w:ascii="Inter" w:hAnsi="Inter" w:cs="Inter"/>
          <w:b/>
          <w:i w:val="0"/>
          <w:color w:val="2C5F7C"/>
          <w:sz w:val="26"/>
        </w:rPr>
        <w:t>Annual Update: Part IV</w:t>
      </w:r>
    </w:p>
    <w:p>
      <w:pPr>
        <w:spacing w:after="120" w:line="276" w:lineRule="auto"/>
      </w:pPr>
      <w:r>
        <w:rPr>
          <w:rFonts w:ascii="Inter" w:hAnsi="Inter" w:cs="Inter"/>
          <w:b w:val="0"/>
          <w:i w:val="0"/>
          <w:color w:val="2D2D2D"/>
          <w:sz w:val="22"/>
        </w:rPr>
        <w:t>Every year, you replace Part IV of your plan. Chapter 10's AWP, AFP, and APP apply to a single fiscal year. At the start of each new fiscal year, your Planning Officer prepares a revised Part IV based on the prior year's performance review and the new budget ceiling from the MFBM Budget Call.</w:t>
      </w:r>
    </w:p>
    <w:p>
      <w:pPr>
        <w:spacing w:after="120" w:line="276" w:lineRule="auto"/>
      </w:pPr>
      <w:r>
        <w:rPr>
          <w:rFonts w:ascii="Inter" w:hAnsi="Inter" w:cs="Inter"/>
          <w:b w:val="0"/>
          <w:i w:val="0"/>
          <w:color w:val="2D2D2D"/>
          <w:sz w:val="22"/>
        </w:rPr>
        <w:t>The annual update of Part IV is not a revision of the strategic plan. It is the operationalization of a new fiscal year within the existing plan. The strategic objectives, Theory of Change, PPA Register, and M&amp;E Framework remain in force unless a formal revision is triggered (see below).</w:t>
      </w:r>
    </w:p>
    <w:p>
      <w:pPr>
        <w:spacing w:after="120" w:line="276" w:lineRule="auto"/>
      </w:pPr>
      <w:r>
        <w:rPr>
          <w:rFonts w:ascii="Inter" w:hAnsi="Inter" w:cs="Inter"/>
          <w:b w:val="0"/>
          <w:i w:val="0"/>
          <w:color w:val="2D2D2D"/>
          <w:sz w:val="22"/>
        </w:rPr>
        <w:t>The revised Part IV should be submitted to BPDA and MFBM in the same way as the original. Some MOAs produce this as a standalone Annual Work Plan document, referencing the strategic plan for context.</w:t>
      </w:r>
    </w:p>
    <w:p>
      <w:pPr>
        <w:pStyle w:val="Heading3"/>
      </w:pPr>
      <w:r>
        <w:rPr>
          <w:rFonts w:ascii="Inter" w:hAnsi="Inter" w:cs="Inter"/>
          <w:b/>
          <w:i w:val="0"/>
          <w:color w:val="2C5F7C"/>
          <w:sz w:val="26"/>
        </w:rPr>
        <w:t>Mid-Term Review</w:t>
      </w:r>
    </w:p>
    <w:p>
      <w:pPr>
        <w:spacing w:after="120" w:line="276" w:lineRule="auto"/>
      </w:pPr>
      <w:r>
        <w:rPr>
          <w:rFonts w:ascii="Inter" w:hAnsi="Inter" w:cs="Inter"/>
          <w:b w:val="0"/>
          <w:i w:val="0"/>
          <w:color w:val="2D2D2D"/>
          <w:sz w:val="22"/>
        </w:rPr>
        <w:t>At the midpoint of your planning period — Year 2 of a 3-year plan, Year 3 of a 5-year plan — conduct a mid-term review of the full strategic plan. The mid-term review assesses:</w:t>
      </w:r>
    </w:p>
    <w:p>
      <w:pPr>
        <w:pStyle w:val="ListBullet"/>
      </w:pPr>
      <w:r>
        <w:rPr>
          <w:rFonts w:ascii="Inter" w:hAnsi="Inter" w:cs="Inter"/>
          <w:b w:val="0"/>
          <w:i w:val="0"/>
          <w:color w:val="2D2D2D"/>
          <w:sz w:val="22"/>
        </w:rPr>
      </w:r>
      <w:r>
        <w:rPr>
          <w:rFonts w:ascii="Inter" w:hAnsi="Inter" w:cs="Inter"/>
          <w:b/>
          <w:i w:val="0"/>
          <w:color w:val="2D2D2D"/>
          <w:sz w:val="22"/>
        </w:rPr>
        <w:t>Strategic objectives:</w:t>
      </w:r>
      <w:r>
        <w:rPr>
          <w:rFonts w:ascii="Inter" w:hAnsi="Inter" w:cs="Inter"/>
          <w:b w:val="0"/>
          <w:i w:val="0"/>
          <w:color w:val="2D2D2D"/>
          <w:sz w:val="22"/>
        </w:rPr>
        <w:t xml:space="preserve"> Are they still relevant? Have circumstances changed (new legislation, leadership change, emerging priorities) that require adjustment?</w:t>
      </w:r>
    </w:p>
    <w:p>
      <w:pPr>
        <w:pStyle w:val="ListBullet"/>
      </w:pPr>
      <w:r>
        <w:rPr>
          <w:rFonts w:ascii="Inter" w:hAnsi="Inter" w:cs="Inter"/>
          <w:b w:val="0"/>
          <w:i w:val="0"/>
          <w:color w:val="2D2D2D"/>
          <w:sz w:val="22"/>
        </w:rPr>
      </w:r>
      <w:r>
        <w:rPr>
          <w:rFonts w:ascii="Inter" w:hAnsi="Inter" w:cs="Inter"/>
          <w:b/>
          <w:i w:val="0"/>
          <w:color w:val="2D2D2D"/>
          <w:sz w:val="22"/>
        </w:rPr>
        <w:t>Theory of Change:</w:t>
      </w:r>
      <w:r>
        <w:rPr>
          <w:rFonts w:ascii="Inter" w:hAnsi="Inter" w:cs="Inter"/>
          <w:b w:val="0"/>
          <w:i w:val="0"/>
          <w:color w:val="2D2D2D"/>
          <w:sz w:val="22"/>
        </w:rPr>
        <w:t xml:space="preserve"> Is the causal logic holding? Are the assumptions you identified in Chapter 7 proving accurate or not?</w:t>
      </w:r>
    </w:p>
    <w:p>
      <w:pPr>
        <w:pStyle w:val="ListBullet"/>
      </w:pPr>
      <w:r>
        <w:rPr>
          <w:rFonts w:ascii="Inter" w:hAnsi="Inter" w:cs="Inter"/>
          <w:b w:val="0"/>
          <w:i w:val="0"/>
          <w:color w:val="2D2D2D"/>
          <w:sz w:val="22"/>
        </w:rPr>
      </w:r>
      <w:r>
        <w:rPr>
          <w:rFonts w:ascii="Inter" w:hAnsi="Inter" w:cs="Inter"/>
          <w:b/>
          <w:i w:val="0"/>
          <w:color w:val="2D2D2D"/>
          <w:sz w:val="22"/>
        </w:rPr>
        <w:t>PPA portfolio:</w:t>
      </w:r>
      <w:r>
        <w:rPr>
          <w:rFonts w:ascii="Inter" w:hAnsi="Inter" w:cs="Inter"/>
          <w:b w:val="0"/>
          <w:i w:val="0"/>
          <w:color w:val="2D2D2D"/>
          <w:sz w:val="22"/>
        </w:rPr>
        <w:t xml:space="preserve"> Which PPAs are performing well and should continue? Which are underperforming and require redesign? Are there gaps in the portfolio that should be addressed by new PPAs?</w:t>
      </w:r>
    </w:p>
    <w:p>
      <w:pPr>
        <w:pStyle w:val="ListBullet"/>
      </w:pPr>
      <w:r>
        <w:rPr>
          <w:rFonts w:ascii="Inter" w:hAnsi="Inter" w:cs="Inter"/>
          <w:b w:val="0"/>
          <w:i w:val="0"/>
          <w:color w:val="2D2D2D"/>
          <w:sz w:val="22"/>
        </w:rPr>
      </w:r>
      <w:r>
        <w:rPr>
          <w:rFonts w:ascii="Inter" w:hAnsi="Inter" w:cs="Inter"/>
          <w:b/>
          <w:i w:val="0"/>
          <w:color w:val="2D2D2D"/>
          <w:sz w:val="22"/>
        </w:rPr>
        <w:t>M&amp;E findings to date:</w:t>
      </w:r>
      <w:r>
        <w:rPr>
          <w:rFonts w:ascii="Inter" w:hAnsi="Inter" w:cs="Inter"/>
          <w:b w:val="0"/>
          <w:i w:val="0"/>
          <w:color w:val="2D2D2D"/>
          <w:sz w:val="22"/>
        </w:rPr>
        <w:t xml:space="preserve"> What has the monitoring data shown? What do early outcome indicators suggest about whether the plan is working?</w:t>
      </w:r>
    </w:p>
    <w:p>
      <w:pPr>
        <w:spacing w:after="120" w:line="276" w:lineRule="auto"/>
      </w:pPr>
      <w:r>
        <w:rPr>
          <w:rFonts w:ascii="Inter" w:hAnsi="Inter" w:cs="Inter"/>
          <w:b w:val="0"/>
          <w:i w:val="0"/>
          <w:color w:val="2D2D2D"/>
          <w:sz w:val="22"/>
        </w:rPr>
        <w:t>The mid-term review typically produces a Mid-Term Review Report and, where changes are warranted, a formal plan amendment. Plan amendments are submitted to BPDA for review and certification before taking effect.</w:t>
      </w:r>
    </w:p>
    <w:p>
      <w:pPr>
        <w:pStyle w:val="Heading3"/>
      </w:pPr>
      <w:r>
        <w:rPr>
          <w:rFonts w:ascii="Inter" w:hAnsi="Inter" w:cs="Inter"/>
          <w:b/>
          <w:i w:val="0"/>
          <w:color w:val="2C5F7C"/>
          <w:sz w:val="26"/>
        </w:rPr>
        <w:t>Triggered Revisions</w:t>
      </w:r>
    </w:p>
    <w:p>
      <w:pPr>
        <w:spacing w:after="120" w:line="276" w:lineRule="auto"/>
      </w:pPr>
      <w:r>
        <w:rPr>
          <w:rFonts w:ascii="Inter" w:hAnsi="Inter" w:cs="Inter"/>
          <w:b w:val="0"/>
          <w:i w:val="0"/>
          <w:color w:val="2D2D2D"/>
          <w:sz w:val="22"/>
        </w:rPr>
        <w:t>Certain events should trigger an immediate plan revision — or at least a formal review of whether revision is warranted:</w:t>
      </w:r>
    </w:p>
    <w:p>
      <w:pPr>
        <w:spacing w:after="120" w:line="276" w:lineRule="auto"/>
      </w:pPr>
      <w:r>
        <w:rPr>
          <w:rFonts w:ascii="Inter" w:hAnsi="Inter" w:cs="Inter"/>
          <w:b w:val="0"/>
          <w:i w:val="0"/>
          <w:color w:val="2D2D2D"/>
          <w:sz w:val="22"/>
        </w:rPr>
      </w:r>
      <w:r>
        <w:rPr>
          <w:rFonts w:ascii="Inter" w:hAnsi="Inter" w:cs="Inter"/>
          <w:b/>
          <w:i w:val="0"/>
          <w:color w:val="2D2D2D"/>
          <w:sz w:val="22"/>
        </w:rPr>
        <w:t>Enactment of a new BAA.</w:t>
      </w:r>
      <w:r>
        <w:rPr>
          <w:rFonts w:ascii="Inter" w:hAnsi="Inter" w:cs="Inter"/>
          <w:b w:val="0"/>
          <w:i w:val="0"/>
          <w:color w:val="2D2D2D"/>
          <w:sz w:val="22"/>
        </w:rPr>
        <w:t xml:space="preserve"> If the Bangsamoro Parliament passes legislation that creates, expands, or restricts your MOA's mandate, your strategic plan must be reviewed for consistency. A new environmental protection BAA may create mandates that your current PPA Register does not address. An administrative restructuring BAA may affect the organizational units responsible for delivering your PPAs. Triggered revisions in response to new legislation are not optional — they are a legal compliance matter.</w:t>
      </w:r>
    </w:p>
    <w:p>
      <w:pPr>
        <w:spacing w:after="120" w:line="276" w:lineRule="auto"/>
      </w:pPr>
      <w:r>
        <w:rPr>
          <w:rFonts w:ascii="Inter" w:hAnsi="Inter" w:cs="Inter"/>
          <w:b w:val="0"/>
          <w:i w:val="0"/>
          <w:color w:val="2D2D2D"/>
          <w:sz w:val="22"/>
        </w:rPr>
      </w:r>
      <w:r>
        <w:rPr>
          <w:rFonts w:ascii="Inter" w:hAnsi="Inter" w:cs="Inter"/>
          <w:b/>
          <w:i w:val="0"/>
          <w:color w:val="2D2D2D"/>
          <w:sz w:val="22"/>
        </w:rPr>
        <w:t>Leadership change.</w:t>
      </w:r>
      <w:r>
        <w:rPr>
          <w:rFonts w:ascii="Inter" w:hAnsi="Inter" w:cs="Inter"/>
          <w:b w:val="0"/>
          <w:i w:val="0"/>
          <w:color w:val="2D2D2D"/>
          <w:sz w:val="22"/>
        </w:rPr>
        <w:t xml:space="preserve"> When a new Minister or Executive Director is appointed, it is standard practice to conduct a strategic review. The incoming leadership may confirm the existing plan, direct modifications to strategic objectives, or determine that a new planning cycle should begin. Leadership transitions should not be used to abandon ongoing programs without evidence — but they are legitimate occasions to reassess strategic direction.</w:t>
      </w:r>
    </w:p>
    <w:p>
      <w:pPr>
        <w:spacing w:after="120" w:line="276" w:lineRule="auto"/>
      </w:pPr>
      <w:r>
        <w:rPr>
          <w:rFonts w:ascii="Inter" w:hAnsi="Inter" w:cs="Inter"/>
          <w:b w:val="0"/>
          <w:i w:val="0"/>
          <w:color w:val="2D2D2D"/>
          <w:sz w:val="22"/>
        </w:rPr>
      </w:r>
      <w:r>
        <w:rPr>
          <w:rFonts w:ascii="Inter" w:hAnsi="Inter" w:cs="Inter"/>
          <w:b/>
          <w:i w:val="0"/>
          <w:color w:val="2D2D2D"/>
          <w:sz w:val="22"/>
        </w:rPr>
        <w:t>M&amp;E findings showing significant underperformance.</w:t>
      </w:r>
      <w:r>
        <w:rPr>
          <w:rFonts w:ascii="Inter" w:hAnsi="Inter" w:cs="Inter"/>
          <w:b w:val="0"/>
          <w:i w:val="0"/>
          <w:color w:val="2D2D2D"/>
          <w:sz w:val="22"/>
        </w:rPr>
        <w:t xml:space="preserve"> Your M&amp;E system includes adaptive management triggers (Chapter 11, Section 11.5). When those triggers are activated — when indicators fall significantly below target for two or more consecutive quarters, or when an evaluation finds that a program is not producing intended outcomes — the plan's PPA Register and resource allocation should be reviewed. Continuing to fund a program that monitoring evidence shows is not working is a misuse of public resources.</w:t>
      </w:r>
    </w:p>
    <w:p>
      <w:pPr>
        <w:spacing w:after="120" w:line="276" w:lineRule="auto"/>
      </w:pPr>
      <w:r>
        <w:rPr>
          <w:rFonts w:ascii="Inter" w:hAnsi="Inter" w:cs="Inter"/>
          <w:b w:val="0"/>
          <w:i w:val="0"/>
          <w:color w:val="2D2D2D"/>
          <w:sz w:val="22"/>
        </w:rPr>
      </w:r>
      <w:r>
        <w:rPr>
          <w:rFonts w:ascii="Inter" w:hAnsi="Inter" w:cs="Inter"/>
          <w:b/>
          <w:i w:val="0"/>
          <w:color w:val="2D2D2D"/>
          <w:sz w:val="22"/>
        </w:rPr>
        <w:t>Significant budget changes.</w:t>
      </w:r>
      <w:r>
        <w:rPr>
          <w:rFonts w:ascii="Inter" w:hAnsi="Inter" w:cs="Inter"/>
          <w:b w:val="0"/>
          <w:i w:val="0"/>
          <w:color w:val="2D2D2D"/>
          <w:sz w:val="22"/>
        </w:rPr>
        <w:t xml:space="preserve"> If your MOA's appropriation is substantially reduced from what the resource plan assumed — through budget cuts, reallocation of special purpose funds, or withdrawal of anticipated development partner funding — you must revise the plan to reflect what can realistically be delivered with reduced resources. A plan that promises more than the available budget can support is a plan that guarantees non-performance.</w:t>
      </w:r>
    </w:p>
    <w:p>
      <w:pPr>
        <w:pStyle w:val="Heading3"/>
      </w:pPr>
      <w:r>
        <w:rPr>
          <w:rFonts w:ascii="Inter" w:hAnsi="Inter" w:cs="Inter"/>
          <w:b/>
          <w:i w:val="0"/>
          <w:color w:val="2C5F7C"/>
          <w:sz w:val="26"/>
        </w:rPr>
        <w:t>Version Control</w:t>
      </w:r>
    </w:p>
    <w:p>
      <w:pPr>
        <w:spacing w:after="120" w:line="276" w:lineRule="auto"/>
      </w:pPr>
      <w:r>
        <w:rPr>
          <w:rFonts w:ascii="Inter" w:hAnsi="Inter" w:cs="Inter"/>
          <w:b w:val="0"/>
          <w:i w:val="0"/>
          <w:color w:val="2D2D2D"/>
          <w:sz w:val="22"/>
        </w:rPr>
        <w:t>Maintain a version control record for your strategic plan. Every time a formal revision is made, document:</w:t>
      </w:r>
    </w:p>
    <w:p>
      <w:pPr>
        <w:pStyle w:val="ListBullet"/>
      </w:pPr>
      <w:r>
        <w:rPr>
          <w:rFonts w:ascii="Inter" w:hAnsi="Inter" w:cs="Inter"/>
          <w:b w:val="0"/>
          <w:i w:val="0"/>
          <w:color w:val="2D2D2D"/>
          <w:sz w:val="22"/>
        </w:rPr>
        <w:t>The version number (e.g., v1.0 is the original approved plan; v1.1 is the first amendment; v2.0 is the revised plan after mid-term review)</w:t>
      </w:r>
    </w:p>
    <w:p>
      <w:pPr>
        <w:pStyle w:val="ListBullet"/>
      </w:pPr>
      <w:r>
        <w:rPr>
          <w:rFonts w:ascii="Inter" w:hAnsi="Inter" w:cs="Inter"/>
          <w:b w:val="0"/>
          <w:i w:val="0"/>
          <w:color w:val="2D2D2D"/>
          <w:sz w:val="22"/>
        </w:rPr>
        <w:t>The date of the revision</w:t>
      </w:r>
    </w:p>
    <w:p>
      <w:pPr>
        <w:pStyle w:val="ListBullet"/>
      </w:pPr>
      <w:r>
        <w:rPr>
          <w:rFonts w:ascii="Inter" w:hAnsi="Inter" w:cs="Inter"/>
          <w:b w:val="0"/>
          <w:i w:val="0"/>
          <w:color w:val="2D2D2D"/>
          <w:sz w:val="22"/>
        </w:rPr>
        <w:t>The section or sections revised</w:t>
      </w:r>
    </w:p>
    <w:p>
      <w:pPr>
        <w:pStyle w:val="ListBullet"/>
      </w:pPr>
      <w:r>
        <w:rPr>
          <w:rFonts w:ascii="Inter" w:hAnsi="Inter" w:cs="Inter"/>
          <w:b w:val="0"/>
          <w:i w:val="0"/>
          <w:color w:val="2D2D2D"/>
          <w:sz w:val="22"/>
        </w:rPr>
        <w:t>The reason for the revision</w:t>
      </w:r>
    </w:p>
    <w:p>
      <w:pPr>
        <w:pStyle w:val="ListBullet"/>
      </w:pPr>
      <w:r>
        <w:rPr>
          <w:rFonts w:ascii="Inter" w:hAnsi="Inter" w:cs="Inter"/>
          <w:b w:val="0"/>
          <w:i w:val="0"/>
          <w:color w:val="2D2D2D"/>
          <w:sz w:val="22"/>
        </w:rPr>
        <w:t>The approval authority that certified the revision</w:t>
      </w:r>
    </w:p>
    <w:p>
      <w:pPr>
        <w:spacing w:after="120" w:line="276" w:lineRule="auto"/>
      </w:pPr>
      <w:r>
        <w:rPr>
          <w:rFonts w:ascii="Inter" w:hAnsi="Inter" w:cs="Inter"/>
          <w:b w:val="0"/>
          <w:i w:val="0"/>
          <w:color w:val="2D2D2D"/>
          <w:sz w:val="22"/>
        </w:rPr>
        <w:t>Keep all previous versions on file. Previous plan versions are institutional memory — they show what was planned, what changed, and why. When new leadership takes over, previous plan versions allow them to understand the rationale for current programs and the history of strategic decisions. When the Commission on Audit reviews your expenditures, previous plan versions demonstrate that your MOA operated according to an approved plan at the time the expenditure was made.</w:t>
      </w:r>
    </w:p>
    <w:p>
      <w:pPr>
        <w:pStyle w:val="Heading2"/>
      </w:pPr>
      <w:r>
        <w:rPr>
          <w:rFonts w:ascii="Inter" w:hAnsi="Inter" w:cs="Inter"/>
          <w:b/>
          <w:i w:val="0"/>
          <w:color w:val="1B365D"/>
          <w:sz w:val="32"/>
        </w:rPr>
        <w:t>12.6 Worked Example: OOBC Executive Summary</w:t>
      </w:r>
    </w:p>
    <w:p>
      <w:pPr>
        <w:spacing w:after="120" w:line="276" w:lineRule="auto"/>
      </w:pPr>
      <w:r>
        <w:rPr>
          <w:rFonts w:ascii="Inter" w:hAnsi="Inter" w:cs="Inter"/>
          <w:b w:val="0"/>
          <w:i w:val="0"/>
          <w:color w:val="2D2D2D"/>
          <w:sz w:val="22"/>
        </w:rPr>
        <w:t>The following is the executive summary of the Office for Other Bangsamoro Communities (OOBC) strategic plan, assembled from the worked examples in Chapters 2 through 11. It illustrates how the ten template outputs synthesize into a coherent summary. The full worked example of OOBC's complete strategic plan — all five parts, all ten documents, fully assembled — is in Appendix E.</w:t>
      </w:r>
    </w:p>
    <w:p>
      <w:pPr>
        <w:spacing w:after="120" w:line="276" w:lineRule="auto"/>
      </w:pPr>
      <w:r>
        <w:rPr>
          <w:rFonts w:ascii="Inter" w:hAnsi="Inter" w:cs="Inter"/>
          <w:b w:val="0"/>
          <w:i w:val="0"/>
          <w:color w:val="2D2D2D"/>
          <w:sz w:val="22"/>
        </w:rPr>
      </w:r>
      <w:r>
        <w:rPr>
          <w:rFonts w:ascii="Inter" w:hAnsi="Inter" w:cs="Inter"/>
          <w:b/>
          <w:i w:val="0"/>
          <w:color w:val="2D2D2D"/>
          <w:sz w:val="22"/>
        </w:rPr>
        <w:t>OFFICE FOR OTHER BANGSAMORO COMMUNITIES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STRATEGIC PLAN FY 2026–2028</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EXECUTIVE SUMMARY</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Mandate</w:t>
      </w:r>
      <w:r>
        <w:rPr>
          <w:rFonts w:ascii="Inter" w:hAnsi="Inter" w:cs="Inter"/>
          <w:b w:val="0"/>
          <w:i w:val="0"/>
          <w:color w:val="2D2D2D"/>
          <w:sz w:val="22"/>
        </w:rPr>
      </w:r>
    </w:p>
    <w:p>
      <w:pPr>
        <w:spacing w:after="120" w:line="276" w:lineRule="auto"/>
      </w:pPr>
      <w:r>
        <w:rPr>
          <w:rFonts w:ascii="Inter" w:hAnsi="Inter" w:cs="Inter"/>
          <w:b w:val="0"/>
          <w:i w:val="0"/>
          <w:color w:val="2D2D2D"/>
          <w:sz w:val="22"/>
        </w:rPr>
        <w:t>The Office for Other Bangsamoro Communities (OOBC) is an office attached to the Office of the Chief Minister (OCM), mandated under Article VI, Section 12 of the Bangsamoro Organic Law (Republic Act No. 11054) to ensure equitable access to services, programs, and opportunities for Bangsamoro populations residing outside the core territory of the Bangsamoro Autonomous Region in Muslim Mindanao.[^5] Operating from its headquarters in Cotabato City with field offices in Davao, Sultan Kudarat, and Pagadian, OOBC serves as the bridge between BARMM and Other Bangsamoro Communities (OBCs) dispersed across Mindanao and beyond. This Strategic Plan covers the period FY 2026–2028 and addresses three priority concerns: the absence of a comprehensive database of OBC populations, limited formal coordination mechanisms with LGUs and national government agencies hosting OBCs, and the persistent service access gap between Bangsamoro inside BARMM and those outside its geographic boundaries.</w:t>
      </w:r>
    </w:p>
    <w:p>
      <w:pPr>
        <w:spacing w:after="120" w:line="276" w:lineRule="auto"/>
      </w:pPr>
      <w:r>
        <w:rPr>
          <w:rFonts w:ascii="Inter" w:hAnsi="Inter" w:cs="Inter"/>
          <w:b w:val="0"/>
          <w:i w:val="0"/>
          <w:color w:val="2D2D2D"/>
          <w:sz w:val="22"/>
        </w:rPr>
      </w:r>
      <w:r>
        <w:rPr>
          <w:rFonts w:ascii="Inter" w:hAnsi="Inter" w:cs="Inter"/>
          <w:b/>
          <w:i w:val="0"/>
          <w:color w:val="2D2D2D"/>
          <w:sz w:val="22"/>
        </w:rPr>
        <w:t>Strategic Direction</w:t>
      </w:r>
      <w:r>
        <w:rPr>
          <w:rFonts w:ascii="Inter" w:hAnsi="Inter" w:cs="Inter"/>
          <w:b w:val="0"/>
          <w:i w:val="0"/>
          <w:color w:val="2D2D2D"/>
          <w:sz w:val="22"/>
        </w:rPr>
      </w:r>
    </w:p>
    <w:p>
      <w:pPr>
        <w:spacing w:after="120" w:line="276" w:lineRule="auto"/>
      </w:pPr>
      <w:r>
        <w:rPr>
          <w:rFonts w:ascii="Inter" w:hAnsi="Inter" w:cs="Inter"/>
          <w:b w:val="0"/>
          <w:i w:val="0"/>
          <w:color w:val="2D2D2D"/>
          <w:sz w:val="22"/>
        </w:rPr>
        <w:t>*Vision:* All Bangsamoro communities — regardless of location — are included, supported, and given equal opportunities for development.</w:t>
      </w:r>
    </w:p>
    <w:p>
      <w:pPr>
        <w:spacing w:after="120" w:line="276" w:lineRule="auto"/>
      </w:pPr>
      <w:r>
        <w:rPr>
          <w:rFonts w:ascii="Inter" w:hAnsi="Inter" w:cs="Inter"/>
          <w:b w:val="0"/>
          <w:i w:val="0"/>
          <w:color w:val="2D2D2D"/>
          <w:sz w:val="22"/>
        </w:rPr>
        <w:t>*Mission:* To bridge service gaps, strengthen engagement with local and national government partners, and promote inclusive development for Bangsamoro populations beyond BARMM, ensuring that no Bangsamoro community is left behind in the region's pursuit of self-governance and shared prosperity.</w:t>
      </w:r>
    </w:p>
    <w:p>
      <w:pPr>
        <w:spacing w:after="120" w:line="276" w:lineRule="auto"/>
      </w:pPr>
      <w:r>
        <w:rPr>
          <w:rFonts w:ascii="Inter" w:hAnsi="Inter" w:cs="Inter"/>
          <w:b w:val="0"/>
          <w:i w:val="0"/>
          <w:color w:val="2D2D2D"/>
          <w:sz w:val="22"/>
        </w:rPr>
        <w:t>*Strategic Objectives:*</w:t>
      </w:r>
    </w:p>
    <w:p>
      <w:pPr>
        <w:pStyle w:val="ListNumber"/>
      </w:pPr>
      <w:r>
        <w:rPr>
          <w:rFonts w:ascii="Inter" w:hAnsi="Inter" w:cs="Inter"/>
          <w:b w:val="0"/>
          <w:i w:val="0"/>
          <w:color w:val="2D2D2D"/>
          <w:sz w:val="22"/>
        </w:rPr>
        <w:t>Establish a comprehensive and verified database of Other Bangsamoro Communities across at least 15 provinces outside BARMM by December 2028, covering demographic, socioeconomic, and service access data for a minimum of 50,000 individuals.</w:t>
      </w:r>
    </w:p>
    <w:p>
      <w:pPr>
        <w:pStyle w:val="ListNumber"/>
      </w:pPr>
      <w:r>
        <w:rPr>
          <w:rFonts w:ascii="Inter" w:hAnsi="Inter" w:cs="Inter"/>
          <w:b w:val="0"/>
          <w:i w:val="0"/>
          <w:color w:val="2D2D2D"/>
          <w:sz w:val="22"/>
        </w:rPr>
        <w:t>Execute memoranda of understanding (MOUs) with at least 12 local government units and 5 national government agencies by December 2027, formalizing coordination mechanisms for OBC service delivery.</w:t>
      </w:r>
    </w:p>
    <w:p>
      <w:pPr>
        <w:pStyle w:val="ListNumber"/>
      </w:pPr>
      <w:r>
        <w:rPr>
          <w:rFonts w:ascii="Inter" w:hAnsi="Inter" w:cs="Inter"/>
          <w:b w:val="0"/>
          <w:i w:val="0"/>
          <w:color w:val="2D2D2D"/>
          <w:sz w:val="22"/>
        </w:rPr>
        <w:t>Increase OBC access to BARMM social services by 40% from the 2025 baseline by December 2028, measured by the number of OBC individuals enrolled in BARMM health, education, livelihood, and social protection programs.</w:t>
      </w:r>
    </w:p>
    <w:p>
      <w:pPr>
        <w:spacing w:after="120" w:line="276" w:lineRule="auto"/>
      </w:pPr>
      <w:r>
        <w:rPr>
          <w:rFonts w:ascii="Inter" w:hAnsi="Inter" w:cs="Inter"/>
          <w:b w:val="0"/>
          <w:i w:val="0"/>
          <w:color w:val="2D2D2D"/>
          <w:sz w:val="22"/>
        </w:rPr>
      </w:r>
      <w:r>
        <w:rPr>
          <w:rFonts w:ascii="Inter" w:hAnsi="Inter" w:cs="Inter"/>
          <w:b/>
          <w:i w:val="0"/>
          <w:color w:val="2D2D2D"/>
          <w:sz w:val="22"/>
        </w:rPr>
        <w:t>Alignment with National and Regional Development Priorities</w:t>
      </w:r>
      <w:r>
        <w:rPr>
          <w:rFonts w:ascii="Inter" w:hAnsi="Inter" w:cs="Inter"/>
          <w:b w:val="0"/>
          <w:i w:val="0"/>
          <w:color w:val="2D2D2D"/>
          <w:sz w:val="22"/>
        </w:rPr>
      </w:r>
    </w:p>
    <w:p>
      <w:pPr>
        <w:spacing w:after="120" w:line="276" w:lineRule="auto"/>
      </w:pPr>
      <w:r>
        <w:rPr>
          <w:rFonts w:ascii="Inter" w:hAnsi="Inter" w:cs="Inter"/>
          <w:b w:val="0"/>
          <w:i w:val="0"/>
          <w:color w:val="2D2D2D"/>
          <w:sz w:val="22"/>
        </w:rPr>
        <w:t>OOBC's plan directly advances BDP Goal 1 (Stable, Just, and Accountable Government) through institutional development of inter-governmental coordination mechanisms, BDP Goal 3 (Peaceful, Safe, and Resilient Bangsamoro Communities) through strengthened engagement with displaced and vulnerable Bangsamoro populations, and BDP Goal 4 (Inclusive, Responsive, and Quality Social Services) through expanded service access for excluded communities, via Strategies S1, S5, and S6. The plan implements Priority Agenda Points 3 (Good Governance and Institutional Development) and 5 (Social Services) as primary mandate areas, and supports Priority Agenda Points 1 (Moral Governance), 10 (Youth Development), 11 (Women Empowerment), and 12 (Inter-governmental Relations).</w:t>
      </w:r>
    </w:p>
    <w:p>
      <w:pPr>
        <w:spacing w:after="120" w:line="276" w:lineRule="auto"/>
      </w:pPr>
      <w:r>
        <w:rPr>
          <w:rFonts w:ascii="Inter" w:hAnsi="Inter" w:cs="Inter"/>
          <w:b w:val="0"/>
          <w:i w:val="0"/>
          <w:color w:val="2D2D2D"/>
          <w:sz w:val="22"/>
        </w:rPr>
      </w:r>
      <w:r>
        <w:rPr>
          <w:rFonts w:ascii="Inter" w:hAnsi="Inter" w:cs="Inter"/>
          <w:b/>
          <w:i w:val="0"/>
          <w:color w:val="2D2D2D"/>
          <w:sz w:val="22"/>
        </w:rPr>
        <w:t>PPA Portfolio</w:t>
      </w:r>
      <w:r>
        <w:rPr>
          <w:rFonts w:ascii="Inter" w:hAnsi="Inter" w:cs="Inter"/>
          <w:b w:val="0"/>
          <w:i w:val="0"/>
          <w:color w:val="2D2D2D"/>
          <w:sz w:val="22"/>
        </w:rPr>
      </w:r>
    </w:p>
    <w:p>
      <w:pPr>
        <w:spacing w:after="120" w:line="276" w:lineRule="auto"/>
      </w:pPr>
      <w:r>
        <w:rPr>
          <w:rFonts w:ascii="Inter" w:hAnsi="Inter" w:cs="Inter"/>
          <w:b w:val="0"/>
          <w:i w:val="0"/>
          <w:color w:val="2D2D2D"/>
          <w:sz w:val="22"/>
        </w:rPr>
        <w:t>The plan includes 3 Programs, 5 Projects, and 4 Activities across the three-year period, organized under the three strategic objectives. Flagship programs are: (1) the OBC Community Profiling and Social Registry Program (OBC-P-001), targeting comprehensive profiling of Bangsamoro communities in 15 provinces; (2) the Inter-governmental Coordination and Partnership Program (OBC-P-002), establishing formal MOUs and coordination desks with LGUs and NGAs; and (3) the OBC Service Access and Capacity-Building Program (OBC-P-003), delivering direct capacity-building, advocacy, and service referral for vulnerable OBC populations. Total resource requirements for the plan period are approximately PhP 60,000,000[^6], funded primarily through OOBC's Bangsamoro General Fund appropriation, supplemented by PhP 3,500,000 in development partner technical assistance and PhP 1,200,000 in LGU in-kind contributions.</w:t>
      </w:r>
    </w:p>
    <w:p>
      <w:pPr>
        <w:spacing w:after="120" w:line="276" w:lineRule="auto"/>
      </w:pPr>
      <w:r>
        <w:rPr>
          <w:rFonts w:ascii="Inter" w:hAnsi="Inter" w:cs="Inter"/>
          <w:b w:val="0"/>
          <w:i w:val="0"/>
          <w:color w:val="2D2D2D"/>
          <w:sz w:val="22"/>
        </w:rPr>
      </w:r>
      <w:r>
        <w:rPr>
          <w:rFonts w:ascii="Inter" w:hAnsi="Inter" w:cs="Inter"/>
          <w:b/>
          <w:i w:val="0"/>
          <w:color w:val="2D2D2D"/>
          <w:sz w:val="22"/>
        </w:rPr>
        <w:t>FY 2026 Priorities</w:t>
      </w:r>
      <w:r>
        <w:rPr>
          <w:rFonts w:ascii="Inter" w:hAnsi="Inter" w:cs="Inter"/>
          <w:b w:val="0"/>
          <w:i w:val="0"/>
          <w:color w:val="2D2D2D"/>
          <w:sz w:val="22"/>
        </w:rPr>
      </w:r>
    </w:p>
    <w:p>
      <w:pPr>
        <w:spacing w:after="120" w:line="276" w:lineRule="auto"/>
      </w:pPr>
      <w:r>
        <w:rPr>
          <w:rFonts w:ascii="Inter" w:hAnsi="Inter" w:cs="Inter"/>
          <w:b w:val="0"/>
          <w:i w:val="0"/>
          <w:color w:val="2D2D2D"/>
          <w:sz w:val="22"/>
        </w:rPr>
        <w:t>In FY 2026, OOBC will focus on: launching the community profiling initiative in 5 priority provinces (Davao del Sur, Sultan Kudarat, Zamboanga del Sur, North Cotabato, and South Cotabato); executing 4 MOUs with LGUs and 2 with NGAs; and enrolling 2,000 OBC individuals in BARMM social service programs through referral and coordination. Total FY 2026 appropriation request: PhP 22,000,000.</w:t>
      </w:r>
    </w:p>
    <w:p>
      <w:pPr>
        <w:spacing w:after="120" w:line="276" w:lineRule="auto"/>
      </w:pPr>
      <w:r>
        <w:rPr>
          <w:rFonts w:ascii="Inter" w:hAnsi="Inter" w:cs="Inter"/>
          <w:b w:val="0"/>
          <w:i w:val="0"/>
          <w:color w:val="2D2D2D"/>
          <w:sz w:val="22"/>
        </w:rPr>
      </w:r>
      <w:r>
        <w:rPr>
          <w:rFonts w:ascii="Inter" w:hAnsi="Inter" w:cs="Inter"/>
          <w:b/>
          <w:i w:val="0"/>
          <w:color w:val="2D2D2D"/>
          <w:sz w:val="22"/>
        </w:rPr>
        <w:t>Key Performance Targets, FY 2026–2028</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Strategic Objective</w:t>
            </w:r>
          </w:p>
        </w:tc>
        <w:tc>
          <w:tcPr>
            <w:tcW w:type="dxa" w:w="1872"/>
            <w:shd w:fill="1B365D"/>
          </w:tcPr>
          <w:p>
            <w:r/>
            <w:r>
              <w:rPr>
                <w:rFonts w:ascii="Inter" w:hAnsi="Inter" w:cs="Inter"/>
                <w:b/>
                <w:i w:val="0"/>
                <w:color w:val="FFFFFF"/>
                <w:sz w:val="19"/>
              </w:rPr>
              <w:t>Key Indicator</w:t>
            </w:r>
          </w:p>
        </w:tc>
        <w:tc>
          <w:tcPr>
            <w:tcW w:type="dxa" w:w="1872"/>
            <w:shd w:fill="1B365D"/>
          </w:tcPr>
          <w:p>
            <w:r/>
            <w:r>
              <w:rPr>
                <w:rFonts w:ascii="Inter" w:hAnsi="Inter" w:cs="Inter"/>
                <w:b/>
                <w:i w:val="0"/>
                <w:color w:val="FFFFFF"/>
                <w:sz w:val="19"/>
              </w:rPr>
              <w:t>Baseline</w:t>
            </w:r>
          </w:p>
        </w:tc>
        <w:tc>
          <w:tcPr>
            <w:tcW w:type="dxa" w:w="1872"/>
            <w:shd w:fill="1B365D"/>
          </w:tcPr>
          <w:p>
            <w:r/>
            <w:r>
              <w:rPr>
                <w:rFonts w:ascii="Inter" w:hAnsi="Inter" w:cs="Inter"/>
                <w:b/>
                <w:i w:val="0"/>
                <w:color w:val="FFFFFF"/>
                <w:sz w:val="19"/>
              </w:rPr>
              <w:t>End-of-Plan Target</w:t>
            </w:r>
          </w:p>
        </w:tc>
        <w:tc>
          <w:tcPr>
            <w:tcW w:type="dxa" w:w="1872"/>
            <w:shd w:fill="1B365D"/>
          </w:tcPr>
          <w:p>
            <w:r/>
            <w:r>
              <w:rPr>
                <w:rFonts w:ascii="Inter" w:hAnsi="Inter" w:cs="Inter"/>
                <w:b/>
                <w:i w:val="0"/>
                <w:color w:val="FFFFFF"/>
                <w:sz w:val="19"/>
              </w:rPr>
              <w:t>Target Year</w:t>
            </w:r>
          </w:p>
        </w:tc>
      </w:tr>
      <w:tr>
        <w:tc>
          <w:tcPr>
            <w:tcW w:type="dxa" w:w="1872"/>
          </w:tcPr>
          <w:p>
            <w:r/>
            <w:r>
              <w:rPr>
                <w:rFonts w:ascii="Inter" w:hAnsi="Inter" w:cs="Inter"/>
                <w:b w:val="0"/>
                <w:i w:val="0"/>
                <w:color w:val="2D2D2D"/>
                <w:sz w:val="19"/>
              </w:rPr>
              <w:t>SO-1: OBC Database</w:t>
            </w:r>
          </w:p>
        </w:tc>
        <w:tc>
          <w:tcPr>
            <w:tcW w:type="dxa" w:w="1872"/>
          </w:tcPr>
          <w:p>
            <w:r/>
            <w:r>
              <w:rPr>
                <w:rFonts w:ascii="Inter" w:hAnsi="Inter" w:cs="Inter"/>
                <w:b w:val="0"/>
                <w:i w:val="0"/>
                <w:color w:val="2D2D2D"/>
                <w:sz w:val="19"/>
              </w:rPr>
              <w:t>Provinces with completed community profiles</w:t>
            </w:r>
          </w:p>
        </w:tc>
        <w:tc>
          <w:tcPr>
            <w:tcW w:type="dxa" w:w="1872"/>
          </w:tcPr>
          <w:p>
            <w:r/>
            <w:r>
              <w:rPr>
                <w:rFonts w:ascii="Inter" w:hAnsi="Inter" w:cs="Inter"/>
                <w:b w:val="0"/>
                <w:i w:val="0"/>
                <w:color w:val="2D2D2D"/>
                <w:sz w:val="19"/>
              </w:rPr>
              <w:t>0</w:t>
            </w:r>
          </w:p>
        </w:tc>
        <w:tc>
          <w:tcPr>
            <w:tcW w:type="dxa" w:w="1872"/>
          </w:tcPr>
          <w:p>
            <w:r/>
            <w:r>
              <w:rPr>
                <w:rFonts w:ascii="Inter" w:hAnsi="Inter" w:cs="Inter"/>
                <w:b w:val="0"/>
                <w:i w:val="0"/>
                <w:color w:val="2D2D2D"/>
                <w:sz w:val="19"/>
              </w:rPr>
              <w:t>15 provinces</w:t>
            </w:r>
          </w:p>
        </w:tc>
        <w:tc>
          <w:tcPr>
            <w:tcW w:type="dxa" w:w="1872"/>
          </w:tcPr>
          <w:p>
            <w:r/>
            <w:r>
              <w:rPr>
                <w:rFonts w:ascii="Inter" w:hAnsi="Inter" w:cs="Inter"/>
                <w:b w:val="0"/>
                <w:i w:val="0"/>
                <w:color w:val="2D2D2D"/>
                <w:sz w:val="19"/>
              </w:rPr>
              <w:t>Dec 2028</w:t>
            </w:r>
          </w:p>
        </w:tc>
      </w:tr>
      <w:tr>
        <w:tc>
          <w:tcPr>
            <w:tcW w:type="dxa" w:w="1872"/>
            <w:shd w:fill="F0F3F6"/>
          </w:tcPr>
          <w:p>
            <w:r/>
            <w:r>
              <w:rPr>
                <w:rFonts w:ascii="Inter" w:hAnsi="Inter" w:cs="Inter"/>
                <w:b w:val="0"/>
                <w:i w:val="0"/>
                <w:color w:val="2D2D2D"/>
                <w:sz w:val="19"/>
              </w:rPr>
              <w:t>SO-1: OBC Database</w:t>
            </w:r>
          </w:p>
        </w:tc>
        <w:tc>
          <w:tcPr>
            <w:tcW w:type="dxa" w:w="1872"/>
            <w:shd w:fill="F0F3F6"/>
          </w:tcPr>
          <w:p>
            <w:r/>
            <w:r>
              <w:rPr>
                <w:rFonts w:ascii="Inter" w:hAnsi="Inter" w:cs="Inter"/>
                <w:b w:val="0"/>
                <w:i w:val="0"/>
                <w:color w:val="2D2D2D"/>
                <w:sz w:val="19"/>
              </w:rPr>
              <w:t>Individuals in verified OBC database</w:t>
            </w:r>
          </w:p>
        </w:tc>
        <w:tc>
          <w:tcPr>
            <w:tcW w:type="dxa" w:w="1872"/>
            <w:shd w:fill="F0F3F6"/>
          </w:tcPr>
          <w:p>
            <w:r/>
            <w:r>
              <w:rPr>
                <w:rFonts w:ascii="Inter" w:hAnsi="Inter" w:cs="Inter"/>
                <w:b w:val="0"/>
                <w:i w:val="0"/>
                <w:color w:val="2D2D2D"/>
                <w:sz w:val="19"/>
              </w:rPr>
              <w:t>0</w:t>
            </w:r>
          </w:p>
        </w:tc>
        <w:tc>
          <w:tcPr>
            <w:tcW w:type="dxa" w:w="1872"/>
            <w:shd w:fill="F0F3F6"/>
          </w:tcPr>
          <w:p>
            <w:r/>
            <w:r>
              <w:rPr>
                <w:rFonts w:ascii="Inter" w:hAnsi="Inter" w:cs="Inter"/>
                <w:b w:val="0"/>
                <w:i w:val="0"/>
                <w:color w:val="2D2D2D"/>
                <w:sz w:val="19"/>
              </w:rPr>
              <w:t>50,000 individuals</w:t>
            </w:r>
          </w:p>
        </w:tc>
        <w:tc>
          <w:tcPr>
            <w:tcW w:type="dxa" w:w="1872"/>
            <w:shd w:fill="F0F3F6"/>
          </w:tcPr>
          <w:p>
            <w:r/>
            <w:r>
              <w:rPr>
                <w:rFonts w:ascii="Inter" w:hAnsi="Inter" w:cs="Inter"/>
                <w:b w:val="0"/>
                <w:i w:val="0"/>
                <w:color w:val="2D2D2D"/>
                <w:sz w:val="19"/>
              </w:rPr>
              <w:t>Dec 2028</w:t>
            </w:r>
          </w:p>
        </w:tc>
      </w:tr>
      <w:tr>
        <w:tc>
          <w:tcPr>
            <w:tcW w:type="dxa" w:w="1872"/>
          </w:tcPr>
          <w:p>
            <w:r/>
            <w:r>
              <w:rPr>
                <w:rFonts w:ascii="Inter" w:hAnsi="Inter" w:cs="Inter"/>
                <w:b w:val="0"/>
                <w:i w:val="0"/>
                <w:color w:val="2D2D2D"/>
                <w:sz w:val="19"/>
              </w:rPr>
              <w:t>SO-2: MOUs</w:t>
            </w:r>
          </w:p>
        </w:tc>
        <w:tc>
          <w:tcPr>
            <w:tcW w:type="dxa" w:w="1872"/>
          </w:tcPr>
          <w:p>
            <w:r/>
            <w:r>
              <w:rPr>
                <w:rFonts w:ascii="Inter" w:hAnsi="Inter" w:cs="Inter"/>
                <w:b w:val="0"/>
                <w:i w:val="0"/>
                <w:color w:val="2D2D2D"/>
                <w:sz w:val="19"/>
              </w:rPr>
              <w:t>Active MOUs with LGUs and NGAs</w:t>
            </w:r>
          </w:p>
        </w:tc>
        <w:tc>
          <w:tcPr>
            <w:tcW w:type="dxa" w:w="1872"/>
          </w:tcPr>
          <w:p>
            <w:r/>
            <w:r>
              <w:rPr>
                <w:rFonts w:ascii="Inter" w:hAnsi="Inter" w:cs="Inter"/>
                <w:b w:val="0"/>
                <w:i w:val="0"/>
                <w:color w:val="2D2D2D"/>
                <w:sz w:val="19"/>
              </w:rPr>
              <w:t>2 (informal, 2024)</w:t>
            </w:r>
          </w:p>
        </w:tc>
        <w:tc>
          <w:tcPr>
            <w:tcW w:type="dxa" w:w="1872"/>
          </w:tcPr>
          <w:p>
            <w:r/>
            <w:r>
              <w:rPr>
                <w:rFonts w:ascii="Inter" w:hAnsi="Inter" w:cs="Inter"/>
                <w:b w:val="0"/>
                <w:i w:val="0"/>
                <w:color w:val="2D2D2D"/>
                <w:sz w:val="19"/>
              </w:rPr>
              <w:t>17 MOUs (12 LGU + 5 NGA)</w:t>
            </w:r>
          </w:p>
        </w:tc>
        <w:tc>
          <w:tcPr>
            <w:tcW w:type="dxa" w:w="1872"/>
          </w:tcPr>
          <w:p>
            <w:r/>
            <w:r>
              <w:rPr>
                <w:rFonts w:ascii="Inter" w:hAnsi="Inter" w:cs="Inter"/>
                <w:b w:val="0"/>
                <w:i w:val="0"/>
                <w:color w:val="2D2D2D"/>
                <w:sz w:val="19"/>
              </w:rPr>
              <w:t>Dec 2027</w:t>
            </w:r>
          </w:p>
        </w:tc>
      </w:tr>
      <w:tr>
        <w:tc>
          <w:tcPr>
            <w:tcW w:type="dxa" w:w="1872"/>
            <w:shd w:fill="F0F3F6"/>
          </w:tcPr>
          <w:p>
            <w:r/>
            <w:r>
              <w:rPr>
                <w:rFonts w:ascii="Inter" w:hAnsi="Inter" w:cs="Inter"/>
                <w:b w:val="0"/>
                <w:i w:val="0"/>
                <w:color w:val="2D2D2D"/>
                <w:sz w:val="19"/>
              </w:rPr>
              <w:t>SO-2: Coordination</w:t>
            </w:r>
          </w:p>
        </w:tc>
        <w:tc>
          <w:tcPr>
            <w:tcW w:type="dxa" w:w="1872"/>
            <w:shd w:fill="F0F3F6"/>
          </w:tcPr>
          <w:p>
            <w:r/>
            <w:r>
              <w:rPr>
                <w:rFonts w:ascii="Inter" w:hAnsi="Inter" w:cs="Inter"/>
                <w:b w:val="0"/>
                <w:i w:val="0"/>
                <w:color w:val="2D2D2D"/>
                <w:sz w:val="19"/>
              </w:rPr>
              <w:t>OBC coordination desks operational in partner LGUs</w:t>
            </w:r>
          </w:p>
        </w:tc>
        <w:tc>
          <w:tcPr>
            <w:tcW w:type="dxa" w:w="1872"/>
            <w:shd w:fill="F0F3F6"/>
          </w:tcPr>
          <w:p>
            <w:r/>
            <w:r>
              <w:rPr>
                <w:rFonts w:ascii="Inter" w:hAnsi="Inter" w:cs="Inter"/>
                <w:b w:val="0"/>
                <w:i w:val="0"/>
                <w:color w:val="2D2D2D"/>
                <w:sz w:val="19"/>
              </w:rPr>
              <w:t>0</w:t>
            </w:r>
          </w:p>
        </w:tc>
        <w:tc>
          <w:tcPr>
            <w:tcW w:type="dxa" w:w="1872"/>
            <w:shd w:fill="F0F3F6"/>
          </w:tcPr>
          <w:p>
            <w:r/>
            <w:r>
              <w:rPr>
                <w:rFonts w:ascii="Inter" w:hAnsi="Inter" w:cs="Inter"/>
                <w:b w:val="0"/>
                <w:i w:val="0"/>
                <w:color w:val="2D2D2D"/>
                <w:sz w:val="19"/>
              </w:rPr>
              <w:t>8 desks</w:t>
            </w:r>
          </w:p>
        </w:tc>
        <w:tc>
          <w:tcPr>
            <w:tcW w:type="dxa" w:w="1872"/>
            <w:shd w:fill="F0F3F6"/>
          </w:tcPr>
          <w:p>
            <w:r/>
            <w:r>
              <w:rPr>
                <w:rFonts w:ascii="Inter" w:hAnsi="Inter" w:cs="Inter"/>
                <w:b w:val="0"/>
                <w:i w:val="0"/>
                <w:color w:val="2D2D2D"/>
                <w:sz w:val="19"/>
              </w:rPr>
              <w:t>Dec 2028</w:t>
            </w:r>
          </w:p>
        </w:tc>
      </w:tr>
      <w:tr>
        <w:tc>
          <w:tcPr>
            <w:tcW w:type="dxa" w:w="1872"/>
          </w:tcPr>
          <w:p>
            <w:r/>
            <w:r>
              <w:rPr>
                <w:rFonts w:ascii="Inter" w:hAnsi="Inter" w:cs="Inter"/>
                <w:b w:val="0"/>
                <w:i w:val="0"/>
                <w:color w:val="2D2D2D"/>
                <w:sz w:val="19"/>
              </w:rPr>
              <w:t>SO-3: Service Access</w:t>
            </w:r>
          </w:p>
        </w:tc>
        <w:tc>
          <w:tcPr>
            <w:tcW w:type="dxa" w:w="1872"/>
          </w:tcPr>
          <w:p>
            <w:r/>
            <w:r>
              <w:rPr>
                <w:rFonts w:ascii="Inter" w:hAnsi="Inter" w:cs="Inter"/>
                <w:b w:val="0"/>
                <w:i w:val="0"/>
                <w:color w:val="2D2D2D"/>
                <w:sz w:val="19"/>
              </w:rPr>
              <w:t>OBC individuals enrolled in BARMM social service programs (cumulative)</w:t>
            </w:r>
          </w:p>
        </w:tc>
        <w:tc>
          <w:tcPr>
            <w:tcW w:type="dxa" w:w="1872"/>
          </w:tcPr>
          <w:p>
            <w:r/>
            <w:r>
              <w:rPr>
                <w:rFonts w:ascii="Inter" w:hAnsi="Inter" w:cs="Inter"/>
                <w:b w:val="0"/>
                <w:i w:val="0"/>
                <w:color w:val="2D2D2D"/>
                <w:sz w:val="19"/>
              </w:rPr>
              <w:t>1,200 (2025 est.)</w:t>
            </w:r>
          </w:p>
        </w:tc>
        <w:tc>
          <w:tcPr>
            <w:tcW w:type="dxa" w:w="1872"/>
          </w:tcPr>
          <w:p>
            <w:r/>
            <w:r>
              <w:rPr>
                <w:rFonts w:ascii="Inter" w:hAnsi="Inter" w:cs="Inter"/>
                <w:b w:val="0"/>
                <w:i w:val="0"/>
                <w:color w:val="2D2D2D"/>
                <w:sz w:val="19"/>
              </w:rPr>
              <w:t>5,000 individuals</w:t>
            </w:r>
          </w:p>
        </w:tc>
        <w:tc>
          <w:tcPr>
            <w:tcW w:type="dxa" w:w="1872"/>
          </w:tcPr>
          <w:p>
            <w:r/>
            <w:r>
              <w:rPr>
                <w:rFonts w:ascii="Inter" w:hAnsi="Inter" w:cs="Inter"/>
                <w:b w:val="0"/>
                <w:i w:val="0"/>
                <w:color w:val="2D2D2D"/>
                <w:sz w:val="19"/>
              </w:rPr>
              <w:t>Dec 2028</w:t>
            </w:r>
          </w:p>
        </w:tc>
      </w:tr>
      <w:tr>
        <w:tc>
          <w:tcPr>
            <w:tcW w:type="dxa" w:w="1872"/>
            <w:shd w:fill="F0F3F6"/>
          </w:tcPr>
          <w:p>
            <w:r/>
            <w:r>
              <w:rPr>
                <w:rFonts w:ascii="Inter" w:hAnsi="Inter" w:cs="Inter"/>
                <w:b w:val="0"/>
                <w:i w:val="0"/>
                <w:color w:val="2D2D2D"/>
                <w:sz w:val="19"/>
              </w:rPr>
              <w:t>Cross-cutting</w:t>
            </w:r>
          </w:p>
        </w:tc>
        <w:tc>
          <w:tcPr>
            <w:tcW w:type="dxa" w:w="1872"/>
            <w:shd w:fill="F0F3F6"/>
          </w:tcPr>
          <w:p>
            <w:r/>
            <w:r>
              <w:rPr>
                <w:rFonts w:ascii="Inter" w:hAnsi="Inter" w:cs="Inter"/>
                <w:b w:val="0"/>
                <w:i w:val="0"/>
                <w:color w:val="2D2D2D"/>
                <w:sz w:val="19"/>
              </w:rPr>
              <w:t>OBC concerns raised and resolved through coordination mechanisms (%)</w:t>
            </w:r>
          </w:p>
        </w:tc>
        <w:tc>
          <w:tcPr>
            <w:tcW w:type="dxa" w:w="1872"/>
            <w:shd w:fill="F0F3F6"/>
          </w:tcPr>
          <w:p>
            <w:r/>
            <w:r>
              <w:rPr>
                <w:rFonts w:ascii="Inter" w:hAnsi="Inter" w:cs="Inter"/>
                <w:b w:val="0"/>
                <w:i w:val="0"/>
                <w:color w:val="2D2D2D"/>
                <w:sz w:val="19"/>
              </w:rPr>
              <w:t>15% (FY 2024 est.)</w:t>
            </w:r>
          </w:p>
        </w:tc>
        <w:tc>
          <w:tcPr>
            <w:tcW w:type="dxa" w:w="1872"/>
            <w:shd w:fill="F0F3F6"/>
          </w:tcPr>
          <w:p>
            <w:r/>
            <w:r>
              <w:rPr>
                <w:rFonts w:ascii="Inter" w:hAnsi="Inter" w:cs="Inter"/>
                <w:b w:val="0"/>
                <w:i w:val="0"/>
                <w:color w:val="2D2D2D"/>
                <w:sz w:val="19"/>
              </w:rPr>
              <w:t>60%</w:t>
            </w:r>
          </w:p>
        </w:tc>
        <w:tc>
          <w:tcPr>
            <w:tcW w:type="dxa" w:w="1872"/>
            <w:shd w:fill="F0F3F6"/>
          </w:tcPr>
          <w:p>
            <w:r/>
            <w:r>
              <w:rPr>
                <w:rFonts w:ascii="Inter" w:hAnsi="Inter" w:cs="Inter"/>
                <w:b w:val="0"/>
                <w:i w:val="0"/>
                <w:color w:val="2D2D2D"/>
                <w:sz w:val="19"/>
              </w:rPr>
              <w:t>Dec 2028</w:t>
            </w:r>
          </w:p>
        </w:tc>
      </w:tr>
    </w:tbl>
    <w:p/>
    <w:p>
      <w:pPr>
        <w:spacing w:after="120" w:line="276" w:lineRule="auto"/>
      </w:pPr>
      <w:r>
        <w:rPr>
          <w:rFonts w:ascii="Inter" w:hAnsi="Inter" w:cs="Inter"/>
          <w:b w:val="0"/>
          <w:i w:val="0"/>
          <w:color w:val="2D2D2D"/>
          <w:sz w:val="22"/>
        </w:rPr>
        <w:t>OOBC submits this Strategic Plan as a binding institutional commitment to the Bangsamoro Government and to the Bangsamoro communities it serves, wherever they may be.</w:t>
      </w:r>
    </w:p>
    <w:p>
      <w:pPr>
        <w:spacing w:after="120" w:line="276" w:lineRule="auto"/>
      </w:pPr>
      <w:r>
        <w:rPr>
          <w:rFonts w:ascii="Inter" w:hAnsi="Inter" w:cs="Inter"/>
          <w:b w:val="0"/>
          <w:i w:val="0"/>
          <w:color w:val="2D2D2D"/>
          <w:sz w:val="22"/>
        </w:rPr>
        <w:t>[Executive Director, OOBC]                  [Deputy Executive Director]                  [Planning Officer]</w:t>
      </w:r>
    </w:p>
    <w:p>
      <w:pPr>
        <w:spacing w:after="120" w:line="276" w:lineRule="auto"/>
      </w:pPr>
      <w:r>
        <w:rPr>
          <w:rFonts w:ascii="Inter" w:hAnsi="Inter" w:cs="Inter"/>
          <w:b w:val="0"/>
          <w:i w:val="0"/>
          <w:color w:val="2D2D2D"/>
          <w:sz w:val="22"/>
        </w:rPr>
        <w:t>Date of Submission: ___________________</w:t>
      </w:r>
    </w:p>
    <w:p>
      <w:pPr>
        <w:spacing w:after="120" w:line="276" w:lineRule="auto"/>
      </w:pPr>
      <w:r>
        <w:rPr>
          <w:rFonts w:ascii="Inter" w:hAnsi="Inter" w:cs="Inter"/>
          <w:b w:val="0"/>
          <w:i w:val="0"/>
          <w:color w:val="2D2D2D"/>
          <w:sz w:val="22"/>
        </w:rPr>
        <w:t>*For the complete worked example of OOBC's assembled strategic plan — all five parts, full PPA Register, complete M&amp;E Framework, and AWP-AFP-APP — see Appendix E.*</w:t>
      </w:r>
    </w:p>
    <w:p>
      <w:pPr>
        <w:pStyle w:val="Heading2"/>
      </w:pPr>
      <w:r>
        <w:rPr>
          <w:rFonts w:ascii="Inter" w:hAnsi="Inter" w:cs="Inter"/>
          <w:b/>
          <w:i w:val="0"/>
          <w:color w:val="1B365D"/>
          <w:sz w:val="32"/>
        </w:rPr>
        <w:t>Quality Checklist</w:t>
      </w:r>
    </w:p>
    <w:p>
      <w:pPr>
        <w:spacing w:after="120" w:line="276" w:lineRule="auto"/>
      </w:pPr>
      <w:r>
        <w:rPr>
          <w:rFonts w:ascii="Inter" w:hAnsi="Inter" w:cs="Inter"/>
          <w:b w:val="0"/>
          <w:i w:val="0"/>
          <w:color w:val="2D2D2D"/>
          <w:sz w:val="22"/>
        </w:rPr>
        <w:t>Use this checklist before submitting your plan to BPDA.</w:t>
      </w:r>
    </w:p>
    <w:p>
      <w:pPr>
        <w:spacing w:after="120" w:line="276" w:lineRule="auto"/>
      </w:pPr>
      <w:r>
        <w:rPr>
          <w:rFonts w:ascii="Inter" w:hAnsi="Inter" w:cs="Inter"/>
          <w:b w:val="0"/>
          <w:i w:val="0"/>
          <w:color w:val="2D2D2D"/>
          <w:sz w:val="22"/>
        </w:rPr>
      </w:r>
      <w:r>
        <w:rPr>
          <w:rFonts w:ascii="Inter" w:hAnsi="Inter" w:cs="Inter"/>
          <w:b/>
          <w:i w:val="0"/>
          <w:color w:val="2D2D2D"/>
          <w:sz w:val="22"/>
        </w:rPr>
        <w:t>Document Structure</w:t>
      </w:r>
      <w:r>
        <w:rPr>
          <w:rFonts w:ascii="Inter" w:hAnsi="Inter" w:cs="Inter"/>
          <w:b w:val="0"/>
          <w:i w:val="0"/>
          <w:color w:val="2D2D2D"/>
          <w:sz w:val="22"/>
        </w:rPr>
      </w:r>
    </w:p>
    <w:p>
      <w:pPr>
        <w:pStyle w:val="ListBullet"/>
      </w:pPr>
      <w:r>
        <w:rPr>
          <w:rFonts w:ascii="Inter" w:hAnsi="Inter" w:cs="Inter"/>
          <w:b w:val="0"/>
          <w:i w:val="0"/>
          <w:color w:val="2D2D2D"/>
          <w:sz w:val="22"/>
        </w:rPr>
        <w:t>[ ] Cover page includes MOA name, plan period, submission date, and signature block.</w:t>
      </w:r>
    </w:p>
    <w:p>
      <w:pPr>
        <w:pStyle w:val="ListBullet"/>
      </w:pPr>
      <w:r>
        <w:rPr>
          <w:rFonts w:ascii="Inter" w:hAnsi="Inter" w:cs="Inter"/>
          <w:b w:val="0"/>
          <w:i w:val="0"/>
          <w:color w:val="2D2D2D"/>
          <w:sz w:val="22"/>
        </w:rPr>
        <w:t>[ ] Table of contents is complete and page numbers are accurate.</w:t>
      </w:r>
    </w:p>
    <w:p>
      <w:pPr>
        <w:pStyle w:val="ListBullet"/>
      </w:pPr>
      <w:r>
        <w:rPr>
          <w:rFonts w:ascii="Inter" w:hAnsi="Inter" w:cs="Inter"/>
          <w:b w:val="0"/>
          <w:i w:val="0"/>
          <w:color w:val="2D2D2D"/>
          <w:sz w:val="22"/>
        </w:rPr>
        <w:t>[ ] Acronyms list covers all non-obvious abbreviations in the document.</w:t>
      </w:r>
    </w:p>
    <w:p>
      <w:pPr>
        <w:pStyle w:val="ListBullet"/>
      </w:pPr>
      <w:r>
        <w:rPr>
          <w:rFonts w:ascii="Inter" w:hAnsi="Inter" w:cs="Inter"/>
          <w:b w:val="0"/>
          <w:i w:val="0"/>
          <w:color w:val="2D2D2D"/>
          <w:sz w:val="22"/>
        </w:rPr>
        <w:t>[ ] All five parts (Foundation, Strategic Direction, Programs, Annual Plan, Accountability) are present.</w:t>
      </w:r>
    </w:p>
    <w:p>
      <w:pPr>
        <w:pStyle w:val="ListBullet"/>
      </w:pPr>
      <w:r>
        <w:rPr>
          <w:rFonts w:ascii="Inter" w:hAnsi="Inter" w:cs="Inter"/>
          <w:b w:val="0"/>
          <w:i w:val="0"/>
          <w:color w:val="2D2D2D"/>
          <w:sz w:val="22"/>
        </w:rPr>
        <w:t>[ ] Annexes are referenced in the text and included.</w:t>
      </w:r>
    </w:p>
    <w:p>
      <w:pPr>
        <w:spacing w:after="120" w:line="276" w:lineRule="auto"/>
      </w:pPr>
      <w:r>
        <w:rPr>
          <w:rFonts w:ascii="Inter" w:hAnsi="Inter" w:cs="Inter"/>
          <w:b w:val="0"/>
          <w:i w:val="0"/>
          <w:color w:val="2D2D2D"/>
          <w:sz w:val="22"/>
        </w:rPr>
      </w:r>
      <w:r>
        <w:rPr>
          <w:rFonts w:ascii="Inter" w:hAnsi="Inter" w:cs="Inter"/>
          <w:b/>
          <w:i w:val="0"/>
          <w:color w:val="2D2D2D"/>
          <w:sz w:val="22"/>
        </w:rPr>
        <w:t>Executive Summary</w:t>
      </w:r>
      <w:r>
        <w:rPr>
          <w:rFonts w:ascii="Inter" w:hAnsi="Inter" w:cs="Inter"/>
          <w:b w:val="0"/>
          <w:i w:val="0"/>
          <w:color w:val="2D2D2D"/>
          <w:sz w:val="22"/>
        </w:rPr>
      </w:r>
    </w:p>
    <w:p>
      <w:pPr>
        <w:pStyle w:val="ListBullet"/>
      </w:pPr>
      <w:r>
        <w:rPr>
          <w:rFonts w:ascii="Inter" w:hAnsi="Inter" w:cs="Inter"/>
          <w:b w:val="0"/>
          <w:i w:val="0"/>
          <w:color w:val="2D2D2D"/>
          <w:sz w:val="22"/>
        </w:rPr>
        <w:t>[ ] Length is 2–3 pages (maximum 4).</w:t>
      </w:r>
    </w:p>
    <w:p>
      <w:pPr>
        <w:pStyle w:val="ListBullet"/>
      </w:pPr>
      <w:r>
        <w:rPr>
          <w:rFonts w:ascii="Inter" w:hAnsi="Inter" w:cs="Inter"/>
          <w:b w:val="0"/>
          <w:i w:val="0"/>
          <w:color w:val="2D2D2D"/>
          <w:sz w:val="22"/>
        </w:rPr>
        <w:t>[ ] All strategic objectives appear in full, with measurable targets and deadlines.</w:t>
      </w:r>
    </w:p>
    <w:p>
      <w:pPr>
        <w:pStyle w:val="ListBullet"/>
      </w:pPr>
      <w:r>
        <w:rPr>
          <w:rFonts w:ascii="Inter" w:hAnsi="Inter" w:cs="Inter"/>
          <w:b w:val="0"/>
          <w:i w:val="0"/>
          <w:color w:val="2D2D2D"/>
          <w:sz w:val="22"/>
        </w:rPr>
        <w:t>[ ] BDP goals and Priority Agenda points are named specifically, not generically.</w:t>
      </w:r>
    </w:p>
    <w:p>
      <w:pPr>
        <w:pStyle w:val="ListBullet"/>
      </w:pPr>
      <w:r>
        <w:rPr>
          <w:rFonts w:ascii="Inter" w:hAnsi="Inter" w:cs="Inter"/>
          <w:b w:val="0"/>
          <w:i w:val="0"/>
          <w:color w:val="2D2D2D"/>
          <w:sz w:val="22"/>
        </w:rPr>
        <w:t>[ ] PPA portfolio summary includes total number, total budget, and major programs.</w:t>
      </w:r>
    </w:p>
    <w:p>
      <w:pPr>
        <w:pStyle w:val="ListBullet"/>
      </w:pPr>
      <w:r>
        <w:rPr>
          <w:rFonts w:ascii="Inter" w:hAnsi="Inter" w:cs="Inter"/>
          <w:b w:val="0"/>
          <w:i w:val="0"/>
          <w:color w:val="2D2D2D"/>
          <w:sz w:val="22"/>
        </w:rPr>
        <w:t>[ ] Key targets table includes 6–10 indicators from the M&amp;E Framework.</w:t>
      </w:r>
    </w:p>
    <w:p>
      <w:pPr>
        <w:pStyle w:val="ListBullet"/>
      </w:pPr>
      <w:r>
        <w:rPr>
          <w:rFonts w:ascii="Inter" w:hAnsi="Inter" w:cs="Inter"/>
          <w:b w:val="0"/>
          <w:i w:val="0"/>
          <w:color w:val="2D2D2D"/>
          <w:sz w:val="22"/>
        </w:rPr>
        <w:t>[ ] Signed by the Minister or Executive Director, Deputy, and Planning Officer.</w:t>
      </w:r>
    </w:p>
    <w:p>
      <w:pPr>
        <w:spacing w:after="120" w:line="276" w:lineRule="auto"/>
      </w:pPr>
      <w:r>
        <w:rPr>
          <w:rFonts w:ascii="Inter" w:hAnsi="Inter" w:cs="Inter"/>
          <w:b w:val="0"/>
          <w:i w:val="0"/>
          <w:color w:val="2D2D2D"/>
          <w:sz w:val="22"/>
        </w:rPr>
      </w:r>
      <w:r>
        <w:rPr>
          <w:rFonts w:ascii="Inter" w:hAnsi="Inter" w:cs="Inter"/>
          <w:b/>
          <w:i w:val="0"/>
          <w:color w:val="2D2D2D"/>
          <w:sz w:val="22"/>
        </w:rPr>
        <w:t>Internal Consistency</w:t>
      </w:r>
      <w:r>
        <w:rPr>
          <w:rFonts w:ascii="Inter" w:hAnsi="Inter" w:cs="Inter"/>
          <w:b w:val="0"/>
          <w:i w:val="0"/>
          <w:color w:val="2D2D2D"/>
          <w:sz w:val="22"/>
        </w:rPr>
      </w:r>
    </w:p>
    <w:p>
      <w:pPr>
        <w:pStyle w:val="ListBullet"/>
      </w:pPr>
      <w:r>
        <w:rPr>
          <w:rFonts w:ascii="Inter" w:hAnsi="Inter" w:cs="Inter"/>
          <w:b w:val="0"/>
          <w:i w:val="0"/>
          <w:color w:val="2D2D2D"/>
          <w:sz w:val="22"/>
        </w:rPr>
        <w:t>[ ] Strategic objectives in the executive summary match Chapter 6 exactly.</w:t>
      </w:r>
    </w:p>
    <w:p>
      <w:pPr>
        <w:pStyle w:val="ListBullet"/>
      </w:pPr>
      <w:r>
        <w:rPr>
          <w:rFonts w:ascii="Inter" w:hAnsi="Inter" w:cs="Inter"/>
          <w:b w:val="0"/>
          <w:i w:val="0"/>
          <w:color w:val="2D2D2D"/>
          <w:sz w:val="22"/>
        </w:rPr>
        <w:t>[ ] PPA codes in the Annual Financial Plan match PPA codes in the PPA Register.</w:t>
      </w:r>
    </w:p>
    <w:p>
      <w:pPr>
        <w:pStyle w:val="ListBullet"/>
      </w:pPr>
      <w:r>
        <w:rPr>
          <w:rFonts w:ascii="Inter" w:hAnsi="Inter" w:cs="Inter"/>
          <w:b w:val="0"/>
          <w:i w:val="0"/>
          <w:color w:val="2D2D2D"/>
          <w:sz w:val="22"/>
        </w:rPr>
        <w:t>[ ] AFP Year 1 total matches the Resource Requirements Matrix Year 1 total.</w:t>
      </w:r>
    </w:p>
    <w:p>
      <w:pPr>
        <w:pStyle w:val="ListBullet"/>
      </w:pPr>
      <w:r>
        <w:rPr>
          <w:rFonts w:ascii="Inter" w:hAnsi="Inter" w:cs="Inter"/>
          <w:b w:val="0"/>
          <w:i w:val="0"/>
          <w:color w:val="2D2D2D"/>
          <w:sz w:val="22"/>
        </w:rPr>
        <w:t>[ ] APP items are linked to specific PPA codes and AFP budget lines.</w:t>
      </w:r>
    </w:p>
    <w:p>
      <w:pPr>
        <w:pStyle w:val="ListBullet"/>
      </w:pPr>
      <w:r>
        <w:rPr>
          <w:rFonts w:ascii="Inter" w:hAnsi="Inter" w:cs="Inter"/>
          <w:b w:val="0"/>
          <w:i w:val="0"/>
          <w:color w:val="2D2D2D"/>
          <w:sz w:val="22"/>
        </w:rPr>
        <w:t>[ ] M&amp;E baseline values in the executive summary match the Indicator Registry.</w:t>
      </w:r>
    </w:p>
    <w:p>
      <w:pPr>
        <w:pStyle w:val="ListBullet"/>
      </w:pPr>
      <w:r>
        <w:rPr>
          <w:rFonts w:ascii="Inter" w:hAnsi="Inter" w:cs="Inter"/>
          <w:b w:val="0"/>
          <w:i w:val="0"/>
          <w:color w:val="2D2D2D"/>
          <w:sz w:val="22"/>
        </w:rPr>
        <w:t>[ ] All legal citations (BOL articles, BAA numbers) have been verified for accuracy.</w:t>
      </w:r>
    </w:p>
    <w:p>
      <w:pPr>
        <w:spacing w:after="120" w:line="276" w:lineRule="auto"/>
      </w:pPr>
      <w:r>
        <w:rPr>
          <w:rFonts w:ascii="Inter" w:hAnsi="Inter" w:cs="Inter"/>
          <w:b w:val="0"/>
          <w:i w:val="0"/>
          <w:color w:val="2D2D2D"/>
          <w:sz w:val="22"/>
        </w:rPr>
      </w:r>
      <w:r>
        <w:rPr>
          <w:rFonts w:ascii="Inter" w:hAnsi="Inter" w:cs="Inter"/>
          <w:b/>
          <w:i w:val="0"/>
          <w:color w:val="2D2D2D"/>
          <w:sz w:val="22"/>
        </w:rPr>
        <w:t>Submission Package</w:t>
      </w:r>
      <w:r>
        <w:rPr>
          <w:rFonts w:ascii="Inter" w:hAnsi="Inter" w:cs="Inter"/>
          <w:b w:val="0"/>
          <w:i w:val="0"/>
          <w:color w:val="2D2D2D"/>
          <w:sz w:val="22"/>
        </w:rPr>
      </w:r>
    </w:p>
    <w:p>
      <w:pPr>
        <w:pStyle w:val="ListBullet"/>
      </w:pPr>
      <w:r>
        <w:rPr>
          <w:rFonts w:ascii="Inter" w:hAnsi="Inter" w:cs="Inter"/>
          <w:b w:val="0"/>
          <w:i w:val="0"/>
          <w:color w:val="2D2D2D"/>
          <w:sz w:val="22"/>
        </w:rPr>
        <w:t>[ ] One hard copy with original signatures submitted to BPDA.</w:t>
      </w:r>
    </w:p>
    <w:p>
      <w:pPr>
        <w:pStyle w:val="ListBullet"/>
      </w:pPr>
      <w:r>
        <w:rPr>
          <w:rFonts w:ascii="Inter" w:hAnsi="Inter" w:cs="Inter"/>
          <w:b w:val="0"/>
          <w:i w:val="0"/>
          <w:color w:val="2D2D2D"/>
          <w:sz w:val="22"/>
        </w:rPr>
        <w:t>[ ] One electronic copy submitted to BPDA (PDF, with file size under 25MB).</w:t>
      </w:r>
    </w:p>
    <w:p>
      <w:pPr>
        <w:pStyle w:val="ListBullet"/>
      </w:pPr>
      <w:r>
        <w:rPr>
          <w:rFonts w:ascii="Inter" w:hAnsi="Inter" w:cs="Inter"/>
          <w:b w:val="0"/>
          <w:i w:val="0"/>
          <w:color w:val="2D2D2D"/>
          <w:sz w:val="22"/>
        </w:rPr>
        <w:t>[ ] AFP separately submitted to MFBM in accordance with the Budget Call guidelines.</w:t>
      </w:r>
    </w:p>
    <w:p>
      <w:pPr>
        <w:pStyle w:val="ListBullet"/>
      </w:pPr>
      <w:r>
        <w:rPr>
          <w:rFonts w:ascii="Inter" w:hAnsi="Inter" w:cs="Inter"/>
          <w:b w:val="0"/>
          <w:i w:val="0"/>
          <w:color w:val="2D2D2D"/>
          <w:sz w:val="22"/>
        </w:rPr>
        <w:t>[ ] Version number and date on the cover page.</w:t>
      </w:r>
    </w:p>
    <w:p>
      <w:pPr>
        <w:spacing w:after="120" w:line="276" w:lineRule="auto"/>
      </w:pPr>
      <w:r>
        <w:rPr>
          <w:rFonts w:ascii="Inter" w:hAnsi="Inter" w:cs="Inter"/>
          <w:b w:val="0"/>
          <w:i w:val="0"/>
          <w:color w:val="2D2D2D"/>
          <w:sz w:val="22"/>
        </w:rPr>
        <w:t>[^1]: The Bangsamoro Planning and Development Authority's mandate to review and certify MOA strategic plans derives from BAA No. 13 (Bangsamoro Administrative Code), Book II, Title III, which establishes BPDA's role as the planning, coordinating, and monitoring agency for all Bangsamoro development plans. MOAs should confirm current submission requirements and certification procedures with BPDA at the start of each planning cycle, as BPDA issues updated planning guidelines periodically.</w:t>
      </w:r>
    </w:p>
    <w:p>
      <w:pPr>
        <w:spacing w:after="120" w:line="276" w:lineRule="auto"/>
      </w:pPr>
      <w:r>
        <w:rPr>
          <w:rFonts w:ascii="Inter" w:hAnsi="Inter" w:cs="Inter"/>
          <w:b w:val="0"/>
          <w:i w:val="0"/>
          <w:color w:val="2D2D2D"/>
          <w:sz w:val="22"/>
        </w:rPr>
        <w:t>[^2]: The MFBM's budget feasibility review is conducted as part of the annual budget preparation cycle mandated under BAA No. 84 (Bangsamoro Budget System Act). Budget proposals must be consistent with budget ceilings communicated through the annual Budget Call (Budget Memorandum) issued by MFBM.</w:t>
      </w:r>
    </w:p>
    <w:p>
      <w:pPr>
        <w:spacing w:after="120" w:line="276" w:lineRule="auto"/>
      </w:pPr>
      <w:r>
        <w:rPr>
          <w:rFonts w:ascii="Inter" w:hAnsi="Inter" w:cs="Inter"/>
          <w:b w:val="0"/>
          <w:i w:val="0"/>
          <w:color w:val="2D2D2D"/>
          <w:sz w:val="22"/>
        </w:rPr>
        <w:t>[^3]: The Budget Call is issued by MFBM annually, typically in the second semester of the current fiscal year, setting the deadlines and parameters for the following year's budget proposals. MOAs should monitor MFBM issuances to identify the applicable Budget Call and comply with its submission requirements.</w:t>
      </w:r>
    </w:p>
    <w:p>
      <w:pPr>
        <w:spacing w:after="120" w:line="276" w:lineRule="auto"/>
      </w:pPr>
      <w:r>
        <w:rPr>
          <w:rFonts w:ascii="Inter" w:hAnsi="Inter" w:cs="Inter"/>
          <w:b w:val="0"/>
          <w:i w:val="0"/>
          <w:color w:val="2D2D2D"/>
          <w:sz w:val="22"/>
        </w:rPr>
        <w:t>[^4]: Republic Act No. 11054 (Bangsamoro Organic Law), Article VIII, establishes the Bangsamoro Economic and Development Council, with functions including the coordination of regional development planning across all Bangsamoro government entities. BAA No. 13 further specifies BEDC's role in recommending the Bangsamoro Development Plan for parliamentary approval.</w:t>
      </w:r>
    </w:p>
    <w:p>
      <w:pPr>
        <w:spacing w:after="120" w:line="276" w:lineRule="auto"/>
      </w:pPr>
      <w:r>
        <w:rPr>
          <w:rFonts w:ascii="Inter" w:hAnsi="Inter" w:cs="Inter"/>
          <w:b w:val="0"/>
          <w:i w:val="0"/>
          <w:color w:val="2D2D2D"/>
          <w:sz w:val="22"/>
        </w:rPr>
        <w:t>[^5]: Republic Act No. 11054 (Bangsamoro Organic Law), Article VI, Section 12, provides for the Bangsamoro Government's responsibility to ensure equitable access to programs and services for Bangsamoro communities outside BARMM's core territory. OOBC is established as an office attached to the Office of the Chief Minister to carry out this mandate.</w:t>
      </w:r>
    </w:p>
    <w:p>
      <w:pPr>
        <w:spacing w:after="120" w:line="276" w:lineRule="auto"/>
      </w:pPr>
      <w:r>
        <w:rPr>
          <w:rFonts w:ascii="Inter" w:hAnsi="Inter" w:cs="Inter"/>
          <w:b w:val="0"/>
          <w:i w:val="0"/>
          <w:color w:val="2D2D2D"/>
          <w:sz w:val="22"/>
        </w:rPr>
        <w:t>[^6]: The three-year total budget figure should be drawn directly from the Resource Requirements Matrix completed in Chapter 9 and verified against the Annual Financial Plan in Chapter 10. The figure cited in the executive summary must be consistent with both.</w:t>
      </w:r>
    </w:p>
    <w:p>
      <w:pPr>
        <w:pageBreakBefore/>
      </w:pPr>
    </w:p>
    <w:p>
      <w:pPr>
        <w:pStyle w:val="Heading1"/>
      </w:pPr>
      <w:r>
        <w:rPr>
          <w:rFonts w:ascii="Inter" w:hAnsi="Inter" w:cs="Inter"/>
          <w:b/>
          <w:i w:val="0"/>
          <w:color w:val="1B365D"/>
          <w:sz w:val="44"/>
        </w:rPr>
        <w:t>Glossary of Planning Terms</w:t>
      </w:r>
    </w:p>
    <w:p>
      <w:pPr>
        <w:spacing w:after="120" w:line="276" w:lineRule="auto"/>
      </w:pPr>
      <w:r>
        <w:rPr>
          <w:rFonts w:ascii="Inter" w:hAnsi="Inter" w:cs="Inter"/>
          <w:b w:val="0"/>
          <w:i w:val="0"/>
          <w:color w:val="2D2D2D"/>
          <w:sz w:val="22"/>
        </w:rPr>
        <w:t>This glossary defines key terms used throughout the Strategic Planning Guidebook. Each entry provides the full form (if applicable) and a BARMM-specific definition.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Term</w:t>
            </w:r>
          </w:p>
        </w:tc>
        <w:tc>
          <w:tcPr>
            <w:tcW w:type="dxa" w:w="3120"/>
            <w:shd w:fill="1B365D"/>
          </w:tcPr>
          <w:p>
            <w:r/>
            <w:r>
              <w:rPr>
                <w:rFonts w:ascii="Inter" w:hAnsi="Inter" w:cs="Inter"/>
                <w:b/>
                <w:i w:val="0"/>
                <w:color w:val="FFFFFF"/>
                <w:sz w:val="19"/>
              </w:rPr>
              <w:t>Full Form</w:t>
            </w:r>
          </w:p>
        </w:tc>
        <w:tc>
          <w:tcPr>
            <w:tcW w:type="dxa" w:w="3120"/>
            <w:shd w:fill="1B365D"/>
          </w:tcPr>
          <w:p>
            <w:r/>
            <w:r>
              <w:rPr>
                <w:rFonts w:ascii="Inter" w:hAnsi="Inter" w:cs="Inter"/>
                <w:b/>
                <w:i w:val="0"/>
                <w:color w:val="FFFFFF"/>
                <w:sz w:val="19"/>
              </w:rPr>
              <w:t>Definition</w:t>
            </w:r>
          </w:p>
        </w:tc>
      </w:tr>
      <w:tr>
        <w:tc>
          <w:tcPr>
            <w:tcW w:type="dxa" w:w="3120"/>
          </w:tcPr>
          <w:p>
            <w:r/>
            <w:r>
              <w:rPr>
                <w:rFonts w:ascii="Inter" w:hAnsi="Inter" w:cs="Inter"/>
                <w:b w:val="0"/>
                <w:i w:val="0"/>
                <w:color w:val="2D2D2D"/>
                <w:sz w:val="19"/>
              </w:rPr>
              <w:t>AFP</w:t>
            </w:r>
          </w:p>
        </w:tc>
        <w:tc>
          <w:tcPr>
            <w:tcW w:type="dxa" w:w="3120"/>
          </w:tcPr>
          <w:p>
            <w:r/>
            <w:r>
              <w:rPr>
                <w:rFonts w:ascii="Inter" w:hAnsi="Inter" w:cs="Inter"/>
                <w:b w:val="0"/>
                <w:i w:val="0"/>
                <w:color w:val="2D2D2D"/>
                <w:sz w:val="19"/>
              </w:rPr>
              <w:t>Annual Financial Plan</w:t>
            </w:r>
          </w:p>
        </w:tc>
        <w:tc>
          <w:tcPr>
            <w:tcW w:type="dxa" w:w="3120"/>
          </w:tcPr>
          <w:p>
            <w:r/>
            <w:r>
              <w:rPr>
                <w:rFonts w:ascii="Inter" w:hAnsi="Inter" w:cs="Inter"/>
                <w:b w:val="0"/>
                <w:i w:val="0"/>
                <w:color w:val="2D2D2D"/>
                <w:sz w:val="19"/>
              </w:rPr>
              <w:t>The MOA's detailed budget allocation by expense class (Personal Services, Maintenance and Other Operating Expenses, Capital Outlay) for a single fiscal year, linked to specific programs, projects, and activities.</w:t>
            </w:r>
          </w:p>
        </w:tc>
      </w:tr>
      <w:tr>
        <w:tc>
          <w:tcPr>
            <w:tcW w:type="dxa" w:w="3120"/>
            <w:shd w:fill="F0F3F6"/>
          </w:tcPr>
          <w:p>
            <w:r/>
            <w:r>
              <w:rPr>
                <w:rFonts w:ascii="Inter" w:hAnsi="Inter" w:cs="Inter"/>
                <w:b w:val="0"/>
                <w:i w:val="0"/>
                <w:color w:val="2D2D2D"/>
                <w:sz w:val="19"/>
              </w:rPr>
              <w:t>APP</w:t>
            </w:r>
          </w:p>
        </w:tc>
        <w:tc>
          <w:tcPr>
            <w:tcW w:type="dxa" w:w="3120"/>
            <w:shd w:fill="F0F3F6"/>
          </w:tcPr>
          <w:p>
            <w:r/>
            <w:r>
              <w:rPr>
                <w:rFonts w:ascii="Inter" w:hAnsi="Inter" w:cs="Inter"/>
                <w:b w:val="0"/>
                <w:i w:val="0"/>
                <w:color w:val="2D2D2D"/>
                <w:sz w:val="19"/>
              </w:rPr>
              <w:t>Annual Procurement Plan</w:t>
            </w:r>
          </w:p>
        </w:tc>
        <w:tc>
          <w:tcPr>
            <w:tcW w:type="dxa" w:w="3120"/>
            <w:shd w:fill="F0F3F6"/>
          </w:tcPr>
          <w:p>
            <w:r/>
            <w:r>
              <w:rPr>
                <w:rFonts w:ascii="Inter" w:hAnsi="Inter" w:cs="Inter"/>
                <w:b w:val="0"/>
                <w:i w:val="0"/>
                <w:color w:val="2D2D2D"/>
                <w:sz w:val="19"/>
              </w:rPr>
              <w:t>A yearly schedule of all goods, services, and infrastructure procurements an MOA intends to undertake, certified compliant with BAA No. 38 (Procurement Code) and aligned with the Annual Work Plan.</w:t>
            </w:r>
          </w:p>
        </w:tc>
      </w:tr>
      <w:tr>
        <w:tc>
          <w:tcPr>
            <w:tcW w:type="dxa" w:w="3120"/>
          </w:tcPr>
          <w:p>
            <w:r/>
            <w:r>
              <w:rPr>
                <w:rFonts w:ascii="Inter" w:hAnsi="Inter" w:cs="Inter"/>
                <w:b w:val="0"/>
                <w:i w:val="0"/>
                <w:color w:val="2D2D2D"/>
                <w:sz w:val="19"/>
              </w:rPr>
              <w:t>AWP</w:t>
            </w:r>
          </w:p>
        </w:tc>
        <w:tc>
          <w:tcPr>
            <w:tcW w:type="dxa" w:w="3120"/>
          </w:tcPr>
          <w:p>
            <w:r/>
            <w:r>
              <w:rPr>
                <w:rFonts w:ascii="Inter" w:hAnsi="Inter" w:cs="Inter"/>
                <w:b w:val="0"/>
                <w:i w:val="0"/>
                <w:color w:val="2D2D2D"/>
                <w:sz w:val="19"/>
              </w:rPr>
              <w:t>Annual Work Plan</w:t>
            </w:r>
          </w:p>
        </w:tc>
        <w:tc>
          <w:tcPr>
            <w:tcW w:type="dxa" w:w="3120"/>
          </w:tcPr>
          <w:p>
            <w:r/>
            <w:r>
              <w:rPr>
                <w:rFonts w:ascii="Inter" w:hAnsi="Inter" w:cs="Inter"/>
                <w:b w:val="0"/>
                <w:i w:val="0"/>
                <w:color w:val="2D2D2D"/>
                <w:sz w:val="19"/>
              </w:rPr>
              <w:t>The one-year operational breakdown of the MOA's multi-year strategic plan, detailing quarterly targets, milestones, responsible units, and expected deliverables for each program, project, and activity.</w:t>
            </w:r>
          </w:p>
        </w:tc>
      </w:tr>
      <w:tr>
        <w:tc>
          <w:tcPr>
            <w:tcW w:type="dxa" w:w="3120"/>
            <w:shd w:fill="F0F3F6"/>
          </w:tcPr>
          <w:p>
            <w:r/>
            <w:r>
              <w:rPr>
                <w:rFonts w:ascii="Inter" w:hAnsi="Inter" w:cs="Inter"/>
                <w:b w:val="0"/>
                <w:i w:val="0"/>
                <w:color w:val="2D2D2D"/>
                <w:sz w:val="19"/>
              </w:rPr>
              <w:t>BAA</w:t>
            </w:r>
          </w:p>
        </w:tc>
        <w:tc>
          <w:tcPr>
            <w:tcW w:type="dxa" w:w="3120"/>
            <w:shd w:fill="F0F3F6"/>
          </w:tcPr>
          <w:p>
            <w:r/>
            <w:r>
              <w:rPr>
                <w:rFonts w:ascii="Inter" w:hAnsi="Inter" w:cs="Inter"/>
                <w:b w:val="0"/>
                <w:i w:val="0"/>
                <w:color w:val="2D2D2D"/>
                <w:sz w:val="19"/>
              </w:rPr>
              <w:t>Bangsamoro Autonomy Act</w:t>
            </w:r>
          </w:p>
        </w:tc>
        <w:tc>
          <w:tcPr>
            <w:tcW w:type="dxa" w:w="3120"/>
            <w:shd w:fill="F0F3F6"/>
          </w:tcPr>
          <w:p>
            <w:r/>
            <w:r>
              <w:rPr>
                <w:rFonts w:ascii="Inter" w:hAnsi="Inter" w:cs="Inter"/>
                <w:b w:val="0"/>
                <w:i w:val="0"/>
                <w:color w:val="2D2D2D"/>
                <w:sz w:val="19"/>
              </w:rPr>
              <w:t>A law enacted by the Bangsamoro Parliament on matters within the BARMM's legislative authority, including appropriations, sector policies, and administrative mandates; numbered sequentially (e.g., BAA No. 13 is the Administrative Code).</w:t>
            </w:r>
          </w:p>
        </w:tc>
      </w:tr>
      <w:tr>
        <w:tc>
          <w:tcPr>
            <w:tcW w:type="dxa" w:w="3120"/>
          </w:tcPr>
          <w:p>
            <w:r/>
            <w:r>
              <w:rPr>
                <w:rFonts w:ascii="Inter" w:hAnsi="Inter" w:cs="Inter"/>
                <w:b w:val="0"/>
                <w:i w:val="0"/>
                <w:color w:val="2D2D2D"/>
                <w:sz w:val="19"/>
              </w:rPr>
              <w:t>BDP</w:t>
            </w:r>
          </w:p>
        </w:tc>
        <w:tc>
          <w:tcPr>
            <w:tcW w:type="dxa" w:w="3120"/>
          </w:tcPr>
          <w:p>
            <w:r/>
            <w:r>
              <w:rPr>
                <w:rFonts w:ascii="Inter" w:hAnsi="Inter" w:cs="Inter"/>
                <w:b w:val="0"/>
                <w:i w:val="0"/>
                <w:color w:val="2D2D2D"/>
                <w:sz w:val="19"/>
              </w:rPr>
              <w:t>Bangsamoro Development Plan</w:t>
            </w:r>
          </w:p>
        </w:tc>
        <w:tc>
          <w:tcPr>
            <w:tcW w:type="dxa" w:w="3120"/>
          </w:tcPr>
          <w:p>
            <w:r/>
            <w:r>
              <w:rPr>
                <w:rFonts w:ascii="Inter" w:hAnsi="Inter" w:cs="Inter"/>
                <w:b w:val="0"/>
                <w:i w:val="0"/>
                <w:color w:val="2D2D2D"/>
                <w:sz w:val="19"/>
              </w:rPr>
              <w:t>The medium-term (usually five-year) development framework adopted by Parliament that sets regional development goals, cross-cutting strategies, and sector-specific targets to which all MOA strategic plans must align.</w:t>
            </w:r>
          </w:p>
        </w:tc>
      </w:tr>
      <w:tr>
        <w:tc>
          <w:tcPr>
            <w:tcW w:type="dxa" w:w="3120"/>
            <w:shd w:fill="F0F3F6"/>
          </w:tcPr>
          <w:p>
            <w:r/>
            <w:r>
              <w:rPr>
                <w:rFonts w:ascii="Inter" w:hAnsi="Inter" w:cs="Inter"/>
                <w:b w:val="0"/>
                <w:i w:val="0"/>
                <w:color w:val="2D2D2D"/>
                <w:sz w:val="19"/>
              </w:rPr>
              <w:t>BEDC</w:t>
            </w:r>
          </w:p>
        </w:tc>
        <w:tc>
          <w:tcPr>
            <w:tcW w:type="dxa" w:w="3120"/>
            <w:shd w:fill="F0F3F6"/>
          </w:tcPr>
          <w:p>
            <w:r/>
            <w:r>
              <w:rPr>
                <w:rFonts w:ascii="Inter" w:hAnsi="Inter" w:cs="Inter"/>
                <w:b w:val="0"/>
                <w:i w:val="0"/>
                <w:color w:val="2D2D2D"/>
                <w:sz w:val="19"/>
              </w:rPr>
              <w:t>Bangsamoro Economic and Development Council</w:t>
            </w:r>
          </w:p>
        </w:tc>
        <w:tc>
          <w:tcPr>
            <w:tcW w:type="dxa" w:w="3120"/>
            <w:shd w:fill="F0F3F6"/>
          </w:tcPr>
          <w:p>
            <w:r/>
            <w:r>
              <w:rPr>
                <w:rFonts w:ascii="Inter" w:hAnsi="Inter" w:cs="Inter"/>
                <w:b w:val="0"/>
                <w:i w:val="0"/>
                <w:color w:val="2D2D2D"/>
                <w:sz w:val="19"/>
              </w:rPr>
              <w:t>The chief policy-making body for regional development, chaired by the Chief Minister, responsible for directing plan formulation and recommending the Bangsamoro Development Plan for parliamentary approval.</w:t>
            </w:r>
          </w:p>
        </w:tc>
      </w:tr>
      <w:tr>
        <w:tc>
          <w:tcPr>
            <w:tcW w:type="dxa" w:w="3120"/>
          </w:tcPr>
          <w:p>
            <w:r/>
            <w:r>
              <w:rPr>
                <w:rFonts w:ascii="Inter" w:hAnsi="Inter" w:cs="Inter"/>
                <w:b w:val="0"/>
                <w:i w:val="0"/>
                <w:color w:val="2D2D2D"/>
                <w:sz w:val="19"/>
              </w:rPr>
              <w:t>BOL</w:t>
            </w:r>
          </w:p>
        </w:tc>
        <w:tc>
          <w:tcPr>
            <w:tcW w:type="dxa" w:w="3120"/>
          </w:tcPr>
          <w:p>
            <w:r/>
            <w:r>
              <w:rPr>
                <w:rFonts w:ascii="Inter" w:hAnsi="Inter" w:cs="Inter"/>
                <w:b w:val="0"/>
                <w:i w:val="0"/>
                <w:color w:val="2D2D2D"/>
                <w:sz w:val="19"/>
              </w:rPr>
              <w:t>Bangsamoro Organic Law (Republic Act No. 11054)</w:t>
            </w:r>
          </w:p>
        </w:tc>
        <w:tc>
          <w:tcPr>
            <w:tcW w:type="dxa" w:w="3120"/>
          </w:tcPr>
          <w:p>
            <w:r/>
            <w:r>
              <w:rPr>
                <w:rFonts w:ascii="Inter" w:hAnsi="Inter" w:cs="Inter"/>
                <w:b w:val="0"/>
                <w:i w:val="0"/>
                <w:color w:val="2D2D2D"/>
                <w:sz w:val="19"/>
              </w:rPr>
              <w:t>The constitutional organic law that created the Bangsamoro Autonomous Region, defined its powers, established the parliamentary form of government, and granted authority over 55 enumerated areas including administration, budgeting, health, education, and environment.</w:t>
            </w:r>
          </w:p>
        </w:tc>
      </w:tr>
      <w:tr>
        <w:tc>
          <w:tcPr>
            <w:tcW w:type="dxa" w:w="3120"/>
            <w:shd w:fill="F0F3F6"/>
          </w:tcPr>
          <w:p>
            <w:r/>
            <w:r>
              <w:rPr>
                <w:rFonts w:ascii="Inter" w:hAnsi="Inter" w:cs="Inter"/>
                <w:b w:val="0"/>
                <w:i w:val="0"/>
                <w:color w:val="2D2D2D"/>
                <w:sz w:val="19"/>
              </w:rPr>
              <w:t>BPDA</w:t>
            </w:r>
          </w:p>
        </w:tc>
        <w:tc>
          <w:tcPr>
            <w:tcW w:type="dxa" w:w="3120"/>
            <w:shd w:fill="F0F3F6"/>
          </w:tcPr>
          <w:p>
            <w:r/>
            <w:r>
              <w:rPr>
                <w:rFonts w:ascii="Inter" w:hAnsi="Inter" w:cs="Inter"/>
                <w:b w:val="0"/>
                <w:i w:val="0"/>
                <w:color w:val="2D2D2D"/>
                <w:sz w:val="19"/>
              </w:rPr>
              <w:t>Bangsamoro Planning and Development Authority</w:t>
            </w:r>
          </w:p>
        </w:tc>
        <w:tc>
          <w:tcPr>
            <w:tcW w:type="dxa" w:w="3120"/>
            <w:shd w:fill="F0F3F6"/>
          </w:tcPr>
          <w:p>
            <w:r/>
            <w:r>
              <w:rPr>
                <w:rFonts w:ascii="Inter" w:hAnsi="Inter" w:cs="Inter"/>
                <w:b w:val="0"/>
                <w:i w:val="0"/>
                <w:color w:val="2D2D2D"/>
                <w:sz w:val="19"/>
              </w:rPr>
              <w:t>The technical secretariat to the BEDC and the central planning, coordinating, and monitoring agency for all BARMM development plans, policies, programs, and projects; serves as the primary reviewer of MOA strategic plans.</w:t>
            </w:r>
          </w:p>
        </w:tc>
      </w:tr>
      <w:tr>
        <w:tc>
          <w:tcPr>
            <w:tcW w:type="dxa" w:w="3120"/>
          </w:tcPr>
          <w:p>
            <w:r/>
            <w:r>
              <w:rPr>
                <w:rFonts w:ascii="Inter" w:hAnsi="Inter" w:cs="Inter"/>
                <w:b w:val="0"/>
                <w:i w:val="0"/>
                <w:color w:val="2D2D2D"/>
                <w:sz w:val="19"/>
              </w:rPr>
              <w:t>BTA</w:t>
            </w:r>
          </w:p>
        </w:tc>
        <w:tc>
          <w:tcPr>
            <w:tcW w:type="dxa" w:w="3120"/>
          </w:tcPr>
          <w:p>
            <w:r/>
            <w:r>
              <w:rPr>
                <w:rFonts w:ascii="Inter" w:hAnsi="Inter" w:cs="Inter"/>
                <w:b w:val="0"/>
                <w:i w:val="0"/>
                <w:color w:val="2D2D2D"/>
                <w:sz w:val="19"/>
              </w:rPr>
              <w:t>Bangsamoro Transition Authority</w:t>
            </w:r>
          </w:p>
        </w:tc>
        <w:tc>
          <w:tcPr>
            <w:tcW w:type="dxa" w:w="3120"/>
          </w:tcPr>
          <w:p>
            <w:r/>
            <w:r>
              <w:rPr>
                <w:rFonts w:ascii="Inter" w:hAnsi="Inter" w:cs="Inter"/>
                <w:b w:val="0"/>
                <w:i w:val="0"/>
                <w:color w:val="2D2D2D"/>
                <w:sz w:val="19"/>
              </w:rPr>
              <w:t>The interim parliament (2019-2025) established under the BOL to transition the BARMM from provisional to permanent governance structures; enacted foundational laws and conducted the 2025 elections for the permanent Bangsamoro Parliament.</w:t>
            </w:r>
          </w:p>
        </w:tc>
      </w:tr>
      <w:tr>
        <w:tc>
          <w:tcPr>
            <w:tcW w:type="dxa" w:w="3120"/>
            <w:shd w:fill="F0F3F6"/>
          </w:tcPr>
          <w:p>
            <w:r/>
            <w:r>
              <w:rPr>
                <w:rFonts w:ascii="Inter" w:hAnsi="Inter" w:cs="Inter"/>
                <w:b w:val="0"/>
                <w:i w:val="0"/>
                <w:color w:val="2D2D2D"/>
                <w:sz w:val="19"/>
              </w:rPr>
              <w:t>CO</w:t>
            </w:r>
          </w:p>
        </w:tc>
        <w:tc>
          <w:tcPr>
            <w:tcW w:type="dxa" w:w="3120"/>
            <w:shd w:fill="F0F3F6"/>
          </w:tcPr>
          <w:p>
            <w:r/>
            <w:r>
              <w:rPr>
                <w:rFonts w:ascii="Inter" w:hAnsi="Inter" w:cs="Inter"/>
                <w:b w:val="0"/>
                <w:i w:val="0"/>
                <w:color w:val="2D2D2D"/>
                <w:sz w:val="19"/>
              </w:rPr>
              <w:t>Capital Outlay</w:t>
            </w:r>
          </w:p>
        </w:tc>
        <w:tc>
          <w:tcPr>
            <w:tcW w:type="dxa" w:w="3120"/>
            <w:shd w:fill="F0F3F6"/>
          </w:tcPr>
          <w:p>
            <w:r/>
            <w:r>
              <w:rPr>
                <w:rFonts w:ascii="Inter" w:hAnsi="Inter" w:cs="Inter"/>
                <w:b w:val="0"/>
                <w:i w:val="0"/>
                <w:color w:val="2D2D2D"/>
                <w:sz w:val="19"/>
              </w:rPr>
              <w:t>The budget expense class for procurement of equipment, infrastructure, and assets with a useful life exceeding one year; tracked separately from operational expenses under the Unified Accounts Code Structure (UACS).</w:t>
            </w:r>
          </w:p>
        </w:tc>
      </w:tr>
      <w:tr>
        <w:tc>
          <w:tcPr>
            <w:tcW w:type="dxa" w:w="3120"/>
          </w:tcPr>
          <w:p>
            <w:r/>
            <w:r>
              <w:rPr>
                <w:rFonts w:ascii="Inter" w:hAnsi="Inter" w:cs="Inter"/>
                <w:b w:val="0"/>
                <w:i w:val="0"/>
                <w:color w:val="2D2D2D"/>
                <w:sz w:val="19"/>
              </w:rPr>
              <w:t>CSO</w:t>
            </w:r>
          </w:p>
        </w:tc>
        <w:tc>
          <w:tcPr>
            <w:tcW w:type="dxa" w:w="3120"/>
          </w:tcPr>
          <w:p>
            <w:r/>
            <w:r>
              <w:rPr>
                <w:rFonts w:ascii="Inter" w:hAnsi="Inter" w:cs="Inter"/>
                <w:b w:val="0"/>
                <w:i w:val="0"/>
                <w:color w:val="2D2D2D"/>
                <w:sz w:val="19"/>
              </w:rPr>
              <w:t>Civil Society Organization</w:t>
            </w:r>
          </w:p>
        </w:tc>
        <w:tc>
          <w:tcPr>
            <w:tcW w:type="dxa" w:w="3120"/>
          </w:tcPr>
          <w:p>
            <w:r/>
            <w:r>
              <w:rPr>
                <w:rFonts w:ascii="Inter" w:hAnsi="Inter" w:cs="Inter"/>
                <w:b w:val="0"/>
                <w:i w:val="0"/>
                <w:color w:val="2D2D2D"/>
                <w:sz w:val="19"/>
              </w:rPr>
              <w:t>A non-governmental organization, community-based organization, faith-based group, or professional association that represents constituencies and stakeholder interests outside government; engaged in MOA planning through stakeholder analysis and consultation processes.</w:t>
            </w:r>
          </w:p>
        </w:tc>
      </w:tr>
      <w:tr>
        <w:tc>
          <w:tcPr>
            <w:tcW w:type="dxa" w:w="3120"/>
            <w:shd w:fill="F0F3F6"/>
          </w:tcPr>
          <w:p>
            <w:r/>
            <w:r>
              <w:rPr>
                <w:rFonts w:ascii="Inter" w:hAnsi="Inter" w:cs="Inter"/>
                <w:b w:val="0"/>
                <w:i w:val="0"/>
                <w:color w:val="2D2D2D"/>
                <w:sz w:val="19"/>
              </w:rPr>
              <w:t>FTE</w:t>
            </w:r>
          </w:p>
        </w:tc>
        <w:tc>
          <w:tcPr>
            <w:tcW w:type="dxa" w:w="3120"/>
            <w:shd w:fill="F0F3F6"/>
          </w:tcPr>
          <w:p>
            <w:r/>
            <w:r>
              <w:rPr>
                <w:rFonts w:ascii="Inter" w:hAnsi="Inter" w:cs="Inter"/>
                <w:b w:val="0"/>
                <w:i w:val="0"/>
                <w:color w:val="2D2D2D"/>
                <w:sz w:val="19"/>
              </w:rPr>
              <w:t>Full-Time Equivalent</w:t>
            </w:r>
          </w:p>
        </w:tc>
        <w:tc>
          <w:tcPr>
            <w:tcW w:type="dxa" w:w="3120"/>
            <w:shd w:fill="F0F3F6"/>
          </w:tcPr>
          <w:p>
            <w:r/>
            <w:r>
              <w:rPr>
                <w:rFonts w:ascii="Inter" w:hAnsi="Inter" w:cs="Inter"/>
                <w:b w:val="0"/>
                <w:i w:val="0"/>
                <w:color w:val="2D2D2D"/>
                <w:sz w:val="19"/>
              </w:rPr>
              <w:t>A unit of measurement representing one employee working at full capacity for one fiscal year; used in resource planning to calculate staffing requirements, salary allocations, and organizational plantilla compliance.</w:t>
            </w:r>
          </w:p>
        </w:tc>
      </w:tr>
      <w:tr>
        <w:tc>
          <w:tcPr>
            <w:tcW w:type="dxa" w:w="3120"/>
          </w:tcPr>
          <w:p>
            <w:r/>
            <w:r>
              <w:rPr>
                <w:rFonts w:ascii="Inter" w:hAnsi="Inter" w:cs="Inter"/>
                <w:b w:val="0"/>
                <w:i w:val="0"/>
                <w:color w:val="2D2D2D"/>
                <w:sz w:val="19"/>
              </w:rPr>
              <w:t>GAD</w:t>
            </w:r>
          </w:p>
        </w:tc>
        <w:tc>
          <w:tcPr>
            <w:tcW w:type="dxa" w:w="3120"/>
          </w:tcPr>
          <w:p>
            <w:r/>
            <w:r>
              <w:rPr>
                <w:rFonts w:ascii="Inter" w:hAnsi="Inter" w:cs="Inter"/>
                <w:b w:val="0"/>
                <w:i w:val="0"/>
                <w:color w:val="2D2D2D"/>
                <w:sz w:val="19"/>
              </w:rPr>
              <w:t>Gender and Development</w:t>
            </w:r>
          </w:p>
        </w:tc>
        <w:tc>
          <w:tcPr>
            <w:tcW w:type="dxa" w:w="3120"/>
          </w:tcPr>
          <w:p>
            <w:r/>
            <w:r>
              <w:rPr>
                <w:rFonts w:ascii="Inter" w:hAnsi="Inter" w:cs="Inter"/>
                <w:b w:val="0"/>
                <w:i w:val="0"/>
                <w:color w:val="2D2D2D"/>
                <w:sz w:val="19"/>
              </w:rPr>
              <w:t>The BARMM's mainstreaming approach to ensure that all MOA programs, policies, and budgets explicitly address gender equality, women's empowerment, and social inclusion; requires at least 5% budget allocation for gender-responsive programs.</w:t>
            </w:r>
          </w:p>
        </w:tc>
      </w:tr>
      <w:tr>
        <w:tc>
          <w:tcPr>
            <w:tcW w:type="dxa" w:w="3120"/>
            <w:shd w:fill="F0F3F6"/>
          </w:tcPr>
          <w:p>
            <w:r/>
            <w:r>
              <w:rPr>
                <w:rFonts w:ascii="Inter" w:hAnsi="Inter" w:cs="Inter"/>
                <w:b w:val="0"/>
                <w:i w:val="0"/>
                <w:color w:val="2D2D2D"/>
                <w:sz w:val="19"/>
              </w:rPr>
              <w:t>LGU</w:t>
            </w:r>
          </w:p>
        </w:tc>
        <w:tc>
          <w:tcPr>
            <w:tcW w:type="dxa" w:w="3120"/>
            <w:shd w:fill="F0F3F6"/>
          </w:tcPr>
          <w:p>
            <w:r/>
            <w:r>
              <w:rPr>
                <w:rFonts w:ascii="Inter" w:hAnsi="Inter" w:cs="Inter"/>
                <w:b w:val="0"/>
                <w:i w:val="0"/>
                <w:color w:val="2D2D2D"/>
                <w:sz w:val="19"/>
              </w:rPr>
              <w:t>Local Government Unit</w:t>
            </w:r>
          </w:p>
        </w:tc>
        <w:tc>
          <w:tcPr>
            <w:tcW w:type="dxa" w:w="3120"/>
            <w:shd w:fill="F0F3F6"/>
          </w:tcPr>
          <w:p>
            <w:r/>
            <w:r>
              <w:rPr>
                <w:rFonts w:ascii="Inter" w:hAnsi="Inter" w:cs="Inter"/>
                <w:b w:val="0"/>
                <w:i w:val="0"/>
                <w:color w:val="2D2D2D"/>
                <w:sz w:val="19"/>
              </w:rPr>
              <w:t>A municipality, city, or barangay within the BARMM that implements regional and local development programs; significant stakeholder and implementation partner in MOA strategic plans for service delivery and community-level execution.</w:t>
            </w:r>
          </w:p>
        </w:tc>
      </w:tr>
      <w:tr>
        <w:tc>
          <w:tcPr>
            <w:tcW w:type="dxa" w:w="3120"/>
          </w:tcPr>
          <w:p>
            <w:r/>
            <w:r>
              <w:rPr>
                <w:rFonts w:ascii="Inter" w:hAnsi="Inter" w:cs="Inter"/>
                <w:b w:val="0"/>
                <w:i w:val="0"/>
                <w:color w:val="2D2D2D"/>
                <w:sz w:val="19"/>
              </w:rPr>
              <w:t>Legal Mandate Matrix</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A planning tool that systematically maps each functional area or program of an MOA to its legal basis across the 7-tier BARMM legal hierarchy (Constitution, BOL, Administrative Code, BAAs, national laws, executive orders, jurisprudence).</w:t>
            </w:r>
          </w:p>
        </w:tc>
      </w:tr>
      <w:tr>
        <w:tc>
          <w:tcPr>
            <w:tcW w:type="dxa" w:w="3120"/>
            <w:shd w:fill="F0F3F6"/>
          </w:tcPr>
          <w:p>
            <w:r/>
            <w:r>
              <w:rPr>
                <w:rFonts w:ascii="Inter" w:hAnsi="Inter" w:cs="Inter"/>
                <w:b w:val="0"/>
                <w:i w:val="0"/>
                <w:color w:val="2D2D2D"/>
                <w:sz w:val="19"/>
              </w:rPr>
              <w:t>M&amp;E</w:t>
            </w:r>
          </w:p>
        </w:tc>
        <w:tc>
          <w:tcPr>
            <w:tcW w:type="dxa" w:w="3120"/>
            <w:shd w:fill="F0F3F6"/>
          </w:tcPr>
          <w:p>
            <w:r/>
            <w:r>
              <w:rPr>
                <w:rFonts w:ascii="Inter" w:hAnsi="Inter" w:cs="Inter"/>
                <w:b w:val="0"/>
                <w:i w:val="0"/>
                <w:color w:val="2D2D2D"/>
                <w:sz w:val="19"/>
              </w:rPr>
              <w:t>Monitoring and Evaluation</w:t>
            </w:r>
          </w:p>
        </w:tc>
        <w:tc>
          <w:tcPr>
            <w:tcW w:type="dxa" w:w="3120"/>
            <w:shd w:fill="F0F3F6"/>
          </w:tcPr>
          <w:p>
            <w:r/>
            <w:r>
              <w:rPr>
                <w:rFonts w:ascii="Inter" w:hAnsi="Inter" w:cs="Inter"/>
                <w:b w:val="0"/>
                <w:i w:val="0"/>
                <w:color w:val="2D2D2D"/>
                <w:sz w:val="19"/>
              </w:rPr>
              <w:t>The systematic process of tracking program implementation progress (monitoring) and assessing whether programs achieved their intended results and impact (evaluation); distinct from routine reporting and essential to Results-Based M&amp;E.</w:t>
            </w:r>
          </w:p>
        </w:tc>
      </w:tr>
      <w:tr>
        <w:tc>
          <w:tcPr>
            <w:tcW w:type="dxa" w:w="3120"/>
          </w:tcPr>
          <w:p>
            <w:r/>
            <w:r>
              <w:rPr>
                <w:rFonts w:ascii="Inter" w:hAnsi="Inter" w:cs="Inter"/>
                <w:b w:val="0"/>
                <w:i w:val="0"/>
                <w:color w:val="2D2D2D"/>
                <w:sz w:val="19"/>
              </w:rPr>
              <w:t>MFBM</w:t>
            </w:r>
          </w:p>
        </w:tc>
        <w:tc>
          <w:tcPr>
            <w:tcW w:type="dxa" w:w="3120"/>
          </w:tcPr>
          <w:p>
            <w:r/>
            <w:r>
              <w:rPr>
                <w:rFonts w:ascii="Inter" w:hAnsi="Inter" w:cs="Inter"/>
                <w:b w:val="0"/>
                <w:i w:val="0"/>
                <w:color w:val="2D2D2D"/>
                <w:sz w:val="19"/>
              </w:rPr>
              <w:t>Ministry of Finance, Budget and Management</w:t>
            </w:r>
          </w:p>
        </w:tc>
        <w:tc>
          <w:tcPr>
            <w:tcW w:type="dxa" w:w="3120"/>
          </w:tcPr>
          <w:p>
            <w:r/>
            <w:r>
              <w:rPr>
                <w:rFonts w:ascii="Inter" w:hAnsi="Inter" w:cs="Inter"/>
                <w:b w:val="0"/>
                <w:i w:val="0"/>
                <w:color w:val="2D2D2D"/>
                <w:sz w:val="19"/>
              </w:rPr>
              <w:t>The MOA responsible for preparing the General Appropriations Act, managing public funds, managing state finances, and evaluating whether MOA budget proposals align with strategic plans and fiscal priorities.</w:t>
            </w:r>
          </w:p>
        </w:tc>
      </w:tr>
      <w:tr>
        <w:tc>
          <w:tcPr>
            <w:tcW w:type="dxa" w:w="3120"/>
            <w:shd w:fill="F0F3F6"/>
          </w:tcPr>
          <w:p>
            <w:r/>
            <w:r>
              <w:rPr>
                <w:rFonts w:ascii="Inter" w:hAnsi="Inter" w:cs="Inter"/>
                <w:b w:val="0"/>
                <w:i w:val="0"/>
                <w:color w:val="2D2D2D"/>
                <w:sz w:val="19"/>
              </w:rPr>
              <w:t>MOA</w:t>
            </w:r>
          </w:p>
        </w:tc>
        <w:tc>
          <w:tcPr>
            <w:tcW w:type="dxa" w:w="3120"/>
            <w:shd w:fill="F0F3F6"/>
          </w:tcPr>
          <w:p>
            <w:r/>
            <w:r>
              <w:rPr>
                <w:rFonts w:ascii="Inter" w:hAnsi="Inter" w:cs="Inter"/>
                <w:b w:val="0"/>
                <w:i w:val="0"/>
                <w:color w:val="2D2D2D"/>
                <w:sz w:val="19"/>
              </w:rPr>
              <w:t>Ministry, Office, or Agency</w:t>
            </w:r>
          </w:p>
        </w:tc>
        <w:tc>
          <w:tcPr>
            <w:tcW w:type="dxa" w:w="3120"/>
            <w:shd w:fill="F0F3F6"/>
          </w:tcPr>
          <w:p>
            <w:r/>
            <w:r>
              <w:rPr>
                <w:rFonts w:ascii="Inter" w:hAnsi="Inter" w:cs="Inter"/>
                <w:b w:val="0"/>
                <w:i w:val="0"/>
                <w:color w:val="2D2D2D"/>
                <w:sz w:val="19"/>
              </w:rPr>
              <w:t>Any organizational unit of the Bangsamoro Government that exercises defined mandate, operates a budget, and files a strategic plan; includes 15 primary ministries, independent offices, attached agencies, and autonomous bodies.</w:t>
            </w:r>
          </w:p>
        </w:tc>
      </w:tr>
      <w:tr>
        <w:tc>
          <w:tcPr>
            <w:tcW w:type="dxa" w:w="3120"/>
          </w:tcPr>
          <w:p>
            <w:r/>
            <w:r>
              <w:rPr>
                <w:rFonts w:ascii="Inter" w:hAnsi="Inter" w:cs="Inter"/>
                <w:b w:val="0"/>
                <w:i w:val="0"/>
                <w:color w:val="2D2D2D"/>
                <w:sz w:val="19"/>
              </w:rPr>
              <w:t>MOOE</w:t>
            </w:r>
          </w:p>
        </w:tc>
        <w:tc>
          <w:tcPr>
            <w:tcW w:type="dxa" w:w="3120"/>
          </w:tcPr>
          <w:p>
            <w:r/>
            <w:r>
              <w:rPr>
                <w:rFonts w:ascii="Inter" w:hAnsi="Inter" w:cs="Inter"/>
                <w:b w:val="0"/>
                <w:i w:val="0"/>
                <w:color w:val="2D2D2D"/>
                <w:sz w:val="19"/>
              </w:rPr>
              <w:t>Maintenance and Other Operating Expenses</w:t>
            </w:r>
          </w:p>
        </w:tc>
        <w:tc>
          <w:tcPr>
            <w:tcW w:type="dxa" w:w="3120"/>
          </w:tcPr>
          <w:p>
            <w:r/>
            <w:r>
              <w:rPr>
                <w:rFonts w:ascii="Inter" w:hAnsi="Inter" w:cs="Inter"/>
                <w:b w:val="0"/>
                <w:i w:val="0"/>
                <w:color w:val="2D2D2D"/>
                <w:sz w:val="19"/>
              </w:rPr>
              <w:t>The budget expense class for routine operational costs such as utilities, repairs, supplies, contracted services, and travel; does not include personnel salaries or capital purchases.</w:t>
            </w:r>
          </w:p>
        </w:tc>
      </w:tr>
      <w:tr>
        <w:tc>
          <w:tcPr>
            <w:tcW w:type="dxa" w:w="3120"/>
            <w:shd w:fill="F0F3F6"/>
          </w:tcPr>
          <w:p>
            <w:r/>
            <w:r>
              <w:rPr>
                <w:rFonts w:ascii="Inter" w:hAnsi="Inter" w:cs="Inter"/>
                <w:b w:val="0"/>
                <w:i w:val="0"/>
                <w:color w:val="2D2D2D"/>
                <w:sz w:val="19"/>
              </w:rPr>
              <w:t>OCM</w:t>
            </w:r>
          </w:p>
        </w:tc>
        <w:tc>
          <w:tcPr>
            <w:tcW w:type="dxa" w:w="3120"/>
            <w:shd w:fill="F0F3F6"/>
          </w:tcPr>
          <w:p>
            <w:r/>
            <w:r>
              <w:rPr>
                <w:rFonts w:ascii="Inter" w:hAnsi="Inter" w:cs="Inter"/>
                <w:b w:val="0"/>
                <w:i w:val="0"/>
                <w:color w:val="2D2D2D"/>
                <w:sz w:val="19"/>
              </w:rPr>
              <w:t>Office of the Chief Minister</w:t>
            </w:r>
          </w:p>
        </w:tc>
        <w:tc>
          <w:tcPr>
            <w:tcW w:type="dxa" w:w="3120"/>
            <w:shd w:fill="F0F3F6"/>
          </w:tcPr>
          <w:p>
            <w:r/>
            <w:r>
              <w:rPr>
                <w:rFonts w:ascii="Inter" w:hAnsi="Inter" w:cs="Inter"/>
                <w:b w:val="0"/>
                <w:i w:val="0"/>
                <w:color w:val="2D2D2D"/>
                <w:sz w:val="19"/>
              </w:rPr>
              <w:t>The principal staff office of the Chief Minister responsible for policy coordination, inter-agency liaison, special projects, and overall executive administration of the Bangsamoro Government.</w:t>
            </w:r>
          </w:p>
        </w:tc>
      </w:tr>
      <w:tr>
        <w:tc>
          <w:tcPr>
            <w:tcW w:type="dxa" w:w="3120"/>
          </w:tcPr>
          <w:p>
            <w:r/>
            <w:r>
              <w:rPr>
                <w:rFonts w:ascii="Inter" w:hAnsi="Inter" w:cs="Inter"/>
                <w:b w:val="0"/>
                <w:i w:val="0"/>
                <w:color w:val="2D2D2D"/>
                <w:sz w:val="19"/>
              </w:rPr>
              <w:t>Outcome</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The medium-term result of a program or project, typically achieved within 1-3 years, representing a change in knowledge, attitude, behavior, practice, or condition among target beneficiaries; sits between outputs and impact in the Results-Based M&amp;E framework.</w:t>
            </w:r>
          </w:p>
        </w:tc>
      </w:tr>
      <w:tr>
        <w:tc>
          <w:tcPr>
            <w:tcW w:type="dxa" w:w="3120"/>
            <w:shd w:fill="F0F3F6"/>
          </w:tcPr>
          <w:p>
            <w:r/>
            <w:r>
              <w:rPr>
                <w:rFonts w:ascii="Inter" w:hAnsi="Inter" w:cs="Inter"/>
                <w:b w:val="0"/>
                <w:i w:val="0"/>
                <w:color w:val="2D2D2D"/>
                <w:sz w:val="19"/>
              </w:rPr>
              <w:t>Output</w:t>
            </w:r>
          </w:p>
        </w:tc>
        <w:tc>
          <w:tcPr>
            <w:tcW w:type="dxa" w:w="3120"/>
            <w:shd w:fill="F0F3F6"/>
          </w:tcPr>
          <w:p>
            <w:r/>
            <w:r>
              <w:rPr>
                <w:rFonts w:ascii="Inter" w:hAnsi="Inter" w:cs="Inter"/>
                <w:b w:val="0"/>
                <w:i w:val="0"/>
                <w:color w:val="2D2D2D"/>
                <w:sz w:val="19"/>
              </w:rPr>
              <w:t>—</w:t>
            </w:r>
          </w:p>
        </w:tc>
        <w:tc>
          <w:tcPr>
            <w:tcW w:type="dxa" w:w="3120"/>
            <w:shd w:fill="F0F3F6"/>
          </w:tcPr>
          <w:p>
            <w:r/>
            <w:r>
              <w:rPr>
                <w:rFonts w:ascii="Inter" w:hAnsi="Inter" w:cs="Inter"/>
                <w:b w:val="0"/>
                <w:i w:val="0"/>
                <w:color w:val="2D2D2D"/>
                <w:sz w:val="19"/>
              </w:rPr>
              <w:t>The immediate, tangible product or service delivered through a program or project (e.g., number of training participants, curriculum developed, health clinics established); measured at the completion of implementation.</w:t>
            </w:r>
          </w:p>
        </w:tc>
      </w:tr>
      <w:tr>
        <w:tc>
          <w:tcPr>
            <w:tcW w:type="dxa" w:w="3120"/>
          </w:tcPr>
          <w:p>
            <w:r/>
            <w:r>
              <w:rPr>
                <w:rFonts w:ascii="Inter" w:hAnsi="Inter" w:cs="Inter"/>
                <w:b w:val="0"/>
                <w:i w:val="0"/>
                <w:color w:val="2D2D2D"/>
                <w:sz w:val="19"/>
              </w:rPr>
              <w:t>Plantilla</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The official staffing pattern and organizational structure of an MOA, specifying the number and position titles authorized by law; determines salary obligations, FTE calculations, and human resource planning constraints.</w:t>
            </w:r>
          </w:p>
        </w:tc>
      </w:tr>
      <w:tr>
        <w:tc>
          <w:tcPr>
            <w:tcW w:type="dxa" w:w="3120"/>
            <w:shd w:fill="F0F3F6"/>
          </w:tcPr>
          <w:p>
            <w:r/>
            <w:r>
              <w:rPr>
                <w:rFonts w:ascii="Inter" w:hAnsi="Inter" w:cs="Inter"/>
                <w:b w:val="0"/>
                <w:i w:val="0"/>
                <w:color w:val="2D2D2D"/>
                <w:sz w:val="19"/>
              </w:rPr>
              <w:t>PPA</w:t>
            </w:r>
          </w:p>
        </w:tc>
        <w:tc>
          <w:tcPr>
            <w:tcW w:type="dxa" w:w="3120"/>
            <w:shd w:fill="F0F3F6"/>
          </w:tcPr>
          <w:p>
            <w:r/>
            <w:r>
              <w:rPr>
                <w:rFonts w:ascii="Inter" w:hAnsi="Inter" w:cs="Inter"/>
                <w:b w:val="0"/>
                <w:i w:val="0"/>
                <w:color w:val="2D2D2D"/>
                <w:sz w:val="19"/>
              </w:rPr>
              <w:t>Program, Project, Activity</w:t>
            </w:r>
          </w:p>
        </w:tc>
        <w:tc>
          <w:tcPr>
            <w:tcW w:type="dxa" w:w="3120"/>
            <w:shd w:fill="F0F3F6"/>
          </w:tcPr>
          <w:p>
            <w:r/>
            <w:r>
              <w:rPr>
                <w:rFonts w:ascii="Inter" w:hAnsi="Inter" w:cs="Inter"/>
                <w:b w:val="0"/>
                <w:i w:val="0"/>
                <w:color w:val="2D2D2D"/>
                <w:sz w:val="19"/>
              </w:rPr>
              <w:t>The three-level classification of all MOA work: Programs are ongoing sectoral initiatives (e.g., vocational training), Projects are time-bounded deliverables with defined output (e.g., construction of a school), and Activities are routine tasks supporting program/project delivery.</w:t>
            </w:r>
          </w:p>
        </w:tc>
      </w:tr>
      <w:tr>
        <w:tc>
          <w:tcPr>
            <w:tcW w:type="dxa" w:w="3120"/>
          </w:tcPr>
          <w:p>
            <w:r/>
            <w:r>
              <w:rPr>
                <w:rFonts w:ascii="Inter" w:hAnsi="Inter" w:cs="Inter"/>
                <w:b w:val="0"/>
                <w:i w:val="0"/>
                <w:color w:val="2D2D2D"/>
                <w:sz w:val="19"/>
              </w:rPr>
              <w:t>PS</w:t>
            </w:r>
          </w:p>
        </w:tc>
        <w:tc>
          <w:tcPr>
            <w:tcW w:type="dxa" w:w="3120"/>
          </w:tcPr>
          <w:p>
            <w:r/>
            <w:r>
              <w:rPr>
                <w:rFonts w:ascii="Inter" w:hAnsi="Inter" w:cs="Inter"/>
                <w:b w:val="0"/>
                <w:i w:val="0"/>
                <w:color w:val="2D2D2D"/>
                <w:sz w:val="19"/>
              </w:rPr>
              <w:t>Personal Services</w:t>
            </w:r>
          </w:p>
        </w:tc>
        <w:tc>
          <w:tcPr>
            <w:tcW w:type="dxa" w:w="3120"/>
          </w:tcPr>
          <w:p>
            <w:r/>
            <w:r>
              <w:rPr>
                <w:rFonts w:ascii="Inter" w:hAnsi="Inter" w:cs="Inter"/>
                <w:b w:val="0"/>
                <w:i w:val="0"/>
                <w:color w:val="2D2D2D"/>
                <w:sz w:val="19"/>
              </w:rPr>
              <w:t>The budget expense class for employee salaries, wages, benefits, and compensation; the largest operating cost for most MOAs and subject to plantilla authorization.</w:t>
            </w:r>
          </w:p>
        </w:tc>
      </w:tr>
      <w:tr>
        <w:tc>
          <w:tcPr>
            <w:tcW w:type="dxa" w:w="3120"/>
            <w:shd w:fill="F0F3F6"/>
          </w:tcPr>
          <w:p>
            <w:r/>
            <w:r>
              <w:rPr>
                <w:rFonts w:ascii="Inter" w:hAnsi="Inter" w:cs="Inter"/>
                <w:b w:val="0"/>
                <w:i w:val="0"/>
                <w:color w:val="2D2D2D"/>
                <w:sz w:val="19"/>
              </w:rPr>
              <w:t>RBME</w:t>
            </w:r>
          </w:p>
        </w:tc>
        <w:tc>
          <w:tcPr>
            <w:tcW w:type="dxa" w:w="3120"/>
            <w:shd w:fill="F0F3F6"/>
          </w:tcPr>
          <w:p>
            <w:r/>
            <w:r>
              <w:rPr>
                <w:rFonts w:ascii="Inter" w:hAnsi="Inter" w:cs="Inter"/>
                <w:b w:val="0"/>
                <w:i w:val="0"/>
                <w:color w:val="2D2D2D"/>
                <w:sz w:val="19"/>
              </w:rPr>
              <w:t>Results-Based Monitoring and Evaluation</w:t>
            </w:r>
          </w:p>
        </w:tc>
        <w:tc>
          <w:tcPr>
            <w:tcW w:type="dxa" w:w="3120"/>
            <w:shd w:fill="F0F3F6"/>
          </w:tcPr>
          <w:p>
            <w:r/>
            <w:r>
              <w:rPr>
                <w:rFonts w:ascii="Inter" w:hAnsi="Inter" w:cs="Inter"/>
                <w:b w:val="0"/>
                <w:i w:val="0"/>
                <w:color w:val="2D2D2D"/>
                <w:sz w:val="19"/>
              </w:rPr>
              <w:t>A systematic approach to monitoring and evaluation that tracks inputs, processes, outputs, outcomes, and impact using specific performance indicators aligned with the Theory of Change; BARMM's required standard for MOA performance measurement.</w:t>
            </w:r>
          </w:p>
        </w:tc>
      </w:tr>
      <w:tr>
        <w:tc>
          <w:tcPr>
            <w:tcW w:type="dxa" w:w="3120"/>
          </w:tcPr>
          <w:p>
            <w:r/>
            <w:r>
              <w:rPr>
                <w:rFonts w:ascii="Inter" w:hAnsi="Inter" w:cs="Inter"/>
                <w:b w:val="0"/>
                <w:i w:val="0"/>
                <w:color w:val="2D2D2D"/>
                <w:sz w:val="19"/>
              </w:rPr>
              <w:t>SMART</w:t>
            </w:r>
          </w:p>
        </w:tc>
        <w:tc>
          <w:tcPr>
            <w:tcW w:type="dxa" w:w="3120"/>
          </w:tcPr>
          <w:p>
            <w:r/>
            <w:r>
              <w:rPr>
                <w:rFonts w:ascii="Inter" w:hAnsi="Inter" w:cs="Inter"/>
                <w:b w:val="0"/>
                <w:i w:val="0"/>
                <w:color w:val="2D2D2D"/>
                <w:sz w:val="19"/>
              </w:rPr>
              <w:t>Specific, Measurable, Achievable, Relevant, Time-bound</w:t>
            </w:r>
          </w:p>
        </w:tc>
        <w:tc>
          <w:tcPr>
            <w:tcW w:type="dxa" w:w="3120"/>
          </w:tcPr>
          <w:p>
            <w:r/>
            <w:r>
              <w:rPr>
                <w:rFonts w:ascii="Inter" w:hAnsi="Inter" w:cs="Inter"/>
                <w:b w:val="0"/>
                <w:i w:val="0"/>
                <w:color w:val="2D2D2D"/>
                <w:sz w:val="19"/>
              </w:rPr>
              <w:t>The criteria for designing strategic objectives and performance targets; Specific (clear and unambiguous), Measurable (quantifiable), Achievable (realistic), Relevant (aligned with MOA mandate and BDP), and Time-bound (with a defined deadline).</w:t>
            </w:r>
          </w:p>
        </w:tc>
      </w:tr>
      <w:tr>
        <w:tc>
          <w:tcPr>
            <w:tcW w:type="dxa" w:w="3120"/>
            <w:shd w:fill="F0F3F6"/>
          </w:tcPr>
          <w:p>
            <w:r/>
            <w:r>
              <w:rPr>
                <w:rFonts w:ascii="Inter" w:hAnsi="Inter" w:cs="Inter"/>
                <w:b w:val="0"/>
                <w:i w:val="0"/>
                <w:color w:val="2D2D2D"/>
                <w:sz w:val="19"/>
              </w:rPr>
              <w:t>Stakeholder</w:t>
            </w:r>
          </w:p>
        </w:tc>
        <w:tc>
          <w:tcPr>
            <w:tcW w:type="dxa" w:w="3120"/>
            <w:shd w:fill="F0F3F6"/>
          </w:tcPr>
          <w:p>
            <w:r/>
            <w:r>
              <w:rPr>
                <w:rFonts w:ascii="Inter" w:hAnsi="Inter" w:cs="Inter"/>
                <w:b w:val="0"/>
                <w:i w:val="0"/>
                <w:color w:val="2D2D2D"/>
                <w:sz w:val="19"/>
              </w:rPr>
              <w:t>—</w:t>
            </w:r>
          </w:p>
        </w:tc>
        <w:tc>
          <w:tcPr>
            <w:tcW w:type="dxa" w:w="3120"/>
            <w:shd w:fill="F0F3F6"/>
          </w:tcPr>
          <w:p>
            <w:r/>
            <w:r>
              <w:rPr>
                <w:rFonts w:ascii="Inter" w:hAnsi="Inter" w:cs="Inter"/>
                <w:b w:val="0"/>
                <w:i w:val="0"/>
                <w:color w:val="2D2D2D"/>
                <w:sz w:val="19"/>
              </w:rPr>
              <w:t>Any individual, group, or organization with a legitimate interest in or power to influence an MOA's strategic plan; includes primary beneficiaries, implementing partners, oversight bodies, funding agencies, and affected communities.</w:t>
            </w:r>
          </w:p>
        </w:tc>
      </w:tr>
      <w:tr>
        <w:tc>
          <w:tcPr>
            <w:tcW w:type="dxa" w:w="3120"/>
          </w:tcPr>
          <w:p>
            <w:r/>
            <w:r>
              <w:rPr>
                <w:rFonts w:ascii="Inter" w:hAnsi="Inter" w:cs="Inter"/>
                <w:b w:val="0"/>
                <w:i w:val="0"/>
                <w:color w:val="2D2D2D"/>
                <w:sz w:val="19"/>
              </w:rPr>
              <w:t>Strategic Objective</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A SMART-formatted statement of what an MOA intends to achieve in support of its mission and in alignment with the BDP goals; sits at the midpoint between broad vision and specific programs, and is the foundation for Results-Based M&amp;E.</w:t>
            </w:r>
          </w:p>
        </w:tc>
      </w:tr>
      <w:tr>
        <w:tc>
          <w:tcPr>
            <w:tcW w:type="dxa" w:w="3120"/>
            <w:shd w:fill="F0F3F6"/>
          </w:tcPr>
          <w:p>
            <w:r/>
            <w:r>
              <w:rPr>
                <w:rFonts w:ascii="Inter" w:hAnsi="Inter" w:cs="Inter"/>
                <w:b w:val="0"/>
                <w:i w:val="0"/>
                <w:color w:val="2D2D2D"/>
                <w:sz w:val="19"/>
              </w:rPr>
              <w:t>SWOT</w:t>
            </w:r>
          </w:p>
        </w:tc>
        <w:tc>
          <w:tcPr>
            <w:tcW w:type="dxa" w:w="3120"/>
            <w:shd w:fill="F0F3F6"/>
          </w:tcPr>
          <w:p>
            <w:r/>
            <w:r>
              <w:rPr>
                <w:rFonts w:ascii="Inter" w:hAnsi="Inter" w:cs="Inter"/>
                <w:b w:val="0"/>
                <w:i w:val="0"/>
                <w:color w:val="2D2D2D"/>
                <w:sz w:val="19"/>
              </w:rPr>
              <w:t>Strengths, Weaknesses, Opportunities, Threats</w:t>
            </w:r>
          </w:p>
        </w:tc>
        <w:tc>
          <w:tcPr>
            <w:tcW w:type="dxa" w:w="3120"/>
            <w:shd w:fill="F0F3F6"/>
          </w:tcPr>
          <w:p>
            <w:r/>
            <w:r>
              <w:rPr>
                <w:rFonts w:ascii="Inter" w:hAnsi="Inter" w:cs="Inter"/>
                <w:b w:val="0"/>
                <w:i w:val="0"/>
                <w:color w:val="2D2D2D"/>
                <w:sz w:val="19"/>
              </w:rPr>
              <w:t>A strategic analysis tool used in Point 5 (Strategy Analysis) to assess the MOA's internal capacity (strengths, weaknesses) and external context (opportunities, threats); informs the definition of strategic objectives and competitive positioning.</w:t>
            </w:r>
          </w:p>
        </w:tc>
      </w:tr>
      <w:tr>
        <w:tc>
          <w:tcPr>
            <w:tcW w:type="dxa" w:w="3120"/>
          </w:tcPr>
          <w:p>
            <w:r/>
            <w:r>
              <w:rPr>
                <w:rFonts w:ascii="Inter" w:hAnsi="Inter" w:cs="Inter"/>
                <w:b w:val="0"/>
                <w:i w:val="0"/>
                <w:color w:val="2D2D2D"/>
                <w:sz w:val="19"/>
              </w:rPr>
              <w:t>Theory of Change</w:t>
            </w:r>
          </w:p>
        </w:tc>
        <w:tc>
          <w:tcPr>
            <w:tcW w:type="dxa" w:w="3120"/>
          </w:tcPr>
          <w:p>
            <w:r/>
            <w:r>
              <w:rPr>
                <w:rFonts w:ascii="Inter" w:hAnsi="Inter" w:cs="Inter"/>
                <w:b w:val="0"/>
                <w:i w:val="0"/>
                <w:color w:val="2D2D2D"/>
                <w:sz w:val="19"/>
              </w:rPr>
              <w:t>ToC</w:t>
            </w:r>
          </w:p>
        </w:tc>
        <w:tc>
          <w:tcPr>
            <w:tcW w:type="dxa" w:w="3120"/>
          </w:tcPr>
          <w:p>
            <w:r/>
            <w:r>
              <w:rPr>
                <w:rFonts w:ascii="Inter" w:hAnsi="Inter" w:cs="Inter"/>
                <w:b w:val="0"/>
                <w:i w:val="0"/>
                <w:color w:val="2D2D2D"/>
                <w:sz w:val="19"/>
              </w:rPr>
              <w:t>A visual and narrative model that explains the causal pathway by which an MOA's activities will produce outputs, then outcomes, then impact; explicitly states assumptions and preconditions at each stage; foundation for Results-Based M&amp;E design.</w:t>
            </w:r>
          </w:p>
        </w:tc>
      </w:tr>
      <w:tr>
        <w:tc>
          <w:tcPr>
            <w:tcW w:type="dxa" w:w="3120"/>
            <w:shd w:fill="F0F3F6"/>
          </w:tcPr>
          <w:p>
            <w:r/>
            <w:r>
              <w:rPr>
                <w:rFonts w:ascii="Inter" w:hAnsi="Inter" w:cs="Inter"/>
                <w:b w:val="0"/>
                <w:i w:val="0"/>
                <w:color w:val="2D2D2D"/>
                <w:sz w:val="19"/>
              </w:rPr>
              <w:t>UACS</w:t>
            </w:r>
          </w:p>
        </w:tc>
        <w:tc>
          <w:tcPr>
            <w:tcW w:type="dxa" w:w="3120"/>
            <w:shd w:fill="F0F3F6"/>
          </w:tcPr>
          <w:p>
            <w:r/>
            <w:r>
              <w:rPr>
                <w:rFonts w:ascii="Inter" w:hAnsi="Inter" w:cs="Inter"/>
                <w:b w:val="0"/>
                <w:i w:val="0"/>
                <w:color w:val="2D2D2D"/>
                <w:sz w:val="19"/>
              </w:rPr>
              <w:t>Unified Accounts Code Structure</w:t>
            </w:r>
          </w:p>
        </w:tc>
        <w:tc>
          <w:tcPr>
            <w:tcW w:type="dxa" w:w="3120"/>
            <w:shd w:fill="F0F3F6"/>
          </w:tcPr>
          <w:p>
            <w:r/>
            <w:r>
              <w:rPr>
                <w:rFonts w:ascii="Inter" w:hAnsi="Inter" w:cs="Inter"/>
                <w:b w:val="0"/>
                <w:i w:val="0"/>
                <w:color w:val="2D2D2D"/>
                <w:sz w:val="19"/>
              </w:rPr>
              <w:t>The standardized classification system for government budget accounts, used to code all MOA expenditures (Personal Services, MOOE, Capital Outlay) and link spending to specific programs, projects, and activities for audit and reporting.</w:t>
            </w:r>
          </w:p>
        </w:tc>
      </w:tr>
    </w:tbl>
    <w:p/>
    <w:p>
      <w:pPr>
        <w:pageBreakBefore/>
      </w:pPr>
    </w:p>
    <w:p>
      <w:pPr>
        <w:pStyle w:val="Heading1"/>
      </w:pPr>
      <w:r>
        <w:rPr>
          <w:rFonts w:ascii="Inter" w:hAnsi="Inter" w:cs="Inter"/>
          <w:b/>
          <w:i w:val="0"/>
          <w:color w:val="1B365D"/>
          <w:sz w:val="44"/>
        </w:rPr>
        <w:t>Appendices</w:t>
      </w:r>
    </w:p>
    <w:p>
      <w:pPr>
        <w:pStyle w:val="Heading2"/>
      </w:pPr>
      <w:r>
        <w:rPr>
          <w:rFonts w:ascii="Inter" w:hAnsi="Inter" w:cs="Inter"/>
          <w:b/>
          <w:i w:val="0"/>
          <w:color w:val="1B365D"/>
          <w:sz w:val="32"/>
        </w:rPr>
        <w:t>Appendix A: BARMM Legal Hierarchy Reference</w:t>
      </w:r>
    </w:p>
    <w:p>
      <w:pPr>
        <w:spacing w:after="120" w:line="276" w:lineRule="auto"/>
      </w:pPr>
      <w:r>
        <w:rPr>
          <w:rFonts w:ascii="Inter" w:hAnsi="Inter" w:cs="Inter"/>
          <w:b w:val="0"/>
          <w:i w:val="0"/>
          <w:color w:val="2D2D2D"/>
          <w:sz w:val="22"/>
        </w:rPr>
        <w:t>This appendix provides a consolidated reference for the seven-tier legal hierarchy that governs all MOA strategic planning in the Bangsamoro Autonomous Region. For each tier, the appendix identifies the source, describes its role in the hierarchy, highlights the key provisions relevant to strategic planning, and notes how to access the documents.</w:t>
      </w:r>
    </w:p>
    <w:p>
      <w:pPr>
        <w:pStyle w:val="Heading3"/>
      </w:pPr>
      <w:r>
        <w:rPr>
          <w:rFonts w:ascii="Inter" w:hAnsi="Inter" w:cs="Inter"/>
          <w:b/>
          <w:i w:val="0"/>
          <w:color w:val="2C5F7C"/>
          <w:sz w:val="26"/>
        </w:rPr>
        <w:t>Tier 1: The 1987 Philippine Constitution</w:t>
      </w:r>
    </w:p>
    <w:p>
      <w:pPr>
        <w:spacing w:after="120" w:line="276" w:lineRule="auto"/>
      </w:pPr>
      <w:r>
        <w:rPr>
          <w:rFonts w:ascii="Inter" w:hAnsi="Inter" w:cs="Inter"/>
          <w:b w:val="0"/>
          <w:i w:val="0"/>
          <w:color w:val="2D2D2D"/>
          <w:sz w:val="22"/>
        </w:rPr>
      </w:r>
      <w:r>
        <w:rPr>
          <w:rFonts w:ascii="Inter" w:hAnsi="Inter" w:cs="Inter"/>
          <w:b/>
          <w:i w:val="0"/>
          <w:color w:val="2D2D2D"/>
          <w:sz w:val="22"/>
        </w:rPr>
        <w:t>Description.</w:t>
      </w:r>
      <w:r>
        <w:rPr>
          <w:rFonts w:ascii="Inter" w:hAnsi="Inter" w:cs="Inter"/>
          <w:b w:val="0"/>
          <w:i w:val="0"/>
          <w:color w:val="2D2D2D"/>
          <w:sz w:val="22"/>
        </w:rPr>
        <w:t xml:space="preserve"> The Constitution is the supreme law of the Republic of the Philippines. No provision of the Bangsamoro Organic Law, no Bangsamoro Autonomy Act, and no executive issuance may contradict it. The Constitution provides the legal foundation for autonomous regions and sets the overarching framework within which BARMM exercises its authority.</w:t>
      </w:r>
    </w:p>
    <w:p>
      <w:pPr>
        <w:spacing w:after="120" w:line="276" w:lineRule="auto"/>
      </w:pPr>
      <w:r>
        <w:rPr>
          <w:rFonts w:ascii="Inter" w:hAnsi="Inter" w:cs="Inter"/>
          <w:b w:val="0"/>
          <w:i w:val="0"/>
          <w:color w:val="2D2D2D"/>
          <w:sz w:val="22"/>
        </w:rPr>
      </w:r>
      <w:r>
        <w:rPr>
          <w:rFonts w:ascii="Inter" w:hAnsi="Inter" w:cs="Inter"/>
          <w:b/>
          <w:i w:val="0"/>
          <w:color w:val="2D2D2D"/>
          <w:sz w:val="22"/>
        </w:rPr>
        <w:t>Key Provisions Relevant to Strategic Planning: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Provision</w:t>
            </w:r>
          </w:p>
        </w:tc>
        <w:tc>
          <w:tcPr>
            <w:tcW w:type="dxa" w:w="3120"/>
            <w:shd w:fill="1B365D"/>
          </w:tcPr>
          <w:p>
            <w:r/>
            <w:r>
              <w:rPr>
                <w:rFonts w:ascii="Inter" w:hAnsi="Inter" w:cs="Inter"/>
                <w:b/>
                <w:i w:val="0"/>
                <w:color w:val="FFFFFF"/>
                <w:sz w:val="19"/>
              </w:rPr>
              <w:t>Subject</w:t>
            </w:r>
          </w:p>
        </w:tc>
        <w:tc>
          <w:tcPr>
            <w:tcW w:type="dxa" w:w="3120"/>
            <w:shd w:fill="1B365D"/>
          </w:tcPr>
          <w:p>
            <w:r/>
            <w:r>
              <w:rPr>
                <w:rFonts w:ascii="Inter" w:hAnsi="Inter" w:cs="Inter"/>
                <w:b/>
                <w:i w:val="0"/>
                <w:color w:val="FFFFFF"/>
                <w:sz w:val="19"/>
              </w:rPr>
              <w:t>Relevance to MOA Planning</w:t>
            </w:r>
          </w:p>
        </w:tc>
      </w:tr>
      <w:tr>
        <w:tc>
          <w:tcPr>
            <w:tcW w:type="dxa" w:w="3120"/>
          </w:tcPr>
          <w:p>
            <w:r/>
            <w:r>
              <w:rPr>
                <w:rFonts w:ascii="Inter" w:hAnsi="Inter" w:cs="Inter"/>
                <w:b w:val="0"/>
                <w:i w:val="0"/>
                <w:color w:val="2D2D2D"/>
                <w:sz w:val="19"/>
              </w:rPr>
              <w:t>Article X, Sections 15-21</w:t>
            </w:r>
          </w:p>
        </w:tc>
        <w:tc>
          <w:tcPr>
            <w:tcW w:type="dxa" w:w="3120"/>
          </w:tcPr>
          <w:p>
            <w:r/>
            <w:r>
              <w:rPr>
                <w:rFonts w:ascii="Inter" w:hAnsi="Inter" w:cs="Inter"/>
                <w:b w:val="0"/>
                <w:i w:val="0"/>
                <w:color w:val="2D2D2D"/>
                <w:sz w:val="19"/>
              </w:rPr>
              <w:t>Autonomous Regions</w:t>
            </w:r>
          </w:p>
        </w:tc>
        <w:tc>
          <w:tcPr>
            <w:tcW w:type="dxa" w:w="3120"/>
          </w:tcPr>
          <w:p>
            <w:r/>
            <w:r>
              <w:rPr>
                <w:rFonts w:ascii="Inter" w:hAnsi="Inter" w:cs="Inter"/>
                <w:b w:val="0"/>
                <w:i w:val="0"/>
                <w:color w:val="2D2D2D"/>
                <w:sz w:val="19"/>
              </w:rPr>
              <w:t>Constitutional basis for BARMM's existence, scope of regional legislative authority, and requirement for an organic act.[^1]</w:t>
            </w:r>
          </w:p>
        </w:tc>
      </w:tr>
      <w:tr>
        <w:tc>
          <w:tcPr>
            <w:tcW w:type="dxa" w:w="3120"/>
            <w:shd w:fill="F0F3F6"/>
          </w:tcPr>
          <w:p>
            <w:r/>
            <w:r>
              <w:rPr>
                <w:rFonts w:ascii="Inter" w:hAnsi="Inter" w:cs="Inter"/>
                <w:b w:val="0"/>
                <w:i w:val="0"/>
                <w:color w:val="2D2D2D"/>
                <w:sz w:val="19"/>
              </w:rPr>
              <w:t>Article X, Section 20</w:t>
            </w:r>
          </w:p>
        </w:tc>
        <w:tc>
          <w:tcPr>
            <w:tcW w:type="dxa" w:w="3120"/>
            <w:shd w:fill="F0F3F6"/>
          </w:tcPr>
          <w:p>
            <w:r/>
            <w:r>
              <w:rPr>
                <w:rFonts w:ascii="Inter" w:hAnsi="Inter" w:cs="Inter"/>
                <w:b w:val="0"/>
                <w:i w:val="0"/>
                <w:color w:val="2D2D2D"/>
                <w:sz w:val="19"/>
              </w:rPr>
              <w:t>Powers of Autonomous Regions</w:t>
            </w:r>
          </w:p>
        </w:tc>
        <w:tc>
          <w:tcPr>
            <w:tcW w:type="dxa" w:w="3120"/>
            <w:shd w:fill="F0F3F6"/>
          </w:tcPr>
          <w:p>
            <w:r/>
            <w:r>
              <w:rPr>
                <w:rFonts w:ascii="Inter" w:hAnsi="Inter" w:cs="Inter"/>
                <w:b w:val="0"/>
                <w:i w:val="0"/>
                <w:color w:val="2D2D2D"/>
                <w:sz w:val="19"/>
              </w:rPr>
              <w:t>Establishes the areas over which autonomous regions may exercise legislative power, subject to the organic act.[^2]</w:t>
            </w:r>
          </w:p>
        </w:tc>
      </w:tr>
      <w:tr>
        <w:tc>
          <w:tcPr>
            <w:tcW w:type="dxa" w:w="3120"/>
          </w:tcPr>
          <w:p>
            <w:r/>
            <w:r>
              <w:rPr>
                <w:rFonts w:ascii="Inter" w:hAnsi="Inter" w:cs="Inter"/>
                <w:b w:val="0"/>
                <w:i w:val="0"/>
                <w:color w:val="2D2D2D"/>
                <w:sz w:val="19"/>
              </w:rPr>
              <w:t>Article VI, Section 29</w:t>
            </w:r>
          </w:p>
        </w:tc>
        <w:tc>
          <w:tcPr>
            <w:tcW w:type="dxa" w:w="3120"/>
          </w:tcPr>
          <w:p>
            <w:r/>
            <w:r>
              <w:rPr>
                <w:rFonts w:ascii="Inter" w:hAnsi="Inter" w:cs="Inter"/>
                <w:b w:val="0"/>
                <w:i w:val="0"/>
                <w:color w:val="2D2D2D"/>
                <w:sz w:val="19"/>
              </w:rPr>
              <w:t>Appropriations</w:t>
            </w:r>
          </w:p>
        </w:tc>
        <w:tc>
          <w:tcPr>
            <w:tcW w:type="dxa" w:w="3120"/>
          </w:tcPr>
          <w:p>
            <w:r/>
            <w:r>
              <w:rPr>
                <w:rFonts w:ascii="Inter" w:hAnsi="Inter" w:cs="Inter"/>
                <w:b w:val="0"/>
                <w:i w:val="0"/>
                <w:color w:val="2D2D2D"/>
                <w:sz w:val="19"/>
              </w:rPr>
              <w:t>No money shall be paid out of the Treasury except in pursuance of an appropriation made by law --- the constitutional basis for all MOA budget proposals.[^3]</w:t>
            </w:r>
          </w:p>
        </w:tc>
      </w:tr>
      <w:tr>
        <w:tc>
          <w:tcPr>
            <w:tcW w:type="dxa" w:w="3120"/>
            <w:shd w:fill="F0F3F6"/>
          </w:tcPr>
          <w:p>
            <w:r/>
            <w:r>
              <w:rPr>
                <w:rFonts w:ascii="Inter" w:hAnsi="Inter" w:cs="Inter"/>
                <w:b w:val="0"/>
                <w:i w:val="0"/>
                <w:color w:val="2D2D2D"/>
                <w:sz w:val="19"/>
              </w:rPr>
              <w:t>Article XI, Sections 1-2</w:t>
            </w:r>
          </w:p>
        </w:tc>
        <w:tc>
          <w:tcPr>
            <w:tcW w:type="dxa" w:w="3120"/>
            <w:shd w:fill="F0F3F6"/>
          </w:tcPr>
          <w:p>
            <w:r/>
            <w:r>
              <w:rPr>
                <w:rFonts w:ascii="Inter" w:hAnsi="Inter" w:cs="Inter"/>
                <w:b w:val="0"/>
                <w:i w:val="0"/>
                <w:color w:val="2D2D2D"/>
                <w:sz w:val="19"/>
              </w:rPr>
              <w:t>Public Trust Doctrine</w:t>
            </w:r>
          </w:p>
        </w:tc>
        <w:tc>
          <w:tcPr>
            <w:tcW w:type="dxa" w:w="3120"/>
            <w:shd w:fill="F0F3F6"/>
          </w:tcPr>
          <w:p>
            <w:r/>
            <w:r>
              <w:rPr>
                <w:rFonts w:ascii="Inter" w:hAnsi="Inter" w:cs="Inter"/>
                <w:b w:val="0"/>
                <w:i w:val="0"/>
                <w:color w:val="2D2D2D"/>
                <w:sz w:val="19"/>
              </w:rPr>
              <w:t>Public office is a public trust; public officers are accountable to the people at all times --- the constitutional foundation of accountability frameworks in strategic plans.[^4]</w:t>
            </w:r>
          </w:p>
        </w:tc>
      </w:tr>
      <w:tr>
        <w:tc>
          <w:tcPr>
            <w:tcW w:type="dxa" w:w="3120"/>
          </w:tcPr>
          <w:p>
            <w:r/>
            <w:r>
              <w:rPr>
                <w:rFonts w:ascii="Inter" w:hAnsi="Inter" w:cs="Inter"/>
                <w:b w:val="0"/>
                <w:i w:val="0"/>
                <w:color w:val="2D2D2D"/>
                <w:sz w:val="19"/>
              </w:rPr>
              <w:t>Article XII, Sections 1-2</w:t>
            </w:r>
          </w:p>
        </w:tc>
        <w:tc>
          <w:tcPr>
            <w:tcW w:type="dxa" w:w="3120"/>
          </w:tcPr>
          <w:p>
            <w:r/>
            <w:r>
              <w:rPr>
                <w:rFonts w:ascii="Inter" w:hAnsi="Inter" w:cs="Inter"/>
                <w:b w:val="0"/>
                <w:i w:val="0"/>
                <w:color w:val="2D2D2D"/>
                <w:sz w:val="19"/>
              </w:rPr>
              <w:t>National Economy and Patrimony</w:t>
            </w:r>
          </w:p>
        </w:tc>
        <w:tc>
          <w:tcPr>
            <w:tcW w:type="dxa" w:w="3120"/>
          </w:tcPr>
          <w:p>
            <w:r/>
            <w:r>
              <w:rPr>
                <w:rFonts w:ascii="Inter" w:hAnsi="Inter" w:cs="Inter"/>
                <w:b w:val="0"/>
                <w:i w:val="0"/>
                <w:color w:val="2D2D2D"/>
                <w:sz w:val="19"/>
              </w:rPr>
              <w:t>State ownership of natural resources and the duty to conserve and develop the national patrimony --- relevant to MOAs with environment, natural resources, and economic mandates.[^5]</w:t>
            </w:r>
          </w:p>
        </w:tc>
      </w:tr>
      <w:tr>
        <w:tc>
          <w:tcPr>
            <w:tcW w:type="dxa" w:w="3120"/>
            <w:shd w:fill="F0F3F6"/>
          </w:tcPr>
          <w:p>
            <w:r/>
            <w:r>
              <w:rPr>
                <w:rFonts w:ascii="Inter" w:hAnsi="Inter" w:cs="Inter"/>
                <w:b w:val="0"/>
                <w:i w:val="0"/>
                <w:color w:val="2D2D2D"/>
                <w:sz w:val="19"/>
              </w:rPr>
              <w:t>Article XIII, Sections 1-2</w:t>
            </w:r>
          </w:p>
        </w:tc>
        <w:tc>
          <w:tcPr>
            <w:tcW w:type="dxa" w:w="3120"/>
            <w:shd w:fill="F0F3F6"/>
          </w:tcPr>
          <w:p>
            <w:r/>
            <w:r>
              <w:rPr>
                <w:rFonts w:ascii="Inter" w:hAnsi="Inter" w:cs="Inter"/>
                <w:b w:val="0"/>
                <w:i w:val="0"/>
                <w:color w:val="2D2D2D"/>
                <w:sz w:val="19"/>
              </w:rPr>
              <w:t>Social Justice</w:t>
            </w:r>
          </w:p>
        </w:tc>
        <w:tc>
          <w:tcPr>
            <w:tcW w:type="dxa" w:w="3120"/>
            <w:shd w:fill="F0F3F6"/>
          </w:tcPr>
          <w:p>
            <w:r/>
            <w:r>
              <w:rPr>
                <w:rFonts w:ascii="Inter" w:hAnsi="Inter" w:cs="Inter"/>
                <w:b w:val="0"/>
                <w:i w:val="0"/>
                <w:color w:val="2D2D2D"/>
                <w:sz w:val="19"/>
              </w:rPr>
              <w:t>The State shall promote social justice in all phases of national development --- the constitutional basis for equity, poverty reduction, and inclusive development objectives in MOA plans.[^6]</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Access.</w:t>
      </w:r>
      <w:r>
        <w:rPr>
          <w:rFonts w:ascii="Inter" w:hAnsi="Inter" w:cs="Inter"/>
          <w:b w:val="0"/>
          <w:i w:val="0"/>
          <w:color w:val="2D2D2D"/>
          <w:sz w:val="22"/>
        </w:rPr>
        <w:t xml:space="preserve"> The full text of the 1987 Philippine Constitution is published by the Official Gazette of the Republic of the Philippines (www.officialgazette.gov.ph) and is available in print from the Supreme Court.</w:t>
      </w:r>
    </w:p>
    <w:p>
      <w:pPr>
        <w:pStyle w:val="Heading3"/>
      </w:pPr>
      <w:r>
        <w:rPr>
          <w:rFonts w:ascii="Inter" w:hAnsi="Inter" w:cs="Inter"/>
          <w:b/>
          <w:i w:val="0"/>
          <w:color w:val="2C5F7C"/>
          <w:sz w:val="26"/>
        </w:rPr>
        <w:t>Tier 2: The Bangsamoro Organic Law (Republic Act No. 11054)</w:t>
      </w:r>
    </w:p>
    <w:p>
      <w:pPr>
        <w:spacing w:after="120" w:line="276" w:lineRule="auto"/>
      </w:pPr>
      <w:r>
        <w:rPr>
          <w:rFonts w:ascii="Inter" w:hAnsi="Inter" w:cs="Inter"/>
          <w:b w:val="0"/>
          <w:i w:val="0"/>
          <w:color w:val="2D2D2D"/>
          <w:sz w:val="22"/>
        </w:rPr>
      </w:r>
      <w:r>
        <w:rPr>
          <w:rFonts w:ascii="Inter" w:hAnsi="Inter" w:cs="Inter"/>
          <w:b/>
          <w:i w:val="0"/>
          <w:color w:val="2D2D2D"/>
          <w:sz w:val="22"/>
        </w:rPr>
        <w:t>Description.</w:t>
      </w:r>
      <w:r>
        <w:rPr>
          <w:rFonts w:ascii="Inter" w:hAnsi="Inter" w:cs="Inter"/>
          <w:b w:val="0"/>
          <w:i w:val="0"/>
          <w:color w:val="2D2D2D"/>
          <w:sz w:val="22"/>
        </w:rPr>
        <w:t xml:space="preserve"> The BOL is the organic act that created the Bangsamoro Autonomous Region. It defines the powers of the Bangsamoro Government, establishes the parliamentary form of government, provides the framework for fiscal autonomy, and enumerates 55 exclusive areas of authority. For every MOA, the BOL is the primary source of governmental authority.[^7]</w:t>
      </w:r>
    </w:p>
    <w:p>
      <w:pPr>
        <w:spacing w:after="120" w:line="276" w:lineRule="auto"/>
      </w:pPr>
      <w:r>
        <w:rPr>
          <w:rFonts w:ascii="Inter" w:hAnsi="Inter" w:cs="Inter"/>
          <w:b w:val="0"/>
          <w:i w:val="0"/>
          <w:color w:val="2D2D2D"/>
          <w:sz w:val="22"/>
        </w:rPr>
      </w:r>
      <w:r>
        <w:rPr>
          <w:rFonts w:ascii="Inter" w:hAnsi="Inter" w:cs="Inter"/>
          <w:b/>
          <w:i w:val="0"/>
          <w:color w:val="2D2D2D"/>
          <w:sz w:val="22"/>
        </w:rPr>
        <w:t>Key Provisions Relevant to Strategic Planning: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Provision</w:t>
            </w:r>
          </w:p>
        </w:tc>
        <w:tc>
          <w:tcPr>
            <w:tcW w:type="dxa" w:w="3120"/>
            <w:shd w:fill="1B365D"/>
          </w:tcPr>
          <w:p>
            <w:r/>
            <w:r>
              <w:rPr>
                <w:rFonts w:ascii="Inter" w:hAnsi="Inter" w:cs="Inter"/>
                <w:b/>
                <w:i w:val="0"/>
                <w:color w:val="FFFFFF"/>
                <w:sz w:val="19"/>
              </w:rPr>
              <w:t>Subject</w:t>
            </w:r>
          </w:p>
        </w:tc>
        <w:tc>
          <w:tcPr>
            <w:tcW w:type="dxa" w:w="3120"/>
            <w:shd w:fill="1B365D"/>
          </w:tcPr>
          <w:p>
            <w:r/>
            <w:r>
              <w:rPr>
                <w:rFonts w:ascii="Inter" w:hAnsi="Inter" w:cs="Inter"/>
                <w:b/>
                <w:i w:val="0"/>
                <w:color w:val="FFFFFF"/>
                <w:sz w:val="19"/>
              </w:rPr>
              <w:t>Relevance to MOA Planning</w:t>
            </w:r>
          </w:p>
        </w:tc>
      </w:tr>
      <w:tr>
        <w:tc>
          <w:tcPr>
            <w:tcW w:type="dxa" w:w="3120"/>
          </w:tcPr>
          <w:p>
            <w:r/>
            <w:r>
              <w:rPr>
                <w:rFonts w:ascii="Inter" w:hAnsi="Inter" w:cs="Inter"/>
                <w:b w:val="0"/>
                <w:i w:val="0"/>
                <w:color w:val="2D2D2D"/>
                <w:sz w:val="19"/>
              </w:rPr>
              <w:t>Article I, Section 3</w:t>
            </w:r>
          </w:p>
        </w:tc>
        <w:tc>
          <w:tcPr>
            <w:tcW w:type="dxa" w:w="3120"/>
          </w:tcPr>
          <w:p>
            <w:r/>
            <w:r>
              <w:rPr>
                <w:rFonts w:ascii="Inter" w:hAnsi="Inter" w:cs="Inter"/>
                <w:b w:val="0"/>
                <w:i w:val="0"/>
                <w:color w:val="2D2D2D"/>
                <w:sz w:val="19"/>
              </w:rPr>
              <w:t>Purpose of the Organic Law</w:t>
            </w:r>
          </w:p>
        </w:tc>
        <w:tc>
          <w:tcPr>
            <w:tcW w:type="dxa" w:w="3120"/>
          </w:tcPr>
          <w:p>
            <w:r/>
            <w:r>
              <w:rPr>
                <w:rFonts w:ascii="Inter" w:hAnsi="Inter" w:cs="Inter"/>
                <w:b w:val="0"/>
                <w:i w:val="0"/>
                <w:color w:val="2D2D2D"/>
                <w:sz w:val="19"/>
              </w:rPr>
              <w:t>Establishes the BARMM as a political entity for "meaningful self-governance within the framework of the Constitution."[^8]</w:t>
            </w:r>
          </w:p>
        </w:tc>
      </w:tr>
      <w:tr>
        <w:tc>
          <w:tcPr>
            <w:tcW w:type="dxa" w:w="3120"/>
            <w:shd w:fill="F0F3F6"/>
          </w:tcPr>
          <w:p>
            <w:r/>
            <w:r>
              <w:rPr>
                <w:rFonts w:ascii="Inter" w:hAnsi="Inter" w:cs="Inter"/>
                <w:b w:val="0"/>
                <w:i w:val="0"/>
                <w:color w:val="2D2D2D"/>
                <w:sz w:val="19"/>
              </w:rPr>
              <w:t>Article IV, Section 2</w:t>
            </w:r>
          </w:p>
        </w:tc>
        <w:tc>
          <w:tcPr>
            <w:tcW w:type="dxa" w:w="3120"/>
            <w:shd w:fill="F0F3F6"/>
          </w:tcPr>
          <w:p>
            <w:r/>
            <w:r>
              <w:rPr>
                <w:rFonts w:ascii="Inter" w:hAnsi="Inter" w:cs="Inter"/>
                <w:b w:val="0"/>
                <w:i w:val="0"/>
                <w:color w:val="2D2D2D"/>
                <w:sz w:val="19"/>
              </w:rPr>
              <w:t>Self-Governance</w:t>
            </w:r>
          </w:p>
        </w:tc>
        <w:tc>
          <w:tcPr>
            <w:tcW w:type="dxa" w:w="3120"/>
            <w:shd w:fill="F0F3F6"/>
          </w:tcPr>
          <w:p>
            <w:r/>
            <w:r>
              <w:rPr>
                <w:rFonts w:ascii="Inter" w:hAnsi="Inter" w:cs="Inter"/>
                <w:b w:val="0"/>
                <w:i w:val="0"/>
                <w:color w:val="2D2D2D"/>
                <w:sz w:val="19"/>
              </w:rPr>
              <w:t>The BARMM "is free to pursue its political, economic, social, and cultural development" --- the legal basis for autonomous strategic planning.[^9]</w:t>
            </w:r>
          </w:p>
        </w:tc>
      </w:tr>
      <w:tr>
        <w:tc>
          <w:tcPr>
            <w:tcW w:type="dxa" w:w="3120"/>
          </w:tcPr>
          <w:p>
            <w:r/>
            <w:r>
              <w:rPr>
                <w:rFonts w:ascii="Inter" w:hAnsi="Inter" w:cs="Inter"/>
                <w:b w:val="0"/>
                <w:i w:val="0"/>
                <w:color w:val="2D2D2D"/>
                <w:sz w:val="19"/>
              </w:rPr>
              <w:t>Article V, Section 2</w:t>
            </w:r>
          </w:p>
        </w:tc>
        <w:tc>
          <w:tcPr>
            <w:tcW w:type="dxa" w:w="3120"/>
          </w:tcPr>
          <w:p>
            <w:r/>
            <w:r>
              <w:rPr>
                <w:rFonts w:ascii="Inter" w:hAnsi="Inter" w:cs="Inter"/>
                <w:b w:val="0"/>
                <w:i w:val="0"/>
                <w:color w:val="2D2D2D"/>
                <w:sz w:val="19"/>
              </w:rPr>
              <w:t>Powers of the Bangsamoro Government</w:t>
            </w:r>
          </w:p>
        </w:tc>
        <w:tc>
          <w:tcPr>
            <w:tcW w:type="dxa" w:w="3120"/>
          </w:tcPr>
          <w:p>
            <w:r/>
            <w:r>
              <w:rPr>
                <w:rFonts w:ascii="Inter" w:hAnsi="Inter" w:cs="Inter"/>
                <w:b w:val="0"/>
                <w:i w:val="0"/>
                <w:color w:val="2D2D2D"/>
                <w:sz w:val="19"/>
              </w:rPr>
              <w:t>Enumerates 55 areas of exclusive authority, from (a) administration of justice through (ccc) water supply and services.[^10] Every MOA's mandate traces to one or more of these enumerated powers.</w:t>
            </w:r>
          </w:p>
        </w:tc>
      </w:tr>
      <w:tr>
        <w:tc>
          <w:tcPr>
            <w:tcW w:type="dxa" w:w="3120"/>
            <w:shd w:fill="F0F3F6"/>
          </w:tcPr>
          <w:p>
            <w:r/>
            <w:r>
              <w:rPr>
                <w:rFonts w:ascii="Inter" w:hAnsi="Inter" w:cs="Inter"/>
                <w:b w:val="0"/>
                <w:i w:val="0"/>
                <w:color w:val="2D2D2D"/>
                <w:sz w:val="19"/>
              </w:rPr>
              <w:t>Article V, Section 3</w:t>
            </w:r>
          </w:p>
        </w:tc>
        <w:tc>
          <w:tcPr>
            <w:tcW w:type="dxa" w:w="3120"/>
            <w:shd w:fill="F0F3F6"/>
          </w:tcPr>
          <w:p>
            <w:r/>
            <w:r>
              <w:rPr>
                <w:rFonts w:ascii="Inter" w:hAnsi="Inter" w:cs="Inter"/>
                <w:b w:val="0"/>
                <w:i w:val="0"/>
                <w:color w:val="2D2D2D"/>
                <w:sz w:val="19"/>
              </w:rPr>
              <w:t>General Welfare Clause</w:t>
            </w:r>
          </w:p>
        </w:tc>
        <w:tc>
          <w:tcPr>
            <w:tcW w:type="dxa" w:w="3120"/>
            <w:shd w:fill="F0F3F6"/>
          </w:tcPr>
          <w:p>
            <w:r/>
            <w:r>
              <w:rPr>
                <w:rFonts w:ascii="Inter" w:hAnsi="Inter" w:cs="Inter"/>
                <w:b w:val="0"/>
                <w:i w:val="0"/>
                <w:color w:val="2D2D2D"/>
                <w:sz w:val="19"/>
              </w:rPr>
              <w:t>The Bangsamoro Government may exercise "the powers expressly granted, those necessarily implied therefrom, as well as powers necessary, appropriate, or incidental for its efficient and effective governance."[^11] This permits MOAs to include incidental functions in their strategic plans when traceable to an express grant.</w:t>
            </w:r>
          </w:p>
        </w:tc>
      </w:tr>
      <w:tr>
        <w:tc>
          <w:tcPr>
            <w:tcW w:type="dxa" w:w="3120"/>
          </w:tcPr>
          <w:p>
            <w:r/>
            <w:r>
              <w:rPr>
                <w:rFonts w:ascii="Inter" w:hAnsi="Inter" w:cs="Inter"/>
                <w:b w:val="0"/>
                <w:i w:val="0"/>
                <w:color w:val="2D2D2D"/>
                <w:sz w:val="19"/>
              </w:rPr>
              <w:t>Article VII, Section 2</w:t>
            </w:r>
          </w:p>
        </w:tc>
        <w:tc>
          <w:tcPr>
            <w:tcW w:type="dxa" w:w="3120"/>
          </w:tcPr>
          <w:p>
            <w:r/>
            <w:r>
              <w:rPr>
                <w:rFonts w:ascii="Inter" w:hAnsi="Inter" w:cs="Inter"/>
                <w:b w:val="0"/>
                <w:i w:val="0"/>
                <w:color w:val="2D2D2D"/>
                <w:sz w:val="19"/>
              </w:rPr>
              <w:t>Powers of Parliament</w:t>
            </w:r>
          </w:p>
        </w:tc>
        <w:tc>
          <w:tcPr>
            <w:tcW w:type="dxa" w:w="3120"/>
          </w:tcPr>
          <w:p>
            <w:r/>
            <w:r>
              <w:rPr>
                <w:rFonts w:ascii="Inter" w:hAnsi="Inter" w:cs="Inter"/>
                <w:b w:val="0"/>
                <w:i w:val="0"/>
                <w:color w:val="2D2D2D"/>
                <w:sz w:val="19"/>
              </w:rPr>
              <w:t>Parliament exercises governmental powers and "shall set policies, legislate on matters within its authority, and elect a Chief Minister who shall exercise executive authority."[^12]</w:t>
            </w:r>
          </w:p>
        </w:tc>
      </w:tr>
      <w:tr>
        <w:tc>
          <w:tcPr>
            <w:tcW w:type="dxa" w:w="3120"/>
            <w:shd w:fill="F0F3F6"/>
          </w:tcPr>
          <w:p>
            <w:r/>
            <w:r>
              <w:rPr>
                <w:rFonts w:ascii="Inter" w:hAnsi="Inter" w:cs="Inter"/>
                <w:b w:val="0"/>
                <w:i w:val="0"/>
                <w:color w:val="2D2D2D"/>
                <w:sz w:val="19"/>
              </w:rPr>
              <w:t>Article VII, Section 27</w:t>
            </w:r>
          </w:p>
        </w:tc>
        <w:tc>
          <w:tcPr>
            <w:tcW w:type="dxa" w:w="3120"/>
            <w:shd w:fill="F0F3F6"/>
          </w:tcPr>
          <w:p>
            <w:r/>
            <w:r>
              <w:rPr>
                <w:rFonts w:ascii="Inter" w:hAnsi="Inter" w:cs="Inter"/>
                <w:b w:val="0"/>
                <w:i w:val="0"/>
                <w:color w:val="2D2D2D"/>
                <w:sz w:val="19"/>
              </w:rPr>
              <w:t>Appropriations</w:t>
            </w:r>
          </w:p>
        </w:tc>
        <w:tc>
          <w:tcPr>
            <w:tcW w:type="dxa" w:w="3120"/>
            <w:shd w:fill="F0F3F6"/>
          </w:tcPr>
          <w:p>
            <w:r/>
            <w:r>
              <w:rPr>
                <w:rFonts w:ascii="Inter" w:hAnsi="Inter" w:cs="Inter"/>
                <w:b w:val="0"/>
                <w:i w:val="0"/>
                <w:color w:val="2D2D2D"/>
                <w:sz w:val="19"/>
              </w:rPr>
              <w:t>"No public money... shall be spent without an appropriations law clearly defining the purpose for which it is intended."[^13]</w:t>
            </w:r>
          </w:p>
        </w:tc>
      </w:tr>
      <w:tr>
        <w:tc>
          <w:tcPr>
            <w:tcW w:type="dxa" w:w="3120"/>
          </w:tcPr>
          <w:p>
            <w:r/>
            <w:r>
              <w:rPr>
                <w:rFonts w:ascii="Inter" w:hAnsi="Inter" w:cs="Inter"/>
                <w:b w:val="0"/>
                <w:i w:val="0"/>
                <w:color w:val="2D2D2D"/>
                <w:sz w:val="19"/>
              </w:rPr>
              <w:t>Article VII, Section 28</w:t>
            </w:r>
          </w:p>
        </w:tc>
        <w:tc>
          <w:tcPr>
            <w:tcW w:type="dxa" w:w="3120"/>
          </w:tcPr>
          <w:p>
            <w:r/>
            <w:r>
              <w:rPr>
                <w:rFonts w:ascii="Inter" w:hAnsi="Inter" w:cs="Inter"/>
                <w:b w:val="0"/>
                <w:i w:val="0"/>
                <w:color w:val="2D2D2D"/>
                <w:sz w:val="19"/>
              </w:rPr>
              <w:t>Budget</w:t>
            </w:r>
          </w:p>
        </w:tc>
        <w:tc>
          <w:tcPr>
            <w:tcW w:type="dxa" w:w="3120"/>
          </w:tcPr>
          <w:p>
            <w:r/>
            <w:r>
              <w:rPr>
                <w:rFonts w:ascii="Inter" w:hAnsi="Inter" w:cs="Inter"/>
                <w:b w:val="0"/>
                <w:i w:val="0"/>
                <w:color w:val="2D2D2D"/>
                <w:sz w:val="19"/>
              </w:rPr>
              <w:t>"The form, content, and manner of preparation of the Bangsamoro budget shall be prescribed by law enacted by the Parliament."[^14]</w:t>
            </w:r>
          </w:p>
        </w:tc>
      </w:tr>
      <w:tr>
        <w:tc>
          <w:tcPr>
            <w:tcW w:type="dxa" w:w="3120"/>
            <w:shd w:fill="F0F3F6"/>
          </w:tcPr>
          <w:p>
            <w:r/>
            <w:r>
              <w:rPr>
                <w:rFonts w:ascii="Inter" w:hAnsi="Inter" w:cs="Inter"/>
                <w:b w:val="0"/>
                <w:i w:val="0"/>
                <w:color w:val="2D2D2D"/>
                <w:sz w:val="19"/>
              </w:rPr>
              <w:t>Article VII, Section 32</w:t>
            </w:r>
          </w:p>
        </w:tc>
        <w:tc>
          <w:tcPr>
            <w:tcW w:type="dxa" w:w="3120"/>
            <w:shd w:fill="F0F3F6"/>
          </w:tcPr>
          <w:p>
            <w:r/>
            <w:r>
              <w:rPr>
                <w:rFonts w:ascii="Inter" w:hAnsi="Inter" w:cs="Inter"/>
                <w:b w:val="0"/>
                <w:i w:val="0"/>
                <w:color w:val="2D2D2D"/>
                <w:sz w:val="19"/>
              </w:rPr>
              <w:t>Chief Minister's Powers</w:t>
            </w:r>
          </w:p>
        </w:tc>
        <w:tc>
          <w:tcPr>
            <w:tcW w:type="dxa" w:w="3120"/>
            <w:shd w:fill="F0F3F6"/>
          </w:tcPr>
          <w:p>
            <w:r/>
            <w:r>
              <w:rPr>
                <w:rFonts w:ascii="Inter" w:hAnsi="Inter" w:cs="Inter"/>
                <w:b w:val="0"/>
                <w:i w:val="0"/>
                <w:color w:val="2D2D2D"/>
                <w:sz w:val="19"/>
              </w:rPr>
              <w:t>Includes the power to "formulate a platform of government subject to the approval of the Parliament" --- the legal basis for the 12-Point Priority Agenda.[^15]</w:t>
            </w:r>
          </w:p>
        </w:tc>
      </w:tr>
      <w:tr>
        <w:tc>
          <w:tcPr>
            <w:tcW w:type="dxa" w:w="3120"/>
          </w:tcPr>
          <w:p>
            <w:r/>
            <w:r>
              <w:rPr>
                <w:rFonts w:ascii="Inter" w:hAnsi="Inter" w:cs="Inter"/>
                <w:b w:val="0"/>
                <w:i w:val="0"/>
                <w:color w:val="2D2D2D"/>
                <w:sz w:val="19"/>
              </w:rPr>
              <w:t>Article VII, Section 38</w:t>
            </w:r>
          </w:p>
        </w:tc>
        <w:tc>
          <w:tcPr>
            <w:tcW w:type="dxa" w:w="3120"/>
          </w:tcPr>
          <w:p>
            <w:r/>
            <w:r>
              <w:rPr>
                <w:rFonts w:ascii="Inter" w:hAnsi="Inter" w:cs="Inter"/>
                <w:b w:val="0"/>
                <w:i w:val="0"/>
                <w:color w:val="2D2D2D"/>
                <w:sz w:val="19"/>
              </w:rPr>
              <w:t>Organization of the Bureaucracy</w:t>
            </w:r>
          </w:p>
        </w:tc>
        <w:tc>
          <w:tcPr>
            <w:tcW w:type="dxa" w:w="3120"/>
          </w:tcPr>
          <w:p>
            <w:r/>
            <w:r>
              <w:rPr>
                <w:rFonts w:ascii="Inter" w:hAnsi="Inter" w:cs="Inter"/>
                <w:b w:val="0"/>
                <w:i w:val="0"/>
                <w:color w:val="2D2D2D"/>
                <w:sz w:val="19"/>
              </w:rPr>
              <w:t>"The Bangsamoro Government shall have the power to create offices and organize its own bureaucracy."[^16]</w:t>
            </w:r>
          </w:p>
        </w:tc>
      </w:tr>
      <w:tr>
        <w:tc>
          <w:tcPr>
            <w:tcW w:type="dxa" w:w="3120"/>
            <w:shd w:fill="F0F3F6"/>
          </w:tcPr>
          <w:p>
            <w:r/>
            <w:r>
              <w:rPr>
                <w:rFonts w:ascii="Inter" w:hAnsi="Inter" w:cs="Inter"/>
                <w:b w:val="0"/>
                <w:i w:val="0"/>
                <w:color w:val="2D2D2D"/>
                <w:sz w:val="19"/>
              </w:rPr>
              <w:t>Article VII, Section 42</w:t>
            </w:r>
          </w:p>
        </w:tc>
        <w:tc>
          <w:tcPr>
            <w:tcW w:type="dxa" w:w="3120"/>
            <w:shd w:fill="F0F3F6"/>
          </w:tcPr>
          <w:p>
            <w:r/>
            <w:r>
              <w:rPr>
                <w:rFonts w:ascii="Inter" w:hAnsi="Inter" w:cs="Inter"/>
                <w:b w:val="0"/>
                <w:i w:val="0"/>
                <w:color w:val="2D2D2D"/>
                <w:sz w:val="19"/>
              </w:rPr>
              <w:t>Other Offices</w:t>
            </w:r>
          </w:p>
        </w:tc>
        <w:tc>
          <w:tcPr>
            <w:tcW w:type="dxa" w:w="3120"/>
            <w:shd w:fill="F0F3F6"/>
          </w:tcPr>
          <w:p>
            <w:r/>
            <w:r>
              <w:rPr>
                <w:rFonts w:ascii="Inter" w:hAnsi="Inter" w:cs="Inter"/>
                <w:b w:val="0"/>
                <w:i w:val="0"/>
                <w:color w:val="2D2D2D"/>
                <w:sz w:val="19"/>
              </w:rPr>
              <w:t>Parliament may create offices "for planning and development" --- the basis for BPDA and BEDC.[^17]</w:t>
            </w:r>
          </w:p>
        </w:tc>
      </w:tr>
      <w:tr>
        <w:tc>
          <w:tcPr>
            <w:tcW w:type="dxa" w:w="3120"/>
          </w:tcPr>
          <w:p>
            <w:r/>
            <w:r>
              <w:rPr>
                <w:rFonts w:ascii="Inter" w:hAnsi="Inter" w:cs="Inter"/>
                <w:b w:val="0"/>
                <w:i w:val="0"/>
                <w:color w:val="2D2D2D"/>
                <w:sz w:val="19"/>
              </w:rPr>
              <w:t>Article XII, Section 1</w:t>
            </w:r>
          </w:p>
        </w:tc>
        <w:tc>
          <w:tcPr>
            <w:tcW w:type="dxa" w:w="3120"/>
          </w:tcPr>
          <w:p>
            <w:r/>
            <w:r>
              <w:rPr>
                <w:rFonts w:ascii="Inter" w:hAnsi="Inter" w:cs="Inter"/>
                <w:b w:val="0"/>
                <w:i w:val="0"/>
                <w:color w:val="2D2D2D"/>
                <w:sz w:val="19"/>
              </w:rPr>
              <w:t>Fiscal Autonomy</w:t>
            </w:r>
          </w:p>
        </w:tc>
        <w:tc>
          <w:tcPr>
            <w:tcW w:type="dxa" w:w="3120"/>
          </w:tcPr>
          <w:p>
            <w:r/>
            <w:r>
              <w:rPr>
                <w:rFonts w:ascii="Inter" w:hAnsi="Inter" w:cs="Inter"/>
                <w:b w:val="0"/>
                <w:i w:val="0"/>
                <w:color w:val="2D2D2D"/>
                <w:sz w:val="19"/>
              </w:rPr>
              <w:t>The Bangsamoro Government "shall enjoy fiscal autonomy" and "shall prepare its budget and allocate funds in accordance with an annual appropriations law passed by the Parliament."[^18]</w:t>
            </w:r>
          </w:p>
        </w:tc>
      </w:tr>
      <w:tr>
        <w:tc>
          <w:tcPr>
            <w:tcW w:type="dxa" w:w="3120"/>
            <w:shd w:fill="F0F3F6"/>
          </w:tcPr>
          <w:p>
            <w:r/>
            <w:r>
              <w:rPr>
                <w:rFonts w:ascii="Inter" w:hAnsi="Inter" w:cs="Inter"/>
                <w:b w:val="0"/>
                <w:i w:val="0"/>
                <w:color w:val="2D2D2D"/>
                <w:sz w:val="19"/>
              </w:rPr>
              <w:t>Article XII, Section 6</w:t>
            </w:r>
          </w:p>
        </w:tc>
        <w:tc>
          <w:tcPr>
            <w:tcW w:type="dxa" w:w="3120"/>
            <w:shd w:fill="F0F3F6"/>
          </w:tcPr>
          <w:p>
            <w:r/>
            <w:r>
              <w:rPr>
                <w:rFonts w:ascii="Inter" w:hAnsi="Inter" w:cs="Inter"/>
                <w:b w:val="0"/>
                <w:i w:val="0"/>
                <w:color w:val="2D2D2D"/>
                <w:sz w:val="19"/>
              </w:rPr>
              <w:t>Sources of Revenues</w:t>
            </w:r>
          </w:p>
        </w:tc>
        <w:tc>
          <w:tcPr>
            <w:tcW w:type="dxa" w:w="3120"/>
            <w:shd w:fill="F0F3F6"/>
          </w:tcPr>
          <w:p>
            <w:r/>
            <w:r>
              <w:rPr>
                <w:rFonts w:ascii="Inter" w:hAnsi="Inter" w:cs="Inter"/>
                <w:b w:val="0"/>
                <w:i w:val="0"/>
                <w:color w:val="2D2D2D"/>
                <w:sz w:val="19"/>
              </w:rPr>
              <w:t>Enumerates revenue sources including taxes, block grants, natural resource revenues, and development assistance --- relevant to MOA resource planning.[^19]</w:t>
            </w:r>
          </w:p>
        </w:tc>
      </w:tr>
      <w:tr>
        <w:tc>
          <w:tcPr>
            <w:tcW w:type="dxa" w:w="3120"/>
          </w:tcPr>
          <w:p>
            <w:r/>
            <w:r>
              <w:rPr>
                <w:rFonts w:ascii="Inter" w:hAnsi="Inter" w:cs="Inter"/>
                <w:b w:val="0"/>
                <w:i w:val="0"/>
                <w:color w:val="2D2D2D"/>
                <w:sz w:val="19"/>
              </w:rPr>
              <w:t>Article XIII, Section 40</w:t>
            </w:r>
          </w:p>
        </w:tc>
        <w:tc>
          <w:tcPr>
            <w:tcW w:type="dxa" w:w="3120"/>
          </w:tcPr>
          <w:p>
            <w:r/>
            <w:r>
              <w:rPr>
                <w:rFonts w:ascii="Inter" w:hAnsi="Inter" w:cs="Inter"/>
                <w:b w:val="0"/>
                <w:i w:val="0"/>
                <w:color w:val="2D2D2D"/>
                <w:sz w:val="19"/>
              </w:rPr>
              <w:t>Full Disclosure Policy</w:t>
            </w:r>
          </w:p>
        </w:tc>
        <w:tc>
          <w:tcPr>
            <w:tcW w:type="dxa" w:w="3120"/>
          </w:tcPr>
          <w:p>
            <w:r/>
            <w:r>
              <w:rPr>
                <w:rFonts w:ascii="Inter" w:hAnsi="Inter" w:cs="Inter"/>
                <w:b w:val="0"/>
                <w:i w:val="0"/>
                <w:color w:val="2D2D2D"/>
                <w:sz w:val="19"/>
              </w:rPr>
              <w:t>Requires full disclosure of budget, finances, bids, and public offerings --- the basis for transparency requirements in strategic plans.[^20]</w:t>
            </w:r>
          </w:p>
        </w:tc>
      </w:tr>
      <w:tr>
        <w:tc>
          <w:tcPr>
            <w:tcW w:type="dxa" w:w="3120"/>
            <w:shd w:fill="F0F3F6"/>
          </w:tcPr>
          <w:p>
            <w:r/>
            <w:r>
              <w:rPr>
                <w:rFonts w:ascii="Inter" w:hAnsi="Inter" w:cs="Inter"/>
                <w:b w:val="0"/>
                <w:i w:val="0"/>
                <w:color w:val="2D2D2D"/>
                <w:sz w:val="19"/>
              </w:rPr>
              <w:t>Article XIII, Section 2</w:t>
            </w:r>
          </w:p>
        </w:tc>
        <w:tc>
          <w:tcPr>
            <w:tcW w:type="dxa" w:w="3120"/>
            <w:shd w:fill="F0F3F6"/>
          </w:tcPr>
          <w:p>
            <w:r/>
            <w:r>
              <w:rPr>
                <w:rFonts w:ascii="Inter" w:hAnsi="Inter" w:cs="Inter"/>
                <w:b w:val="0"/>
                <w:i w:val="0"/>
                <w:color w:val="2D2D2D"/>
                <w:sz w:val="19"/>
              </w:rPr>
              <w:t>Sustainable Development</w:t>
            </w:r>
          </w:p>
        </w:tc>
        <w:tc>
          <w:tcPr>
            <w:tcW w:type="dxa" w:w="3120"/>
            <w:shd w:fill="F0F3F6"/>
          </w:tcPr>
          <w:p>
            <w:r/>
            <w:r>
              <w:rPr>
                <w:rFonts w:ascii="Inter" w:hAnsi="Inter" w:cs="Inter"/>
                <w:b w:val="0"/>
                <w:i w:val="0"/>
                <w:color w:val="2D2D2D"/>
                <w:sz w:val="19"/>
              </w:rPr>
              <w:t>Requires that development be "carefully planned taking into consideration the ecological balance and the natural resources."[^21]</w:t>
            </w:r>
          </w:p>
        </w:tc>
      </w:tr>
      <w:tr>
        <w:tc>
          <w:tcPr>
            <w:tcW w:type="dxa" w:w="3120"/>
          </w:tcPr>
          <w:p>
            <w:r/>
            <w:r>
              <w:rPr>
                <w:rFonts w:ascii="Inter" w:hAnsi="Inter" w:cs="Inter"/>
                <w:b w:val="0"/>
                <w:i w:val="0"/>
                <w:color w:val="2D2D2D"/>
                <w:sz w:val="19"/>
              </w:rPr>
              <w:t>Article XIII, Section 4</w:t>
            </w:r>
          </w:p>
        </w:tc>
        <w:tc>
          <w:tcPr>
            <w:tcW w:type="dxa" w:w="3120"/>
          </w:tcPr>
          <w:p>
            <w:r/>
            <w:r>
              <w:rPr>
                <w:rFonts w:ascii="Inter" w:hAnsi="Inter" w:cs="Inter"/>
                <w:b w:val="0"/>
                <w:i w:val="0"/>
                <w:color w:val="2D2D2D"/>
                <w:sz w:val="19"/>
              </w:rPr>
              <w:t>BEDC</w:t>
            </w:r>
          </w:p>
        </w:tc>
        <w:tc>
          <w:tcPr>
            <w:tcW w:type="dxa" w:w="3120"/>
          </w:tcPr>
          <w:p>
            <w:r/>
            <w:r>
              <w:rPr>
                <w:rFonts w:ascii="Inter" w:hAnsi="Inter" w:cs="Inter"/>
                <w:b w:val="0"/>
                <w:i w:val="0"/>
                <w:color w:val="2D2D2D"/>
                <w:sz w:val="19"/>
              </w:rPr>
              <w:t>Establishes the Bangsamoro Economic and Development Council to serve as "the planning, monitoring, and coordinating agency for all development plans."[^22]</w:t>
            </w:r>
          </w:p>
        </w:tc>
      </w:tr>
      <w:tr>
        <w:tc>
          <w:tcPr>
            <w:tcW w:type="dxa" w:w="3120"/>
            <w:shd w:fill="F0F3F6"/>
          </w:tcPr>
          <w:p>
            <w:r/>
            <w:r>
              <w:rPr>
                <w:rFonts w:ascii="Inter" w:hAnsi="Inter" w:cs="Inter"/>
                <w:b w:val="0"/>
                <w:i w:val="0"/>
                <w:color w:val="2D2D2D"/>
                <w:sz w:val="19"/>
              </w:rPr>
              <w:t>Article XIII, Section 5</w:t>
            </w:r>
          </w:p>
        </w:tc>
        <w:tc>
          <w:tcPr>
            <w:tcW w:type="dxa" w:w="3120"/>
            <w:shd w:fill="F0F3F6"/>
          </w:tcPr>
          <w:p>
            <w:r/>
            <w:r>
              <w:rPr>
                <w:rFonts w:ascii="Inter" w:hAnsi="Inter" w:cs="Inter"/>
                <w:b w:val="0"/>
                <w:i w:val="0"/>
                <w:color w:val="2D2D2D"/>
                <w:sz w:val="19"/>
              </w:rPr>
              <w:t>Gender and Development</w:t>
            </w:r>
          </w:p>
        </w:tc>
        <w:tc>
          <w:tcPr>
            <w:tcW w:type="dxa" w:w="3120"/>
            <w:shd w:fill="F0F3F6"/>
          </w:tcPr>
          <w:p>
            <w:r/>
            <w:r>
              <w:rPr>
                <w:rFonts w:ascii="Inter" w:hAnsi="Inter" w:cs="Inter"/>
                <w:b w:val="0"/>
                <w:i w:val="0"/>
                <w:color w:val="2D2D2D"/>
                <w:sz w:val="19"/>
              </w:rPr>
              <w:t>Requires that "at least five percent (5%) of the total budget appropriation of each ministry, office, and constituent local government unit" be set aside for gender-responsive programs.[^23]</w:t>
            </w:r>
          </w:p>
        </w:tc>
      </w:tr>
      <w:tr>
        <w:tc>
          <w:tcPr>
            <w:tcW w:type="dxa" w:w="3120"/>
          </w:tcPr>
          <w:p>
            <w:r/>
            <w:r>
              <w:rPr>
                <w:rFonts w:ascii="Inter" w:hAnsi="Inter" w:cs="Inter"/>
                <w:b w:val="0"/>
                <w:i w:val="0"/>
                <w:color w:val="2D2D2D"/>
                <w:sz w:val="19"/>
              </w:rPr>
              <w:t>Article XVI</w:t>
            </w:r>
          </w:p>
        </w:tc>
        <w:tc>
          <w:tcPr>
            <w:tcW w:type="dxa" w:w="3120"/>
          </w:tcPr>
          <w:p>
            <w:r/>
            <w:r>
              <w:rPr>
                <w:rFonts w:ascii="Inter" w:hAnsi="Inter" w:cs="Inter"/>
                <w:b w:val="0"/>
                <w:i w:val="0"/>
                <w:color w:val="2D2D2D"/>
                <w:sz w:val="19"/>
              </w:rPr>
              <w:t>Transition Authority</w:t>
            </w:r>
          </w:p>
        </w:tc>
        <w:tc>
          <w:tcPr>
            <w:tcW w:type="dxa" w:w="3120"/>
          </w:tcPr>
          <w:p>
            <w:r/>
            <w:r>
              <w:rPr>
                <w:rFonts w:ascii="Inter" w:hAnsi="Inter" w:cs="Inter"/>
                <w:b w:val="0"/>
                <w:i w:val="0"/>
                <w:color w:val="2D2D2D"/>
                <w:sz w:val="19"/>
              </w:rPr>
              <w:t>Established the BTA and its legislative and executive powers during the transition period; created the 15 primary ministries.[^24]</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Access.</w:t>
      </w:r>
      <w:r>
        <w:rPr>
          <w:rFonts w:ascii="Inter" w:hAnsi="Inter" w:cs="Inter"/>
          <w:b w:val="0"/>
          <w:i w:val="0"/>
          <w:color w:val="2D2D2D"/>
          <w:sz w:val="22"/>
        </w:rPr>
        <w:t xml:space="preserve"> The full text of RA 11054 is published in the Official Gazette. A complete verbatim transcription is maintained in the reference collection at `~/Vault/bangsamoro/bangsamoro-laws/bol-ra-11054/`.</w:t>
      </w:r>
    </w:p>
    <w:p>
      <w:pPr>
        <w:pStyle w:val="Heading3"/>
      </w:pPr>
      <w:r>
        <w:rPr>
          <w:rFonts w:ascii="Inter" w:hAnsi="Inter" w:cs="Inter"/>
          <w:b/>
          <w:i w:val="0"/>
          <w:color w:val="2C5F7C"/>
          <w:sz w:val="26"/>
        </w:rPr>
        <w:t>Tier 3: The Bangsamoro Administrative Code (BAA No. 13)</w:t>
      </w:r>
    </w:p>
    <w:p>
      <w:pPr>
        <w:spacing w:after="120" w:line="276" w:lineRule="auto"/>
      </w:pPr>
      <w:r>
        <w:rPr>
          <w:rFonts w:ascii="Inter" w:hAnsi="Inter" w:cs="Inter"/>
          <w:b w:val="0"/>
          <w:i w:val="0"/>
          <w:color w:val="2D2D2D"/>
          <w:sz w:val="22"/>
        </w:rPr>
      </w:r>
      <w:r>
        <w:rPr>
          <w:rFonts w:ascii="Inter" w:hAnsi="Inter" w:cs="Inter"/>
          <w:b/>
          <w:i w:val="0"/>
          <w:color w:val="2D2D2D"/>
          <w:sz w:val="22"/>
        </w:rPr>
        <w:t>Description.</w:t>
      </w:r>
      <w:r>
        <w:rPr>
          <w:rFonts w:ascii="Inter" w:hAnsi="Inter" w:cs="Inter"/>
          <w:b w:val="0"/>
          <w:i w:val="0"/>
          <w:color w:val="2D2D2D"/>
          <w:sz w:val="22"/>
        </w:rPr>
        <w:t xml:space="preserve"> BAA No. 13 prescribes the structural, functional, and procedural principles and rules of governance of the Bangsamoro Autonomous Region. It is the implementing framework for the BOL's organizational provisions.[^25]</w:t>
      </w:r>
    </w:p>
    <w:p>
      <w:pPr>
        <w:spacing w:after="120" w:line="276" w:lineRule="auto"/>
      </w:pPr>
      <w:r>
        <w:rPr>
          <w:rFonts w:ascii="Inter" w:hAnsi="Inter" w:cs="Inter"/>
          <w:b w:val="0"/>
          <w:i w:val="0"/>
          <w:color w:val="2D2D2D"/>
          <w:sz w:val="22"/>
        </w:rPr>
      </w:r>
      <w:r>
        <w:rPr>
          <w:rFonts w:ascii="Inter" w:hAnsi="Inter" w:cs="Inter"/>
          <w:b/>
          <w:i w:val="0"/>
          <w:color w:val="2D2D2D"/>
          <w:sz w:val="22"/>
        </w:rPr>
        <w:t>Key Provisions Relevant to Strategic Planning: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Provision</w:t>
            </w:r>
          </w:p>
        </w:tc>
        <w:tc>
          <w:tcPr>
            <w:tcW w:type="dxa" w:w="3120"/>
            <w:shd w:fill="1B365D"/>
          </w:tcPr>
          <w:p>
            <w:r/>
            <w:r>
              <w:rPr>
                <w:rFonts w:ascii="Inter" w:hAnsi="Inter" w:cs="Inter"/>
                <w:b/>
                <w:i w:val="0"/>
                <w:color w:val="FFFFFF"/>
                <w:sz w:val="19"/>
              </w:rPr>
              <w:t>Subject</w:t>
            </w:r>
          </w:p>
        </w:tc>
        <w:tc>
          <w:tcPr>
            <w:tcW w:type="dxa" w:w="3120"/>
            <w:shd w:fill="1B365D"/>
          </w:tcPr>
          <w:p>
            <w:r/>
            <w:r>
              <w:rPr>
                <w:rFonts w:ascii="Inter" w:hAnsi="Inter" w:cs="Inter"/>
                <w:b/>
                <w:i w:val="0"/>
                <w:color w:val="FFFFFF"/>
                <w:sz w:val="19"/>
              </w:rPr>
              <w:t>Relevance to MOA Planning</w:t>
            </w:r>
          </w:p>
        </w:tc>
      </w:tr>
      <w:tr>
        <w:tc>
          <w:tcPr>
            <w:tcW w:type="dxa" w:w="3120"/>
          </w:tcPr>
          <w:p>
            <w:r/>
            <w:r>
              <w:rPr>
                <w:rFonts w:ascii="Inter" w:hAnsi="Inter" w:cs="Inter"/>
                <w:b w:val="0"/>
                <w:i w:val="0"/>
                <w:color w:val="2D2D2D"/>
                <w:sz w:val="19"/>
              </w:rPr>
              <w:t>Section 2</w:t>
            </w:r>
          </w:p>
        </w:tc>
        <w:tc>
          <w:tcPr>
            <w:tcW w:type="dxa" w:w="3120"/>
          </w:tcPr>
          <w:p>
            <w:r/>
            <w:r>
              <w:rPr>
                <w:rFonts w:ascii="Inter" w:hAnsi="Inter" w:cs="Inter"/>
                <w:b w:val="0"/>
                <w:i w:val="0"/>
                <w:color w:val="2D2D2D"/>
                <w:sz w:val="19"/>
              </w:rPr>
              <w:t>Purpose</w:t>
            </w:r>
          </w:p>
        </w:tc>
        <w:tc>
          <w:tcPr>
            <w:tcW w:type="dxa" w:w="3120"/>
          </w:tcPr>
          <w:p>
            <w:r/>
            <w:r>
              <w:rPr>
                <w:rFonts w:ascii="Inter" w:hAnsi="Inter" w:cs="Inter"/>
                <w:b w:val="0"/>
                <w:i w:val="0"/>
                <w:color w:val="2D2D2D"/>
                <w:sz w:val="19"/>
              </w:rPr>
              <w:t>Prescribes structural, functional, and procedural principles of BARMM governance.[^26]</w:t>
            </w:r>
          </w:p>
        </w:tc>
      </w:tr>
      <w:tr>
        <w:tc>
          <w:tcPr>
            <w:tcW w:type="dxa" w:w="3120"/>
            <w:shd w:fill="F0F3F6"/>
          </w:tcPr>
          <w:p>
            <w:r/>
            <w:r>
              <w:rPr>
                <w:rFonts w:ascii="Inter" w:hAnsi="Inter" w:cs="Inter"/>
                <w:b w:val="0"/>
                <w:i w:val="0"/>
                <w:color w:val="2D2D2D"/>
                <w:sz w:val="19"/>
              </w:rPr>
              <w:t>Section 3</w:t>
            </w:r>
          </w:p>
        </w:tc>
        <w:tc>
          <w:tcPr>
            <w:tcW w:type="dxa" w:w="3120"/>
            <w:shd w:fill="F0F3F6"/>
          </w:tcPr>
          <w:p>
            <w:r/>
            <w:r>
              <w:rPr>
                <w:rFonts w:ascii="Inter" w:hAnsi="Inter" w:cs="Inter"/>
                <w:b w:val="0"/>
                <w:i w:val="0"/>
                <w:color w:val="2D2D2D"/>
                <w:sz w:val="19"/>
              </w:rPr>
              <w:t>Declaration of Principles</w:t>
            </w:r>
          </w:p>
        </w:tc>
        <w:tc>
          <w:tcPr>
            <w:tcW w:type="dxa" w:w="3120"/>
            <w:shd w:fill="F0F3F6"/>
          </w:tcPr>
          <w:p>
            <w:r/>
            <w:r>
              <w:rPr>
                <w:rFonts w:ascii="Inter" w:hAnsi="Inter" w:cs="Inter"/>
                <w:b w:val="0"/>
                <w:i w:val="0"/>
                <w:color w:val="2D2D2D"/>
                <w:sz w:val="19"/>
              </w:rPr>
              <w:t>Establishes moral governance, transparency, accountability, and participation as foundational principles --- values that must appear in every MOA's strategic direction.[^27]</w:t>
            </w:r>
          </w:p>
        </w:tc>
      </w:tr>
      <w:tr>
        <w:tc>
          <w:tcPr>
            <w:tcW w:type="dxa" w:w="3120"/>
          </w:tcPr>
          <w:p>
            <w:r/>
            <w:r>
              <w:rPr>
                <w:rFonts w:ascii="Inter" w:hAnsi="Inter" w:cs="Inter"/>
                <w:b w:val="0"/>
                <w:i w:val="0"/>
                <w:color w:val="2D2D2D"/>
                <w:sz w:val="19"/>
              </w:rPr>
              <w:t>Book I, Chapter 5</w:t>
            </w:r>
          </w:p>
        </w:tc>
        <w:tc>
          <w:tcPr>
            <w:tcW w:type="dxa" w:w="3120"/>
          </w:tcPr>
          <w:p>
            <w:r/>
            <w:r>
              <w:rPr>
                <w:rFonts w:ascii="Inter" w:hAnsi="Inter" w:cs="Inter"/>
                <w:b w:val="0"/>
                <w:i w:val="0"/>
                <w:color w:val="2D2D2D"/>
                <w:sz w:val="19"/>
              </w:rPr>
              <w:t>General Principles Governing Public Officers</w:t>
            </w:r>
          </w:p>
        </w:tc>
        <w:tc>
          <w:tcPr>
            <w:tcW w:type="dxa" w:w="3120"/>
          </w:tcPr>
          <w:p>
            <w:r/>
            <w:r>
              <w:rPr>
                <w:rFonts w:ascii="Inter" w:hAnsi="Inter" w:cs="Inter"/>
                <w:b w:val="0"/>
                <w:i w:val="0"/>
                <w:color w:val="2D2D2D"/>
                <w:sz w:val="19"/>
              </w:rPr>
              <w:t>Public office as "sacred public trust," moral governance oath, ethics standards.[^28]</w:t>
            </w:r>
          </w:p>
        </w:tc>
      </w:tr>
      <w:tr>
        <w:tc>
          <w:tcPr>
            <w:tcW w:type="dxa" w:w="3120"/>
            <w:shd w:fill="F0F3F6"/>
          </w:tcPr>
          <w:p>
            <w:r/>
            <w:r>
              <w:rPr>
                <w:rFonts w:ascii="Inter" w:hAnsi="Inter" w:cs="Inter"/>
                <w:b w:val="0"/>
                <w:i w:val="0"/>
                <w:color w:val="2D2D2D"/>
                <w:sz w:val="19"/>
              </w:rPr>
              <w:t>Book II, Title IV</w:t>
            </w:r>
          </w:p>
        </w:tc>
        <w:tc>
          <w:tcPr>
            <w:tcW w:type="dxa" w:w="3120"/>
            <w:shd w:fill="F0F3F6"/>
          </w:tcPr>
          <w:p>
            <w:r/>
            <w:r>
              <w:rPr>
                <w:rFonts w:ascii="Inter" w:hAnsi="Inter" w:cs="Inter"/>
                <w:b w:val="0"/>
                <w:i w:val="0"/>
                <w:color w:val="2D2D2D"/>
                <w:sz w:val="19"/>
              </w:rPr>
              <w:t>Cabinet Ministries</w:t>
            </w:r>
          </w:p>
        </w:tc>
        <w:tc>
          <w:tcPr>
            <w:tcW w:type="dxa" w:w="3120"/>
            <w:shd w:fill="F0F3F6"/>
          </w:tcPr>
          <w:p>
            <w:r/>
            <w:r>
              <w:rPr>
                <w:rFonts w:ascii="Inter" w:hAnsi="Inter" w:cs="Inter"/>
                <w:b w:val="0"/>
                <w:i w:val="0"/>
                <w:color w:val="2D2D2D"/>
                <w:sz w:val="19"/>
              </w:rPr>
              <w:t>Lists the 15 primary ministries and their general mandates --- the structural basis for MOA-specific creating laws.[^29]</w:t>
            </w:r>
          </w:p>
        </w:tc>
      </w:tr>
      <w:tr>
        <w:tc>
          <w:tcPr>
            <w:tcW w:type="dxa" w:w="3120"/>
          </w:tcPr>
          <w:p>
            <w:r/>
            <w:r>
              <w:rPr>
                <w:rFonts w:ascii="Inter" w:hAnsi="Inter" w:cs="Inter"/>
                <w:b w:val="0"/>
                <w:i w:val="0"/>
                <w:color w:val="2D2D2D"/>
                <w:sz w:val="19"/>
              </w:rPr>
              <w:t>Sections 12-15</w:t>
            </w:r>
          </w:p>
        </w:tc>
        <w:tc>
          <w:tcPr>
            <w:tcW w:type="dxa" w:w="3120"/>
          </w:tcPr>
          <w:p>
            <w:r/>
            <w:r>
              <w:rPr>
                <w:rFonts w:ascii="Inter" w:hAnsi="Inter" w:cs="Inter"/>
                <w:b w:val="0"/>
                <w:i w:val="0"/>
                <w:color w:val="2D2D2D"/>
                <w:sz w:val="19"/>
              </w:rPr>
              <w:t>BEDC Functions</w:t>
            </w:r>
          </w:p>
        </w:tc>
        <w:tc>
          <w:tcPr>
            <w:tcW w:type="dxa" w:w="3120"/>
          </w:tcPr>
          <w:p>
            <w:r/>
            <w:r>
              <w:rPr>
                <w:rFonts w:ascii="Inter" w:hAnsi="Inter" w:cs="Inter"/>
                <w:b w:val="0"/>
                <w:i w:val="0"/>
                <w:color w:val="2D2D2D"/>
                <w:sz w:val="19"/>
              </w:rPr>
              <w:t>Establishes the BEDC's role in directing plan formulation and recommending the Bangsamoro Development Plan for parliamentary approval.[^30]</w:t>
            </w:r>
          </w:p>
        </w:tc>
      </w:tr>
      <w:tr>
        <w:tc>
          <w:tcPr>
            <w:tcW w:type="dxa" w:w="3120"/>
            <w:shd w:fill="F0F3F6"/>
          </w:tcPr>
          <w:p>
            <w:r/>
            <w:r>
              <w:rPr>
                <w:rFonts w:ascii="Inter" w:hAnsi="Inter" w:cs="Inter"/>
                <w:b w:val="0"/>
                <w:i w:val="0"/>
                <w:color w:val="2D2D2D"/>
                <w:sz w:val="19"/>
              </w:rPr>
              <w:t>Sections 39-42</w:t>
            </w:r>
          </w:p>
        </w:tc>
        <w:tc>
          <w:tcPr>
            <w:tcW w:type="dxa" w:w="3120"/>
            <w:shd w:fill="F0F3F6"/>
          </w:tcPr>
          <w:p>
            <w:r/>
            <w:r>
              <w:rPr>
                <w:rFonts w:ascii="Inter" w:hAnsi="Inter" w:cs="Inter"/>
                <w:b w:val="0"/>
                <w:i w:val="0"/>
                <w:color w:val="2D2D2D"/>
                <w:sz w:val="19"/>
              </w:rPr>
              <w:t>BPDA Mandate</w:t>
            </w:r>
          </w:p>
        </w:tc>
        <w:tc>
          <w:tcPr>
            <w:tcW w:type="dxa" w:w="3120"/>
            <w:shd w:fill="F0F3F6"/>
          </w:tcPr>
          <w:p>
            <w:r/>
            <w:r>
              <w:rPr>
                <w:rFonts w:ascii="Inter" w:hAnsi="Inter" w:cs="Inter"/>
                <w:b w:val="0"/>
                <w:i w:val="0"/>
                <w:color w:val="2D2D2D"/>
                <w:sz w:val="19"/>
              </w:rPr>
              <w:t>Establishes BPDA as the planning, coordinating, and monitoring agency for all development plans, policies, programs, and projects.[^31]</w:t>
            </w:r>
          </w:p>
        </w:tc>
      </w:tr>
      <w:tr>
        <w:tc>
          <w:tcPr>
            <w:tcW w:type="dxa" w:w="3120"/>
          </w:tcPr>
          <w:p>
            <w:r/>
            <w:r>
              <w:rPr>
                <w:rFonts w:ascii="Inter" w:hAnsi="Inter" w:cs="Inter"/>
                <w:b w:val="0"/>
                <w:i w:val="0"/>
                <w:color w:val="2D2D2D"/>
                <w:sz w:val="19"/>
              </w:rPr>
              <w:t>Book IV, Title I</w:t>
            </w:r>
          </w:p>
        </w:tc>
        <w:tc>
          <w:tcPr>
            <w:tcW w:type="dxa" w:w="3120"/>
          </w:tcPr>
          <w:p>
            <w:r/>
            <w:r>
              <w:rPr>
                <w:rFonts w:ascii="Inter" w:hAnsi="Inter" w:cs="Inter"/>
                <w:b w:val="0"/>
                <w:i w:val="0"/>
                <w:color w:val="2D2D2D"/>
                <w:sz w:val="19"/>
              </w:rPr>
              <w:t>Chief Minister's Powers</w:t>
            </w:r>
          </w:p>
        </w:tc>
        <w:tc>
          <w:tcPr>
            <w:tcW w:type="dxa" w:w="3120"/>
          </w:tcPr>
          <w:p>
            <w:r/>
            <w:r>
              <w:rPr>
                <w:rFonts w:ascii="Inter" w:hAnsi="Inter" w:cs="Inter"/>
                <w:b w:val="0"/>
                <w:i w:val="0"/>
                <w:color w:val="2D2D2D"/>
                <w:sz w:val="19"/>
              </w:rPr>
              <w:t>Authority to "formulate the platform of government" --- the legal basis for the 12-Point Priority Agenda that MOA plans must implement.[^32]</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Access.</w:t>
      </w:r>
      <w:r>
        <w:rPr>
          <w:rFonts w:ascii="Inter" w:hAnsi="Inter" w:cs="Inter"/>
          <w:b w:val="0"/>
          <w:i w:val="0"/>
          <w:color w:val="2D2D2D"/>
          <w:sz w:val="22"/>
        </w:rPr>
        <w:t xml:space="preserve"> BAA No. 13 is published in the Bangsamoro Gazette and is available from the Bangsamoro Information Office.</w:t>
      </w:r>
    </w:p>
    <w:p>
      <w:pPr>
        <w:pStyle w:val="Heading3"/>
      </w:pPr>
      <w:r>
        <w:rPr>
          <w:rFonts w:ascii="Inter" w:hAnsi="Inter" w:cs="Inter"/>
          <w:b/>
          <w:i w:val="0"/>
          <w:color w:val="2C5F7C"/>
          <w:sz w:val="26"/>
        </w:rPr>
        <w:t>Tier 4: Bangsamoro Autonomy Acts (BAAs)</w:t>
      </w:r>
    </w:p>
    <w:p>
      <w:pPr>
        <w:spacing w:after="120" w:line="276" w:lineRule="auto"/>
      </w:pPr>
      <w:r>
        <w:rPr>
          <w:rFonts w:ascii="Inter" w:hAnsi="Inter" w:cs="Inter"/>
          <w:b w:val="0"/>
          <w:i w:val="0"/>
          <w:color w:val="2D2D2D"/>
          <w:sz w:val="22"/>
        </w:rPr>
      </w:r>
      <w:r>
        <w:rPr>
          <w:rFonts w:ascii="Inter" w:hAnsi="Inter" w:cs="Inter"/>
          <w:b/>
          <w:i w:val="0"/>
          <w:color w:val="2D2D2D"/>
          <w:sz w:val="22"/>
        </w:rPr>
        <w:t>Description.</w:t>
      </w:r>
      <w:r>
        <w:rPr>
          <w:rFonts w:ascii="Inter" w:hAnsi="Inter" w:cs="Inter"/>
          <w:b w:val="0"/>
          <w:i w:val="0"/>
          <w:color w:val="2D2D2D"/>
          <w:sz w:val="22"/>
        </w:rPr>
        <w:t xml:space="preserve"> BAAs are laws enacted by the Bangsamoro Parliament (including the BTA during the transition period) on matters within the Bangsamoro Government's legislative authority. They include appropriations acts, fiscal legislation, sector-specific laws, and administrative legislation.[^33]</w:t>
      </w:r>
    </w:p>
    <w:p>
      <w:pPr>
        <w:spacing w:after="120" w:line="276" w:lineRule="auto"/>
      </w:pPr>
      <w:r>
        <w:rPr>
          <w:rFonts w:ascii="Inter" w:hAnsi="Inter" w:cs="Inter"/>
          <w:b w:val="0"/>
          <w:i w:val="0"/>
          <w:color w:val="2D2D2D"/>
          <w:sz w:val="22"/>
        </w:rPr>
      </w:r>
      <w:r>
        <w:rPr>
          <w:rFonts w:ascii="Inter" w:hAnsi="Inter" w:cs="Inter"/>
          <w:b/>
          <w:i w:val="0"/>
          <w:color w:val="2D2D2D"/>
          <w:sz w:val="22"/>
        </w:rPr>
        <w:t>Key BAAs Relevant to Strategic Planning: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BAA</w:t>
            </w:r>
          </w:p>
        </w:tc>
        <w:tc>
          <w:tcPr>
            <w:tcW w:type="dxa" w:w="3120"/>
            <w:shd w:fill="1B365D"/>
          </w:tcPr>
          <w:p>
            <w:r/>
            <w:r>
              <w:rPr>
                <w:rFonts w:ascii="Inter" w:hAnsi="Inter" w:cs="Inter"/>
                <w:b/>
                <w:i w:val="0"/>
                <w:color w:val="FFFFFF"/>
                <w:sz w:val="19"/>
              </w:rPr>
              <w:t>Title</w:t>
            </w:r>
          </w:p>
        </w:tc>
        <w:tc>
          <w:tcPr>
            <w:tcW w:type="dxa" w:w="3120"/>
            <w:shd w:fill="1B365D"/>
          </w:tcPr>
          <w:p>
            <w:r/>
            <w:r>
              <w:rPr>
                <w:rFonts w:ascii="Inter" w:hAnsi="Inter" w:cs="Inter"/>
                <w:b/>
                <w:i w:val="0"/>
                <w:color w:val="FFFFFF"/>
                <w:sz w:val="19"/>
              </w:rPr>
              <w:t>Relevance to MOA Planning</w:t>
            </w:r>
          </w:p>
        </w:tc>
      </w:tr>
      <w:tr>
        <w:tc>
          <w:tcPr>
            <w:tcW w:type="dxa" w:w="3120"/>
          </w:tcPr>
          <w:p>
            <w:r/>
            <w:r>
              <w:rPr>
                <w:rFonts w:ascii="Inter" w:hAnsi="Inter" w:cs="Inter"/>
                <w:b w:val="0"/>
                <w:i w:val="0"/>
                <w:color w:val="2D2D2D"/>
                <w:sz w:val="19"/>
              </w:rPr>
              <w:t>BAA No. 13</w:t>
            </w:r>
          </w:p>
        </w:tc>
        <w:tc>
          <w:tcPr>
            <w:tcW w:type="dxa" w:w="3120"/>
          </w:tcPr>
          <w:p>
            <w:r/>
            <w:r>
              <w:rPr>
                <w:rFonts w:ascii="Inter" w:hAnsi="Inter" w:cs="Inter"/>
                <w:b w:val="0"/>
                <w:i w:val="0"/>
                <w:color w:val="2D2D2D"/>
                <w:sz w:val="19"/>
              </w:rPr>
              <w:t>Bangsamoro Administrative Code</w:t>
            </w:r>
          </w:p>
        </w:tc>
        <w:tc>
          <w:tcPr>
            <w:tcW w:type="dxa" w:w="3120"/>
          </w:tcPr>
          <w:p>
            <w:r/>
            <w:r>
              <w:rPr>
                <w:rFonts w:ascii="Inter" w:hAnsi="Inter" w:cs="Inter"/>
                <w:b w:val="0"/>
                <w:i w:val="0"/>
                <w:color w:val="2D2D2D"/>
                <w:sz w:val="19"/>
              </w:rPr>
              <w:t>(See Tier 3 above.) Organizational framework for all MOAs.</w:t>
            </w:r>
          </w:p>
        </w:tc>
      </w:tr>
      <w:tr>
        <w:tc>
          <w:tcPr>
            <w:tcW w:type="dxa" w:w="3120"/>
            <w:shd w:fill="F0F3F6"/>
          </w:tcPr>
          <w:p>
            <w:r/>
            <w:r>
              <w:rPr>
                <w:rFonts w:ascii="Inter" w:hAnsi="Inter" w:cs="Inter"/>
                <w:b w:val="0"/>
                <w:i w:val="0"/>
                <w:color w:val="2D2D2D"/>
                <w:sz w:val="19"/>
              </w:rPr>
              <w:t>BAA No. 25</w:t>
            </w:r>
          </w:p>
        </w:tc>
        <w:tc>
          <w:tcPr>
            <w:tcW w:type="dxa" w:w="3120"/>
            <w:shd w:fill="F0F3F6"/>
          </w:tcPr>
          <w:p>
            <w:r/>
            <w:r>
              <w:rPr>
                <w:rFonts w:ascii="Inter" w:hAnsi="Inter" w:cs="Inter"/>
                <w:b w:val="0"/>
                <w:i w:val="0"/>
                <w:color w:val="2D2D2D"/>
                <w:sz w:val="19"/>
              </w:rPr>
              <w:t>Bangsamoro Education Act</w:t>
            </w:r>
          </w:p>
        </w:tc>
        <w:tc>
          <w:tcPr>
            <w:tcW w:type="dxa" w:w="3120"/>
            <w:shd w:fill="F0F3F6"/>
          </w:tcPr>
          <w:p>
            <w:r/>
            <w:r>
              <w:rPr>
                <w:rFonts w:ascii="Inter" w:hAnsi="Inter" w:cs="Inter"/>
                <w:b w:val="0"/>
                <w:i w:val="0"/>
                <w:color w:val="2D2D2D"/>
                <w:sz w:val="19"/>
              </w:rPr>
              <w:t>Sector-specific mandate for MBHTE; illustrates sector BAA structure.</w:t>
            </w:r>
          </w:p>
        </w:tc>
      </w:tr>
      <w:tr>
        <w:tc>
          <w:tcPr>
            <w:tcW w:type="dxa" w:w="3120"/>
          </w:tcPr>
          <w:p>
            <w:r/>
            <w:r>
              <w:rPr>
                <w:rFonts w:ascii="Inter" w:hAnsi="Inter" w:cs="Inter"/>
                <w:b w:val="0"/>
                <w:i w:val="0"/>
                <w:color w:val="2D2D2D"/>
                <w:sz w:val="19"/>
              </w:rPr>
              <w:t>BAA No. 31</w:t>
            </w:r>
          </w:p>
        </w:tc>
        <w:tc>
          <w:tcPr>
            <w:tcW w:type="dxa" w:w="3120"/>
          </w:tcPr>
          <w:p>
            <w:r/>
            <w:r>
              <w:rPr>
                <w:rFonts w:ascii="Inter" w:hAnsi="Inter" w:cs="Inter"/>
                <w:b w:val="0"/>
                <w:i w:val="0"/>
                <w:color w:val="2D2D2D"/>
                <w:sz w:val="19"/>
              </w:rPr>
              <w:t>Bangsamoro Civil Service Act</w:t>
            </w:r>
          </w:p>
        </w:tc>
        <w:tc>
          <w:tcPr>
            <w:tcW w:type="dxa" w:w="3120"/>
          </w:tcPr>
          <w:p>
            <w:r/>
            <w:r>
              <w:rPr>
                <w:rFonts w:ascii="Inter" w:hAnsi="Inter" w:cs="Inter"/>
                <w:b w:val="0"/>
                <w:i w:val="0"/>
                <w:color w:val="2D2D2D"/>
                <w:sz w:val="19"/>
              </w:rPr>
              <w:t>Governs hiring, placement, and discipline of MOA personnel; affects HR planning in resource requirements matrices.</w:t>
            </w:r>
          </w:p>
        </w:tc>
      </w:tr>
      <w:tr>
        <w:tc>
          <w:tcPr>
            <w:tcW w:type="dxa" w:w="3120"/>
            <w:shd w:fill="F0F3F6"/>
          </w:tcPr>
          <w:p>
            <w:r/>
            <w:r>
              <w:rPr>
                <w:rFonts w:ascii="Inter" w:hAnsi="Inter" w:cs="Inter"/>
                <w:b w:val="0"/>
                <w:i w:val="0"/>
                <w:color w:val="2D2D2D"/>
                <w:sz w:val="19"/>
              </w:rPr>
              <w:t>BAA No. 38</w:t>
            </w:r>
          </w:p>
        </w:tc>
        <w:tc>
          <w:tcPr>
            <w:tcW w:type="dxa" w:w="3120"/>
            <w:shd w:fill="F0F3F6"/>
          </w:tcPr>
          <w:p>
            <w:r/>
            <w:r>
              <w:rPr>
                <w:rFonts w:ascii="Inter" w:hAnsi="Inter" w:cs="Inter"/>
                <w:b w:val="0"/>
                <w:i w:val="0"/>
                <w:color w:val="2D2D2D"/>
                <w:sz w:val="19"/>
              </w:rPr>
              <w:t>Bangsamoro Procurement Code</w:t>
            </w:r>
          </w:p>
        </w:tc>
        <w:tc>
          <w:tcPr>
            <w:tcW w:type="dxa" w:w="3120"/>
            <w:shd w:fill="F0F3F6"/>
          </w:tcPr>
          <w:p>
            <w:r/>
            <w:r>
              <w:rPr>
                <w:rFonts w:ascii="Inter" w:hAnsi="Inter" w:cs="Inter"/>
                <w:b w:val="0"/>
                <w:i w:val="0"/>
                <w:color w:val="2D2D2D"/>
                <w:sz w:val="19"/>
              </w:rPr>
              <w:t>Governs procurement of goods, services, and infrastructure; all APP entries must comply. Suppletory: RA 9184.</w:t>
            </w:r>
          </w:p>
        </w:tc>
      </w:tr>
      <w:tr>
        <w:tc>
          <w:tcPr>
            <w:tcW w:type="dxa" w:w="3120"/>
          </w:tcPr>
          <w:p>
            <w:r/>
            <w:r>
              <w:rPr>
                <w:rFonts w:ascii="Inter" w:hAnsi="Inter" w:cs="Inter"/>
                <w:b w:val="0"/>
                <w:i w:val="0"/>
                <w:color w:val="2D2D2D"/>
                <w:sz w:val="19"/>
              </w:rPr>
              <w:t>BAA No. 46</w:t>
            </w:r>
          </w:p>
        </w:tc>
        <w:tc>
          <w:tcPr>
            <w:tcW w:type="dxa" w:w="3120"/>
          </w:tcPr>
          <w:p>
            <w:r/>
            <w:r>
              <w:rPr>
                <w:rFonts w:ascii="Inter" w:hAnsi="Inter" w:cs="Inter"/>
                <w:b w:val="0"/>
                <w:i w:val="0"/>
                <w:color w:val="2D2D2D"/>
                <w:sz w:val="19"/>
              </w:rPr>
              <w:t>Bangsamoro Revenue Code</w:t>
            </w:r>
          </w:p>
        </w:tc>
        <w:tc>
          <w:tcPr>
            <w:tcW w:type="dxa" w:w="3120"/>
          </w:tcPr>
          <w:p>
            <w:r/>
            <w:r>
              <w:rPr>
                <w:rFonts w:ascii="Inter" w:hAnsi="Inter" w:cs="Inter"/>
                <w:b w:val="0"/>
                <w:i w:val="0"/>
                <w:color w:val="2D2D2D"/>
                <w:sz w:val="19"/>
              </w:rPr>
              <w:t>Revenue generation authorities; relevant to fiscal self-sustainability targets.</w:t>
            </w:r>
          </w:p>
        </w:tc>
      </w:tr>
      <w:tr>
        <w:tc>
          <w:tcPr>
            <w:tcW w:type="dxa" w:w="3120"/>
            <w:shd w:fill="F0F3F6"/>
          </w:tcPr>
          <w:p>
            <w:r/>
            <w:r>
              <w:rPr>
                <w:rFonts w:ascii="Inter" w:hAnsi="Inter" w:cs="Inter"/>
                <w:b w:val="0"/>
                <w:i w:val="0"/>
                <w:color w:val="2D2D2D"/>
                <w:sz w:val="19"/>
              </w:rPr>
              <w:t>BAA No. 84</w:t>
            </w:r>
          </w:p>
        </w:tc>
        <w:tc>
          <w:tcPr>
            <w:tcW w:type="dxa" w:w="3120"/>
            <w:shd w:fill="F0F3F6"/>
          </w:tcPr>
          <w:p>
            <w:r/>
            <w:r>
              <w:rPr>
                <w:rFonts w:ascii="Inter" w:hAnsi="Inter" w:cs="Inter"/>
                <w:b w:val="0"/>
                <w:i w:val="0"/>
                <w:color w:val="2D2D2D"/>
                <w:sz w:val="19"/>
              </w:rPr>
              <w:t>Bangsamoro Budget System Act</w:t>
            </w:r>
          </w:p>
        </w:tc>
        <w:tc>
          <w:tcPr>
            <w:tcW w:type="dxa" w:w="3120"/>
            <w:shd w:fill="F0F3F6"/>
          </w:tcPr>
          <w:p>
            <w:r/>
            <w:r>
              <w:rPr>
                <w:rFonts w:ascii="Inter" w:hAnsi="Inter" w:cs="Inter"/>
                <w:b w:val="0"/>
                <w:i w:val="0"/>
                <w:color w:val="2D2D2D"/>
                <w:sz w:val="19"/>
              </w:rPr>
              <w:t>Prescribes the integrated system of planning, programming, budgeting, management, internal control, accounting, reporting, and review of public finances. The legal authority for all MOA budget proposals.[^34]</w:t>
            </w:r>
          </w:p>
        </w:tc>
      </w:tr>
      <w:tr>
        <w:tc>
          <w:tcPr>
            <w:tcW w:type="dxa" w:w="3120"/>
          </w:tcPr>
          <w:p>
            <w:r/>
            <w:r>
              <w:rPr>
                <w:rFonts w:ascii="Inter" w:hAnsi="Inter" w:cs="Inter"/>
                <w:b w:val="0"/>
                <w:i w:val="0"/>
                <w:color w:val="2D2D2D"/>
                <w:sz w:val="19"/>
              </w:rPr>
              <w:t>BAA No. 85</w:t>
            </w:r>
          </w:p>
        </w:tc>
        <w:tc>
          <w:tcPr>
            <w:tcW w:type="dxa" w:w="3120"/>
          </w:tcPr>
          <w:p>
            <w:r/>
            <w:r>
              <w:rPr>
                <w:rFonts w:ascii="Inter" w:hAnsi="Inter" w:cs="Inter"/>
                <w:b w:val="0"/>
                <w:i w:val="0"/>
                <w:color w:val="2D2D2D"/>
                <w:sz w:val="19"/>
              </w:rPr>
              <w:t>General Appropriations Act of the Bangsamoro</w:t>
            </w:r>
          </w:p>
        </w:tc>
        <w:tc>
          <w:tcPr>
            <w:tcW w:type="dxa" w:w="3120"/>
          </w:tcPr>
          <w:p>
            <w:r/>
            <w:r>
              <w:rPr>
                <w:rFonts w:ascii="Inter" w:hAnsi="Inter" w:cs="Inter"/>
                <w:b w:val="0"/>
                <w:i w:val="0"/>
                <w:color w:val="2D2D2D"/>
                <w:sz w:val="19"/>
              </w:rPr>
              <w:t>Annual appropriations law; specifies each MOA's budget ceiling, PPA items, and allotment classes for the fiscal year.</w:t>
            </w:r>
          </w:p>
        </w:tc>
      </w:tr>
      <w:tr>
        <w:tc>
          <w:tcPr>
            <w:tcW w:type="dxa" w:w="3120"/>
            <w:shd w:fill="F0F3F6"/>
          </w:tcPr>
          <w:p>
            <w:r/>
            <w:r>
              <w:rPr>
                <w:rFonts w:ascii="Inter" w:hAnsi="Inter" w:cs="Inter"/>
                <w:b w:val="0"/>
                <w:i w:val="0"/>
                <w:color w:val="2D2D2D"/>
                <w:sz w:val="19"/>
              </w:rPr>
              <w:t>MOA creating laws</w:t>
            </w:r>
          </w:p>
        </w:tc>
        <w:tc>
          <w:tcPr>
            <w:tcW w:type="dxa" w:w="3120"/>
            <w:shd w:fill="F0F3F6"/>
          </w:tcPr>
          <w:p>
            <w:r/>
            <w:r>
              <w:rPr>
                <w:rFonts w:ascii="Inter" w:hAnsi="Inter" w:cs="Inter"/>
                <w:b w:val="0"/>
                <w:i w:val="0"/>
                <w:color w:val="2D2D2D"/>
                <w:sz w:val="19"/>
              </w:rPr>
              <w:t>(Varies by MOA)</w:t>
            </w:r>
          </w:p>
        </w:tc>
        <w:tc>
          <w:tcPr>
            <w:tcW w:type="dxa" w:w="3120"/>
            <w:shd w:fill="F0F3F6"/>
          </w:tcPr>
          <w:p>
            <w:r/>
            <w:r>
              <w:rPr>
                <w:rFonts w:ascii="Inter" w:hAnsi="Inter" w:cs="Inter"/>
                <w:b w:val="0"/>
                <w:i w:val="0"/>
                <w:color w:val="2D2D2D"/>
                <w:sz w:val="19"/>
              </w:rPr>
              <w:t>The specific BAA or executive issuance that established each individual MOA and defined its mandate, structure, and functions.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Access.</w:t>
      </w:r>
      <w:r>
        <w:rPr>
          <w:rFonts w:ascii="Inter" w:hAnsi="Inter" w:cs="Inter"/>
          <w:b w:val="0"/>
          <w:i w:val="0"/>
          <w:color w:val="2D2D2D"/>
          <w:sz w:val="22"/>
        </w:rPr>
        <w:t xml:space="preserve"> All enacted BAAs are published in the Bangsamoro Gazette and maintained by the Bangsamoro Parliamentary Records Office. A growing collection of transcribed BAAs is maintained in `legislation/baas/`.</w:t>
      </w:r>
    </w:p>
    <w:p>
      <w:pPr>
        <w:pStyle w:val="Heading3"/>
      </w:pPr>
      <w:r>
        <w:rPr>
          <w:rFonts w:ascii="Inter" w:hAnsi="Inter" w:cs="Inter"/>
          <w:b/>
          <w:i w:val="0"/>
          <w:color w:val="2C5F7C"/>
          <w:sz w:val="26"/>
        </w:rPr>
        <w:t>Tier 5: Applicable National Laws</w:t>
      </w:r>
    </w:p>
    <w:p>
      <w:pPr>
        <w:spacing w:after="120" w:line="276" w:lineRule="auto"/>
      </w:pPr>
      <w:r>
        <w:rPr>
          <w:rFonts w:ascii="Inter" w:hAnsi="Inter" w:cs="Inter"/>
          <w:b w:val="0"/>
          <w:i w:val="0"/>
          <w:color w:val="2D2D2D"/>
          <w:sz w:val="22"/>
        </w:rPr>
      </w:r>
      <w:r>
        <w:rPr>
          <w:rFonts w:ascii="Inter" w:hAnsi="Inter" w:cs="Inter"/>
          <w:b/>
          <w:i w:val="0"/>
          <w:color w:val="2D2D2D"/>
          <w:sz w:val="22"/>
        </w:rPr>
        <w:t>Description.</w:t>
      </w:r>
      <w:r>
        <w:rPr>
          <w:rFonts w:ascii="Inter" w:hAnsi="Inter" w:cs="Inter"/>
          <w:b w:val="0"/>
          <w:i w:val="0"/>
          <w:color w:val="2D2D2D"/>
          <w:sz w:val="22"/>
        </w:rPr>
        <w:t xml:space="preserve"> National laws apply to BARMM in three ways: (a) directly, when the subject matter falls outside the BOL's exclusive powers; (b) as suppletory law, when a BAA is silent on a matter; or (c) through express adoption by Parliament.[^35]</w:t>
      </w:r>
    </w:p>
    <w:p>
      <w:pPr>
        <w:spacing w:after="120" w:line="276" w:lineRule="auto"/>
      </w:pPr>
      <w:r>
        <w:rPr>
          <w:rFonts w:ascii="Inter" w:hAnsi="Inter" w:cs="Inter"/>
          <w:b w:val="0"/>
          <w:i w:val="0"/>
          <w:color w:val="2D2D2D"/>
          <w:sz w:val="22"/>
        </w:rPr>
      </w:r>
      <w:r>
        <w:rPr>
          <w:rFonts w:ascii="Inter" w:hAnsi="Inter" w:cs="Inter"/>
          <w:b/>
          <w:i w:val="0"/>
          <w:color w:val="2D2D2D"/>
          <w:sz w:val="22"/>
        </w:rPr>
        <w:t>Key National Laws Relevant to Strategic Planning:</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Republic Act</w:t>
            </w:r>
          </w:p>
        </w:tc>
        <w:tc>
          <w:tcPr>
            <w:tcW w:type="dxa" w:w="3120"/>
            <w:shd w:fill="1B365D"/>
          </w:tcPr>
          <w:p>
            <w:r/>
            <w:r>
              <w:rPr>
                <w:rFonts w:ascii="Inter" w:hAnsi="Inter" w:cs="Inter"/>
                <w:b/>
                <w:i w:val="0"/>
                <w:color w:val="FFFFFF"/>
                <w:sz w:val="19"/>
              </w:rPr>
              <w:t>Title</w:t>
            </w:r>
          </w:p>
        </w:tc>
        <w:tc>
          <w:tcPr>
            <w:tcW w:type="dxa" w:w="3120"/>
            <w:shd w:fill="1B365D"/>
          </w:tcPr>
          <w:p>
            <w:r/>
            <w:r>
              <w:rPr>
                <w:rFonts w:ascii="Inter" w:hAnsi="Inter" w:cs="Inter"/>
                <w:b/>
                <w:i w:val="0"/>
                <w:color w:val="FFFFFF"/>
                <w:sz w:val="19"/>
              </w:rPr>
              <w:t>Relevance to MOA Planning</w:t>
            </w:r>
          </w:p>
        </w:tc>
      </w:tr>
      <w:tr>
        <w:tc>
          <w:tcPr>
            <w:tcW w:type="dxa" w:w="3120"/>
          </w:tcPr>
          <w:p>
            <w:r/>
            <w:r>
              <w:rPr>
                <w:rFonts w:ascii="Inter" w:hAnsi="Inter" w:cs="Inter"/>
                <w:b w:val="0"/>
                <w:i w:val="0"/>
                <w:color w:val="2D2D2D"/>
                <w:sz w:val="19"/>
              </w:rPr>
              <w:t>RA 9184</w:t>
            </w:r>
          </w:p>
        </w:tc>
        <w:tc>
          <w:tcPr>
            <w:tcW w:type="dxa" w:w="3120"/>
          </w:tcPr>
          <w:p>
            <w:r/>
            <w:r>
              <w:rPr>
                <w:rFonts w:ascii="Inter" w:hAnsi="Inter" w:cs="Inter"/>
                <w:b w:val="0"/>
                <w:i w:val="0"/>
                <w:color w:val="2D2D2D"/>
                <w:sz w:val="19"/>
              </w:rPr>
              <w:t>Government Procurement Reform Act</w:t>
            </w:r>
          </w:p>
        </w:tc>
        <w:tc>
          <w:tcPr>
            <w:tcW w:type="dxa" w:w="3120"/>
          </w:tcPr>
          <w:p>
            <w:r/>
            <w:r>
              <w:rPr>
                <w:rFonts w:ascii="Inter" w:hAnsi="Inter" w:cs="Inter"/>
                <w:b w:val="0"/>
                <w:i w:val="0"/>
                <w:color w:val="2D2D2D"/>
                <w:sz w:val="19"/>
              </w:rPr>
              <w:t>Suppletory to BAA No. 38; governs procurement procedures for all MOA purchases.[^36]</w:t>
            </w:r>
          </w:p>
        </w:tc>
      </w:tr>
      <w:tr>
        <w:tc>
          <w:tcPr>
            <w:tcW w:type="dxa" w:w="3120"/>
            <w:shd w:fill="F0F3F6"/>
          </w:tcPr>
          <w:p>
            <w:r/>
            <w:r>
              <w:rPr>
                <w:rFonts w:ascii="Inter" w:hAnsi="Inter" w:cs="Inter"/>
                <w:b w:val="0"/>
                <w:i w:val="0"/>
                <w:color w:val="2D2D2D"/>
                <w:sz w:val="19"/>
              </w:rPr>
              <w:t>RA 6713</w:t>
            </w:r>
          </w:p>
        </w:tc>
        <w:tc>
          <w:tcPr>
            <w:tcW w:type="dxa" w:w="3120"/>
            <w:shd w:fill="F0F3F6"/>
          </w:tcPr>
          <w:p>
            <w:r/>
            <w:r>
              <w:rPr>
                <w:rFonts w:ascii="Inter" w:hAnsi="Inter" w:cs="Inter"/>
                <w:b w:val="0"/>
                <w:i w:val="0"/>
                <w:color w:val="2D2D2D"/>
                <w:sz w:val="19"/>
              </w:rPr>
              <w:t>Code of Conduct and Ethical Standards</w:t>
            </w:r>
          </w:p>
        </w:tc>
        <w:tc>
          <w:tcPr>
            <w:tcW w:type="dxa" w:w="3120"/>
            <w:shd w:fill="F0F3F6"/>
          </w:tcPr>
          <w:p>
            <w:r/>
            <w:r>
              <w:rPr>
                <w:rFonts w:ascii="Inter" w:hAnsi="Inter" w:cs="Inter"/>
                <w:b w:val="0"/>
                <w:i w:val="0"/>
                <w:color w:val="2D2D2D"/>
                <w:sz w:val="19"/>
              </w:rPr>
              <w:t>Governs conduct of all public officers; relevant to governance objectives.[^37]</w:t>
            </w:r>
          </w:p>
        </w:tc>
      </w:tr>
      <w:tr>
        <w:tc>
          <w:tcPr>
            <w:tcW w:type="dxa" w:w="3120"/>
          </w:tcPr>
          <w:p>
            <w:r/>
            <w:r>
              <w:rPr>
                <w:rFonts w:ascii="Inter" w:hAnsi="Inter" w:cs="Inter"/>
                <w:b w:val="0"/>
                <w:i w:val="0"/>
                <w:color w:val="2D2D2D"/>
                <w:sz w:val="19"/>
              </w:rPr>
              <w:t>RA 3019</w:t>
            </w:r>
          </w:p>
        </w:tc>
        <w:tc>
          <w:tcPr>
            <w:tcW w:type="dxa" w:w="3120"/>
          </w:tcPr>
          <w:p>
            <w:r/>
            <w:r>
              <w:rPr>
                <w:rFonts w:ascii="Inter" w:hAnsi="Inter" w:cs="Inter"/>
                <w:b w:val="0"/>
                <w:i w:val="0"/>
                <w:color w:val="2D2D2D"/>
                <w:sz w:val="19"/>
              </w:rPr>
              <w:t>Anti-Graft and Corrupt Practices Act</w:t>
            </w:r>
          </w:p>
        </w:tc>
        <w:tc>
          <w:tcPr>
            <w:tcW w:type="dxa" w:w="3120"/>
          </w:tcPr>
          <w:p>
            <w:r/>
            <w:r>
              <w:rPr>
                <w:rFonts w:ascii="Inter" w:hAnsi="Inter" w:cs="Inter"/>
                <w:b w:val="0"/>
                <w:i w:val="0"/>
                <w:color w:val="2D2D2D"/>
                <w:sz w:val="19"/>
              </w:rPr>
              <w:t>Criminal liability framework for corruption; relevant to moral governance objectives.[^38]</w:t>
            </w:r>
          </w:p>
        </w:tc>
      </w:tr>
      <w:tr>
        <w:tc>
          <w:tcPr>
            <w:tcW w:type="dxa" w:w="3120"/>
            <w:shd w:fill="F0F3F6"/>
          </w:tcPr>
          <w:p>
            <w:r/>
            <w:r>
              <w:rPr>
                <w:rFonts w:ascii="Inter" w:hAnsi="Inter" w:cs="Inter"/>
                <w:b w:val="0"/>
                <w:i w:val="0"/>
                <w:color w:val="2D2D2D"/>
                <w:sz w:val="19"/>
              </w:rPr>
              <w:t>RA 9710</w:t>
            </w:r>
          </w:p>
        </w:tc>
        <w:tc>
          <w:tcPr>
            <w:tcW w:type="dxa" w:w="3120"/>
            <w:shd w:fill="F0F3F6"/>
          </w:tcPr>
          <w:p>
            <w:r/>
            <w:r>
              <w:rPr>
                <w:rFonts w:ascii="Inter" w:hAnsi="Inter" w:cs="Inter"/>
                <w:b w:val="0"/>
                <w:i w:val="0"/>
                <w:color w:val="2D2D2D"/>
                <w:sz w:val="19"/>
              </w:rPr>
              <w:t>Magna Carta of Women</w:t>
            </w:r>
          </w:p>
        </w:tc>
        <w:tc>
          <w:tcPr>
            <w:tcW w:type="dxa" w:w="3120"/>
            <w:shd w:fill="F0F3F6"/>
          </w:tcPr>
          <w:p>
            <w:r/>
            <w:r>
              <w:rPr>
                <w:rFonts w:ascii="Inter" w:hAnsi="Inter" w:cs="Inter"/>
                <w:b w:val="0"/>
                <w:i w:val="0"/>
                <w:color w:val="2D2D2D"/>
                <w:sz w:val="19"/>
              </w:rPr>
              <w:t>Requires gender-responsive budgeting (5% minimum GAD allocation); affects all MOA budget plans.[^39]</w:t>
            </w:r>
          </w:p>
        </w:tc>
      </w:tr>
      <w:tr>
        <w:tc>
          <w:tcPr>
            <w:tcW w:type="dxa" w:w="3120"/>
          </w:tcPr>
          <w:p>
            <w:r/>
            <w:r>
              <w:rPr>
                <w:rFonts w:ascii="Inter" w:hAnsi="Inter" w:cs="Inter"/>
                <w:b w:val="0"/>
                <w:i w:val="0"/>
                <w:color w:val="2D2D2D"/>
                <w:sz w:val="19"/>
              </w:rPr>
              <w:t>RA 10173</w:t>
            </w:r>
          </w:p>
        </w:tc>
        <w:tc>
          <w:tcPr>
            <w:tcW w:type="dxa" w:w="3120"/>
          </w:tcPr>
          <w:p>
            <w:r/>
            <w:r>
              <w:rPr>
                <w:rFonts w:ascii="Inter" w:hAnsi="Inter" w:cs="Inter"/>
                <w:b w:val="0"/>
                <w:i w:val="0"/>
                <w:color w:val="2D2D2D"/>
                <w:sz w:val="19"/>
              </w:rPr>
              <w:t>Data Privacy Act</w:t>
            </w:r>
          </w:p>
        </w:tc>
        <w:tc>
          <w:tcPr>
            <w:tcW w:type="dxa" w:w="3120"/>
          </w:tcPr>
          <w:p>
            <w:r/>
            <w:r>
              <w:rPr>
                <w:rFonts w:ascii="Inter" w:hAnsi="Inter" w:cs="Inter"/>
                <w:b w:val="0"/>
                <w:i w:val="0"/>
                <w:color w:val="2D2D2D"/>
                <w:sz w:val="19"/>
              </w:rPr>
              <w:t>Governs collection and use of personal data in MOA programs.[^40]</w:t>
            </w:r>
          </w:p>
        </w:tc>
      </w:tr>
      <w:tr>
        <w:tc>
          <w:tcPr>
            <w:tcW w:type="dxa" w:w="3120"/>
            <w:shd w:fill="F0F3F6"/>
          </w:tcPr>
          <w:p>
            <w:r/>
            <w:r>
              <w:rPr>
                <w:rFonts w:ascii="Inter" w:hAnsi="Inter" w:cs="Inter"/>
                <w:b w:val="0"/>
                <w:i w:val="0"/>
                <w:color w:val="2D2D2D"/>
                <w:sz w:val="19"/>
              </w:rPr>
              <w:t>RA 11032</w:t>
            </w:r>
          </w:p>
        </w:tc>
        <w:tc>
          <w:tcPr>
            <w:tcW w:type="dxa" w:w="3120"/>
            <w:shd w:fill="F0F3F6"/>
          </w:tcPr>
          <w:p>
            <w:r/>
            <w:r>
              <w:rPr>
                <w:rFonts w:ascii="Inter" w:hAnsi="Inter" w:cs="Inter"/>
                <w:b w:val="0"/>
                <w:i w:val="0"/>
                <w:color w:val="2D2D2D"/>
                <w:sz w:val="19"/>
              </w:rPr>
              <w:t>Ease of Doing Business Act</w:t>
            </w:r>
          </w:p>
        </w:tc>
        <w:tc>
          <w:tcPr>
            <w:tcW w:type="dxa" w:w="3120"/>
            <w:shd w:fill="F0F3F6"/>
          </w:tcPr>
          <w:p>
            <w:r/>
            <w:r>
              <w:rPr>
                <w:rFonts w:ascii="Inter" w:hAnsi="Inter" w:cs="Inter"/>
                <w:b w:val="0"/>
                <w:i w:val="0"/>
                <w:color w:val="2D2D2D"/>
                <w:sz w:val="19"/>
              </w:rPr>
              <w:t>Service delivery standards for government transactions; relevant to service improvement objectives.[^41]</w:t>
            </w:r>
          </w:p>
        </w:tc>
      </w:tr>
      <w:tr>
        <w:tc>
          <w:tcPr>
            <w:tcW w:type="dxa" w:w="3120"/>
          </w:tcPr>
          <w:p>
            <w:r/>
            <w:r>
              <w:rPr>
                <w:rFonts w:ascii="Inter" w:hAnsi="Inter" w:cs="Inter"/>
                <w:b w:val="0"/>
                <w:i w:val="0"/>
                <w:color w:val="2D2D2D"/>
                <w:sz w:val="19"/>
              </w:rPr>
              <w:t>RA 9003</w:t>
            </w:r>
          </w:p>
        </w:tc>
        <w:tc>
          <w:tcPr>
            <w:tcW w:type="dxa" w:w="3120"/>
          </w:tcPr>
          <w:p>
            <w:r/>
            <w:r>
              <w:rPr>
                <w:rFonts w:ascii="Inter" w:hAnsi="Inter" w:cs="Inter"/>
                <w:b w:val="0"/>
                <w:i w:val="0"/>
                <w:color w:val="2D2D2D"/>
                <w:sz w:val="19"/>
              </w:rPr>
              <w:t>Ecological Solid Waste Management Act</w:t>
            </w:r>
          </w:p>
        </w:tc>
        <w:tc>
          <w:tcPr>
            <w:tcW w:type="dxa" w:w="3120"/>
          </w:tcPr>
          <w:p>
            <w:r/>
            <w:r>
              <w:rPr>
                <w:rFonts w:ascii="Inter" w:hAnsi="Inter" w:cs="Inter"/>
                <w:b w:val="0"/>
                <w:i w:val="0"/>
                <w:color w:val="2D2D2D"/>
                <w:sz w:val="19"/>
              </w:rPr>
              <w:t>Environmental compliance framework; directly applicable to environmental agencies and LGUs.[^42]</w:t>
            </w:r>
          </w:p>
        </w:tc>
      </w:tr>
      <w:tr>
        <w:tc>
          <w:tcPr>
            <w:tcW w:type="dxa" w:w="3120"/>
            <w:shd w:fill="F0F3F6"/>
          </w:tcPr>
          <w:p>
            <w:r/>
            <w:r>
              <w:rPr>
                <w:rFonts w:ascii="Inter" w:hAnsi="Inter" w:cs="Inter"/>
                <w:b w:val="0"/>
                <w:i w:val="0"/>
                <w:color w:val="2D2D2D"/>
                <w:sz w:val="19"/>
              </w:rPr>
              <w:t>RA 9275</w:t>
            </w:r>
          </w:p>
        </w:tc>
        <w:tc>
          <w:tcPr>
            <w:tcW w:type="dxa" w:w="3120"/>
            <w:shd w:fill="F0F3F6"/>
          </w:tcPr>
          <w:p>
            <w:r/>
            <w:r>
              <w:rPr>
                <w:rFonts w:ascii="Inter" w:hAnsi="Inter" w:cs="Inter"/>
                <w:b w:val="0"/>
                <w:i w:val="0"/>
                <w:color w:val="2D2D2D"/>
                <w:sz w:val="19"/>
              </w:rPr>
              <w:t>Philippine Clean Water Act</w:t>
            </w:r>
          </w:p>
        </w:tc>
        <w:tc>
          <w:tcPr>
            <w:tcW w:type="dxa" w:w="3120"/>
            <w:shd w:fill="F0F3F6"/>
          </w:tcPr>
          <w:p>
            <w:r/>
            <w:r>
              <w:rPr>
                <w:rFonts w:ascii="Inter" w:hAnsi="Inter" w:cs="Inter"/>
                <w:b w:val="0"/>
                <w:i w:val="0"/>
                <w:color w:val="2D2D2D"/>
                <w:sz w:val="19"/>
              </w:rPr>
              <w:t>Water quality standards; applicable to environmental agencies and water-related programs.[^43]</w:t>
            </w:r>
          </w:p>
        </w:tc>
      </w:tr>
      <w:tr>
        <w:tc>
          <w:tcPr>
            <w:tcW w:type="dxa" w:w="3120"/>
          </w:tcPr>
          <w:p>
            <w:r/>
            <w:r>
              <w:rPr>
                <w:rFonts w:ascii="Inter" w:hAnsi="Inter" w:cs="Inter"/>
                <w:b w:val="0"/>
                <w:i w:val="0"/>
                <w:color w:val="2D2D2D"/>
                <w:sz w:val="19"/>
              </w:rPr>
              <w:t>PD 1445</w:t>
            </w:r>
          </w:p>
        </w:tc>
        <w:tc>
          <w:tcPr>
            <w:tcW w:type="dxa" w:w="3120"/>
          </w:tcPr>
          <w:p>
            <w:r/>
            <w:r>
              <w:rPr>
                <w:rFonts w:ascii="Inter" w:hAnsi="Inter" w:cs="Inter"/>
                <w:b w:val="0"/>
                <w:i w:val="0"/>
                <w:color w:val="2D2D2D"/>
                <w:sz w:val="19"/>
              </w:rPr>
              <w:t>Government Auditing Code</w:t>
            </w:r>
          </w:p>
        </w:tc>
        <w:tc>
          <w:tcPr>
            <w:tcW w:type="dxa" w:w="3120"/>
          </w:tcPr>
          <w:p>
            <w:r/>
            <w:r>
              <w:rPr>
                <w:rFonts w:ascii="Inter" w:hAnsi="Inter" w:cs="Inter"/>
                <w:b w:val="0"/>
                <w:i w:val="0"/>
                <w:color w:val="2D2D2D"/>
                <w:sz w:val="19"/>
              </w:rPr>
              <w:t>Commission on Audit's authority and government accounting standards; applies to all MOA expenditures.[^44]</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How to Access.</w:t>
      </w:r>
      <w:r>
        <w:rPr>
          <w:rFonts w:ascii="Inter" w:hAnsi="Inter" w:cs="Inter"/>
          <w:b w:val="0"/>
          <w:i w:val="0"/>
          <w:color w:val="2D2D2D"/>
          <w:sz w:val="22"/>
        </w:rPr>
        <w:t xml:space="preserve"> National laws are published in the Official Gazette, available through the Supreme Court e-Library (elibrary.judiciary.gov.ph), and accessible through the LawPhil Project (lawphil.net).</w:t>
      </w:r>
    </w:p>
    <w:p>
      <w:pPr>
        <w:pStyle w:val="Heading3"/>
      </w:pPr>
      <w:r>
        <w:rPr>
          <w:rFonts w:ascii="Inter" w:hAnsi="Inter" w:cs="Inter"/>
          <w:b/>
          <w:i w:val="0"/>
          <w:color w:val="2C5F7C"/>
          <w:sz w:val="26"/>
        </w:rPr>
        <w:t>Tier 6: Executive Issuances</w:t>
      </w:r>
    </w:p>
    <w:p>
      <w:pPr>
        <w:spacing w:after="120" w:line="276" w:lineRule="auto"/>
      </w:pPr>
      <w:r>
        <w:rPr>
          <w:rFonts w:ascii="Inter" w:hAnsi="Inter" w:cs="Inter"/>
          <w:b w:val="0"/>
          <w:i w:val="0"/>
          <w:color w:val="2D2D2D"/>
          <w:sz w:val="22"/>
        </w:rPr>
      </w:r>
      <w:r>
        <w:rPr>
          <w:rFonts w:ascii="Inter" w:hAnsi="Inter" w:cs="Inter"/>
          <w:b/>
          <w:i w:val="0"/>
          <w:color w:val="2D2D2D"/>
          <w:sz w:val="22"/>
        </w:rPr>
        <w:t>Description.</w:t>
      </w:r>
      <w:r>
        <w:rPr>
          <w:rFonts w:ascii="Inter" w:hAnsi="Inter" w:cs="Inter"/>
          <w:b w:val="0"/>
          <w:i w:val="0"/>
          <w:color w:val="2D2D2D"/>
          <w:sz w:val="22"/>
        </w:rPr>
        <w:t xml:space="preserve"> Executive issuances implement, interpret, or operationalize laws. They take several forms and carry different levels of authority.[^45]</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Type</w:t>
            </w:r>
          </w:p>
        </w:tc>
        <w:tc>
          <w:tcPr>
            <w:tcW w:type="dxa" w:w="3120"/>
            <w:shd w:fill="1B365D"/>
          </w:tcPr>
          <w:p>
            <w:r/>
            <w:r>
              <w:rPr>
                <w:rFonts w:ascii="Inter" w:hAnsi="Inter" w:cs="Inter"/>
                <w:b/>
                <w:i w:val="0"/>
                <w:color w:val="FFFFFF"/>
                <w:sz w:val="19"/>
              </w:rPr>
              <w:t>Source</w:t>
            </w:r>
          </w:p>
        </w:tc>
        <w:tc>
          <w:tcPr>
            <w:tcW w:type="dxa" w:w="3120"/>
            <w:shd w:fill="1B365D"/>
          </w:tcPr>
          <w:p>
            <w:r/>
            <w:r>
              <w:rPr>
                <w:rFonts w:ascii="Inter" w:hAnsi="Inter" w:cs="Inter"/>
                <w:b/>
                <w:i w:val="0"/>
                <w:color w:val="FFFFFF"/>
                <w:sz w:val="19"/>
              </w:rPr>
              <w:t>Examples</w:t>
            </w:r>
          </w:p>
        </w:tc>
      </w:tr>
      <w:tr>
        <w:tc>
          <w:tcPr>
            <w:tcW w:type="dxa" w:w="3120"/>
          </w:tcPr>
          <w:p>
            <w:r/>
            <w:r>
              <w:rPr>
                <w:rFonts w:ascii="Inter" w:hAnsi="Inter" w:cs="Inter"/>
                <w:b w:val="0"/>
                <w:i w:val="0"/>
                <w:color w:val="2D2D2D"/>
                <w:sz w:val="19"/>
              </w:rPr>
              <w:t>**Executive Orders (EOs)**</w:t>
            </w:r>
          </w:p>
        </w:tc>
        <w:tc>
          <w:tcPr>
            <w:tcW w:type="dxa" w:w="3120"/>
          </w:tcPr>
          <w:p>
            <w:r/>
            <w:r>
              <w:rPr>
                <w:rFonts w:ascii="Inter" w:hAnsi="Inter" w:cs="Inter"/>
                <w:b w:val="0"/>
                <w:i w:val="0"/>
                <w:color w:val="2D2D2D"/>
                <w:sz w:val="19"/>
              </w:rPr>
              <w:t>Chief Minister (regional) or President (national)</w:t>
            </w:r>
          </w:p>
        </w:tc>
        <w:tc>
          <w:tcPr>
            <w:tcW w:type="dxa" w:w="3120"/>
          </w:tcPr>
          <w:p>
            <w:r/>
            <w:r>
              <w:rPr>
                <w:rFonts w:ascii="Inter" w:hAnsi="Inter" w:cs="Inter"/>
                <w:b w:val="0"/>
                <w:i w:val="0"/>
                <w:color w:val="2D2D2D"/>
                <w:sz w:val="19"/>
              </w:rPr>
              <w:t>EO No. 001 (Organization of the Bangsamoro Government); Presidential EOs affecting BARMM</w:t>
            </w:r>
          </w:p>
        </w:tc>
      </w:tr>
      <w:tr>
        <w:tc>
          <w:tcPr>
            <w:tcW w:type="dxa" w:w="3120"/>
            <w:shd w:fill="F0F3F6"/>
          </w:tcPr>
          <w:p>
            <w:r/>
            <w:r>
              <w:rPr>
                <w:rFonts w:ascii="Inter" w:hAnsi="Inter" w:cs="Inter"/>
                <w:b w:val="0"/>
                <w:i w:val="0"/>
                <w:color w:val="2D2D2D"/>
                <w:sz w:val="19"/>
              </w:rPr>
              <w:t>**Implementing Rules and Regulations (IRRs)**</w:t>
            </w:r>
          </w:p>
        </w:tc>
        <w:tc>
          <w:tcPr>
            <w:tcW w:type="dxa" w:w="3120"/>
            <w:shd w:fill="F0F3F6"/>
          </w:tcPr>
          <w:p>
            <w:r/>
            <w:r>
              <w:rPr>
                <w:rFonts w:ascii="Inter" w:hAnsi="Inter" w:cs="Inter"/>
                <w:b w:val="0"/>
                <w:i w:val="0"/>
                <w:color w:val="2D2D2D"/>
                <w:sz w:val="19"/>
              </w:rPr>
              <w:t>Issuing ministry or agency</w:t>
            </w:r>
          </w:p>
        </w:tc>
        <w:tc>
          <w:tcPr>
            <w:tcW w:type="dxa" w:w="3120"/>
            <w:shd w:fill="F0F3F6"/>
          </w:tcPr>
          <w:p>
            <w:r/>
            <w:r>
              <w:rPr>
                <w:rFonts w:ascii="Inter" w:hAnsi="Inter" w:cs="Inter"/>
                <w:b w:val="0"/>
                <w:i w:val="0"/>
                <w:color w:val="2D2D2D"/>
                <w:sz w:val="19"/>
              </w:rPr>
              <w:t>IRR of BAA No. 38 (Procurement Code); IRR of BAA No. 84 (Budget System Act)</w:t>
            </w:r>
          </w:p>
        </w:tc>
      </w:tr>
      <w:tr>
        <w:tc>
          <w:tcPr>
            <w:tcW w:type="dxa" w:w="3120"/>
          </w:tcPr>
          <w:p>
            <w:r/>
            <w:r>
              <w:rPr>
                <w:rFonts w:ascii="Inter" w:hAnsi="Inter" w:cs="Inter"/>
                <w:b w:val="0"/>
                <w:i w:val="0"/>
                <w:color w:val="2D2D2D"/>
                <w:sz w:val="19"/>
              </w:rPr>
              <w:t>**Memorandum Circulars (MCs)**</w:t>
            </w:r>
          </w:p>
        </w:tc>
        <w:tc>
          <w:tcPr>
            <w:tcW w:type="dxa" w:w="3120"/>
          </w:tcPr>
          <w:p>
            <w:r/>
            <w:r>
              <w:rPr>
                <w:rFonts w:ascii="Inter" w:hAnsi="Inter" w:cs="Inter"/>
                <w:b w:val="0"/>
                <w:i w:val="0"/>
                <w:color w:val="2D2D2D"/>
                <w:sz w:val="19"/>
              </w:rPr>
              <w:t>Office of the Chief Minister, ministries, or agencies</w:t>
            </w:r>
          </w:p>
        </w:tc>
        <w:tc>
          <w:tcPr>
            <w:tcW w:type="dxa" w:w="3120"/>
          </w:tcPr>
          <w:p>
            <w:r/>
            <w:r>
              <w:rPr>
                <w:rFonts w:ascii="Inter" w:hAnsi="Inter" w:cs="Inter"/>
                <w:b w:val="0"/>
                <w:i w:val="0"/>
                <w:color w:val="2D2D2D"/>
                <w:sz w:val="19"/>
              </w:rPr>
              <w:t>BPDA planning guidelines; MFBM Budget Call; OCM policy directives</w:t>
            </w:r>
          </w:p>
        </w:tc>
      </w:tr>
      <w:tr>
        <w:tc>
          <w:tcPr>
            <w:tcW w:type="dxa" w:w="3120"/>
            <w:shd w:fill="F0F3F6"/>
          </w:tcPr>
          <w:p>
            <w:r/>
            <w:r>
              <w:rPr>
                <w:rFonts w:ascii="Inter" w:hAnsi="Inter" w:cs="Inter"/>
                <w:b w:val="0"/>
                <w:i w:val="0"/>
                <w:color w:val="2D2D2D"/>
                <w:sz w:val="19"/>
              </w:rPr>
              <w:t>**Administrative Orders (AOs)**</w:t>
            </w:r>
          </w:p>
        </w:tc>
        <w:tc>
          <w:tcPr>
            <w:tcW w:type="dxa" w:w="3120"/>
            <w:shd w:fill="F0F3F6"/>
          </w:tcPr>
          <w:p>
            <w:r/>
            <w:r>
              <w:rPr>
                <w:rFonts w:ascii="Inter" w:hAnsi="Inter" w:cs="Inter"/>
                <w:b w:val="0"/>
                <w:i w:val="0"/>
                <w:color w:val="2D2D2D"/>
                <w:sz w:val="19"/>
              </w:rPr>
              <w:t>Individual ministries or agencies</w:t>
            </w:r>
          </w:p>
        </w:tc>
        <w:tc>
          <w:tcPr>
            <w:tcW w:type="dxa" w:w="3120"/>
            <w:shd w:fill="F0F3F6"/>
          </w:tcPr>
          <w:p>
            <w:r/>
            <w:r>
              <w:rPr>
                <w:rFonts w:ascii="Inter" w:hAnsi="Inter" w:cs="Inter"/>
                <w:b w:val="0"/>
                <w:i w:val="0"/>
                <w:color w:val="2D2D2D"/>
                <w:sz w:val="19"/>
              </w:rPr>
              <w:t>Ministry-specific implementation directives, organizational structure orders</w:t>
            </w:r>
          </w:p>
        </w:tc>
      </w:tr>
      <w:tr>
        <w:tc>
          <w:tcPr>
            <w:tcW w:type="dxa" w:w="3120"/>
          </w:tcPr>
          <w:p>
            <w:r/>
            <w:r>
              <w:rPr>
                <w:rFonts w:ascii="Inter" w:hAnsi="Inter" w:cs="Inter"/>
                <w:b w:val="0"/>
                <w:i w:val="0"/>
                <w:color w:val="2D2D2D"/>
                <w:sz w:val="19"/>
              </w:rPr>
              <w:t>**Budget Memoranda**</w:t>
            </w:r>
          </w:p>
        </w:tc>
        <w:tc>
          <w:tcPr>
            <w:tcW w:type="dxa" w:w="3120"/>
          </w:tcPr>
          <w:p>
            <w:r/>
            <w:r>
              <w:rPr>
                <w:rFonts w:ascii="Inter" w:hAnsi="Inter" w:cs="Inter"/>
                <w:b w:val="0"/>
                <w:i w:val="0"/>
                <w:color w:val="2D2D2D"/>
                <w:sz w:val="19"/>
              </w:rPr>
              <w:t>MFBM</w:t>
            </w:r>
          </w:p>
        </w:tc>
        <w:tc>
          <w:tcPr>
            <w:tcW w:type="dxa" w:w="3120"/>
          </w:tcPr>
          <w:p>
            <w:r/>
            <w:r>
              <w:rPr>
                <w:rFonts w:ascii="Inter" w:hAnsi="Inter" w:cs="Inter"/>
                <w:b w:val="0"/>
                <w:i w:val="0"/>
                <w:color w:val="2D2D2D"/>
                <w:sz w:val="19"/>
              </w:rPr>
              <w:t>Annual Budget Call setting submission deadlines and budget ceilings for MOA proposals</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Relevance to Planning.</w:t>
      </w:r>
      <w:r>
        <w:rPr>
          <w:rFonts w:ascii="Inter" w:hAnsi="Inter" w:cs="Inter"/>
          <w:b w:val="0"/>
          <w:i w:val="0"/>
          <w:color w:val="2D2D2D"/>
          <w:sz w:val="22"/>
        </w:rPr>
        <w:t xml:space="preserve"> Executive issuances often contain the operational details that MOAs need for compliance --- planning templates, submission deadlines, budget ceilings, and review criteria. MOA planning officers should monitor issuances from BPDA, MFBM, and the OCM throughout the planning cycle.</w:t>
      </w:r>
    </w:p>
    <w:p>
      <w:pPr>
        <w:spacing w:after="120" w:line="276" w:lineRule="auto"/>
      </w:pPr>
      <w:r>
        <w:rPr>
          <w:rFonts w:ascii="Inter" w:hAnsi="Inter" w:cs="Inter"/>
          <w:b w:val="0"/>
          <w:i w:val="0"/>
          <w:color w:val="2D2D2D"/>
          <w:sz w:val="22"/>
        </w:rPr>
      </w:r>
      <w:r>
        <w:rPr>
          <w:rFonts w:ascii="Inter" w:hAnsi="Inter" w:cs="Inter"/>
          <w:b/>
          <w:i w:val="0"/>
          <w:color w:val="2D2D2D"/>
          <w:sz w:val="22"/>
        </w:rPr>
        <w:t>How to Access.</w:t>
      </w:r>
      <w:r>
        <w:rPr>
          <w:rFonts w:ascii="Inter" w:hAnsi="Inter" w:cs="Inter"/>
          <w:b w:val="0"/>
          <w:i w:val="0"/>
          <w:color w:val="2D2D2D"/>
          <w:sz w:val="22"/>
        </w:rPr>
        <w:t xml:space="preserve"> Regional executive issuances are published in the Bangsamoro Gazette and distributed through official ministry channels. National executive issuances are published in the Official Gazette.</w:t>
      </w:r>
    </w:p>
    <w:p>
      <w:pPr>
        <w:pStyle w:val="Heading3"/>
      </w:pPr>
      <w:r>
        <w:rPr>
          <w:rFonts w:ascii="Inter" w:hAnsi="Inter" w:cs="Inter"/>
          <w:b/>
          <w:i w:val="0"/>
          <w:color w:val="2C5F7C"/>
          <w:sz w:val="26"/>
        </w:rPr>
        <w:t>Tier 7: Jurisprudence</w:t>
      </w:r>
    </w:p>
    <w:p>
      <w:pPr>
        <w:spacing w:after="120" w:line="276" w:lineRule="auto"/>
      </w:pPr>
      <w:r>
        <w:rPr>
          <w:rFonts w:ascii="Inter" w:hAnsi="Inter" w:cs="Inter"/>
          <w:b w:val="0"/>
          <w:i w:val="0"/>
          <w:color w:val="2D2D2D"/>
          <w:sz w:val="22"/>
        </w:rPr>
      </w:r>
      <w:r>
        <w:rPr>
          <w:rFonts w:ascii="Inter" w:hAnsi="Inter" w:cs="Inter"/>
          <w:b/>
          <w:i w:val="0"/>
          <w:color w:val="2D2D2D"/>
          <w:sz w:val="22"/>
        </w:rPr>
        <w:t>Description.</w:t>
      </w:r>
      <w:r>
        <w:rPr>
          <w:rFonts w:ascii="Inter" w:hAnsi="Inter" w:cs="Inter"/>
          <w:b w:val="0"/>
          <w:i w:val="0"/>
          <w:color w:val="2D2D2D"/>
          <w:sz w:val="22"/>
        </w:rPr>
        <w:t xml:space="preserve"> Supreme Court decisions interpreting autonomy provisions and resolving conflicts between national and regional authority constitute the final tier. While jurisprudence does not create new authority, it defines the boundaries of existing authority.[^46]</w:t>
      </w:r>
    </w:p>
    <w:p>
      <w:pPr>
        <w:spacing w:after="120" w:line="276" w:lineRule="auto"/>
      </w:pPr>
      <w:r>
        <w:rPr>
          <w:rFonts w:ascii="Inter" w:hAnsi="Inter" w:cs="Inter"/>
          <w:b w:val="0"/>
          <w:i w:val="0"/>
          <w:color w:val="2D2D2D"/>
          <w:sz w:val="22"/>
        </w:rPr>
      </w:r>
      <w:r>
        <w:rPr>
          <w:rFonts w:ascii="Inter" w:hAnsi="Inter" w:cs="Inter"/>
          <w:b/>
          <w:i w:val="0"/>
          <w:color w:val="2D2D2D"/>
          <w:sz w:val="22"/>
        </w:rPr>
        <w:t>Key Areas for MOA Planning:</w:t>
      </w:r>
      <w:r>
        <w:rPr>
          <w:rFonts w:ascii="Inter" w:hAnsi="Inter" w:cs="Inter"/>
          <w:b w:val="0"/>
          <w:i w:val="0"/>
          <w:color w:val="2D2D2D"/>
          <w:sz w:val="22"/>
        </w:rPr>
      </w:r>
    </w:p>
    <w:p>
      <w:pPr>
        <w:pStyle w:val="ListBullet"/>
      </w:pPr>
      <w:r>
        <w:rPr>
          <w:rFonts w:ascii="Inter" w:hAnsi="Inter" w:cs="Inter"/>
          <w:b w:val="0"/>
          <w:i w:val="0"/>
          <w:color w:val="2D2D2D"/>
          <w:sz w:val="22"/>
        </w:rPr>
        <w:t>Decisions on the scope of regional autonomy versus national authority</w:t>
      </w:r>
    </w:p>
    <w:p>
      <w:pPr>
        <w:pStyle w:val="ListBullet"/>
      </w:pPr>
      <w:r>
        <w:rPr>
          <w:rFonts w:ascii="Inter" w:hAnsi="Inter" w:cs="Inter"/>
          <w:b w:val="0"/>
          <w:i w:val="0"/>
          <w:color w:val="2D2D2D"/>
          <w:sz w:val="22"/>
        </w:rPr>
        <w:t>Rulings on fiscal matters, including revenue sharing and taxation between national and regional governments</w:t>
      </w:r>
    </w:p>
    <w:p>
      <w:pPr>
        <w:pStyle w:val="ListBullet"/>
      </w:pPr>
      <w:r>
        <w:rPr>
          <w:rFonts w:ascii="Inter" w:hAnsi="Inter" w:cs="Inter"/>
          <w:b w:val="0"/>
          <w:i w:val="0"/>
          <w:color w:val="2D2D2D"/>
          <w:sz w:val="22"/>
        </w:rPr>
        <w:t>Decisions on the application of national laws within autonomous regions</w:t>
      </w:r>
    </w:p>
    <w:p>
      <w:pPr>
        <w:pStyle w:val="ListBullet"/>
      </w:pPr>
      <w:r>
        <w:rPr>
          <w:rFonts w:ascii="Inter" w:hAnsi="Inter" w:cs="Inter"/>
          <w:b w:val="0"/>
          <w:i w:val="0"/>
          <w:color w:val="2D2D2D"/>
          <w:sz w:val="22"/>
        </w:rPr>
        <w:t>Cases interpreting the BOL's exclusive powers provisions</w:t>
      </w:r>
    </w:p>
    <w:p>
      <w:pPr>
        <w:pStyle w:val="ListBullet"/>
      </w:pPr>
      <w:r>
        <w:rPr>
          <w:rFonts w:ascii="Inter" w:hAnsi="Inter" w:cs="Inter"/>
          <w:b w:val="0"/>
          <w:i w:val="0"/>
          <w:color w:val="2D2D2D"/>
          <w:sz w:val="22"/>
        </w:rPr>
        <w:t>Rulings on the constitutionality of BAA provisions</w:t>
      </w:r>
    </w:p>
    <w:p>
      <w:pPr>
        <w:spacing w:after="120" w:line="276" w:lineRule="auto"/>
      </w:pPr>
      <w:r>
        <w:rPr>
          <w:rFonts w:ascii="Inter" w:hAnsi="Inter" w:cs="Inter"/>
          <w:b w:val="0"/>
          <w:i w:val="0"/>
          <w:color w:val="2D2D2D"/>
          <w:sz w:val="22"/>
        </w:rPr>
      </w:r>
      <w:r>
        <w:rPr>
          <w:rFonts w:ascii="Inter" w:hAnsi="Inter" w:cs="Inter"/>
          <w:b/>
          <w:i w:val="0"/>
          <w:color w:val="2D2D2D"/>
          <w:sz w:val="22"/>
        </w:rPr>
        <w:t>Relevance to Planning.</w:t>
      </w:r>
      <w:r>
        <w:rPr>
          <w:rFonts w:ascii="Inter" w:hAnsi="Inter" w:cs="Inter"/>
          <w:b w:val="0"/>
          <w:i w:val="0"/>
          <w:color w:val="2D2D2D"/>
          <w:sz w:val="22"/>
        </w:rPr>
        <w:t xml:space="preserve"> Jurisprudence is most relevant when an MOA's mandate involves contested or overlapping authority between BARMM and the national government. Planning officers should note any Supreme Court decisions that affect their MOA's mandate scope.</w:t>
      </w:r>
    </w:p>
    <w:p>
      <w:pPr>
        <w:spacing w:after="120" w:line="276" w:lineRule="auto"/>
      </w:pPr>
      <w:r>
        <w:rPr>
          <w:rFonts w:ascii="Inter" w:hAnsi="Inter" w:cs="Inter"/>
          <w:b w:val="0"/>
          <w:i w:val="0"/>
          <w:color w:val="2D2D2D"/>
          <w:sz w:val="22"/>
        </w:rPr>
      </w:r>
      <w:r>
        <w:rPr>
          <w:rFonts w:ascii="Inter" w:hAnsi="Inter" w:cs="Inter"/>
          <w:b/>
          <w:i w:val="0"/>
          <w:color w:val="2D2D2D"/>
          <w:sz w:val="22"/>
        </w:rPr>
        <w:t>How to Access.</w:t>
      </w:r>
      <w:r>
        <w:rPr>
          <w:rFonts w:ascii="Inter" w:hAnsi="Inter" w:cs="Inter"/>
          <w:b w:val="0"/>
          <w:i w:val="0"/>
          <w:color w:val="2D2D2D"/>
          <w:sz w:val="22"/>
        </w:rPr>
        <w:t xml:space="preserve"> Supreme Court decisions are published in the Philippine Reports (official), Supreme Court Reports Annotated (SCRA), and are accessible through the Supreme Court e-Library (elibrary.judiciary.gov.ph).</w:t>
      </w:r>
    </w:p>
    <w:p>
      <w:pPr>
        <w:pStyle w:val="Heading2"/>
      </w:pPr>
      <w:r>
        <w:rPr>
          <w:rFonts w:ascii="Inter" w:hAnsi="Inter" w:cs="Inter"/>
          <w:b/>
          <w:i w:val="0"/>
          <w:color w:val="1B365D"/>
          <w:sz w:val="32"/>
        </w:rPr>
        <w:t>Appendix B: BDP 2023-2028 Quick Reference</w:t>
      </w:r>
    </w:p>
    <w:p>
      <w:pPr>
        <w:spacing w:after="120" w:line="276" w:lineRule="auto"/>
      </w:pPr>
      <w:r>
        <w:rPr>
          <w:rFonts w:ascii="Inter" w:hAnsi="Inter" w:cs="Inter"/>
          <w:b w:val="0"/>
          <w:i w:val="0"/>
          <w:color w:val="2D2D2D"/>
          <w:sz w:val="22"/>
        </w:rPr>
        <w:t>This appendix provides a consolidated reference to the 2nd Bangsamoro Development Plan 2023-2028 --- the regional development framework to which all MOA strategic plans must align (Chapter 3).</w:t>
      </w:r>
    </w:p>
    <w:p>
      <w:pPr>
        <w:pStyle w:val="Heading3"/>
      </w:pPr>
      <w:r>
        <w:rPr>
          <w:rFonts w:ascii="Inter" w:hAnsi="Inter" w:cs="Inter"/>
          <w:b/>
          <w:i w:val="0"/>
          <w:color w:val="2C5F7C"/>
          <w:sz w:val="26"/>
        </w:rPr>
        <w:t>Vision</w:t>
      </w:r>
    </w:p>
    <w:p>
      <w:pPr>
        <w:spacing w:after="120" w:line="276" w:lineRule="auto"/>
      </w:pPr>
      <w:r>
        <w:rPr>
          <w:rFonts w:ascii="Inter" w:hAnsi="Inter" w:cs="Inter"/>
          <w:b w:val="0"/>
          <w:i w:val="0"/>
          <w:color w:val="2D2D2D"/>
          <w:sz w:val="22"/>
        </w:rPr>
        <w:t>"A Bangsamoro that is united, enlightened, self-governing, peaceful, just, morally upright, and progressive."[^47]</w:t>
      </w:r>
    </w:p>
    <w:p>
      <w:pPr>
        <w:pStyle w:val="Heading3"/>
      </w:pPr>
      <w:r>
        <w:rPr>
          <w:rFonts w:ascii="Inter" w:hAnsi="Inter" w:cs="Inter"/>
          <w:b/>
          <w:i w:val="0"/>
          <w:color w:val="2C5F7C"/>
          <w:sz w:val="26"/>
        </w:rPr>
        <w:t>Mission</w:t>
      </w:r>
    </w:p>
    <w:p>
      <w:pPr>
        <w:spacing w:after="120" w:line="276" w:lineRule="auto"/>
      </w:pPr>
      <w:r>
        <w:rPr>
          <w:rFonts w:ascii="Inter" w:hAnsi="Inter" w:cs="Inter"/>
          <w:b w:val="0"/>
          <w:i w:val="0"/>
          <w:color w:val="2D2D2D"/>
          <w:sz w:val="22"/>
        </w:rPr>
        <w:t>"Guided by moral governance and in pursuit of genuine and meaningful autonomy, the Bangsamoro government ensures the necessary conditions for enduring peace and sustained socioeconomic development suitable to the systems of life, needs, and aspirations of its people by providing services to communities, ensuring multi-stakeholder participation, and facilitating appropriate partnership."[^48]</w:t>
      </w:r>
    </w:p>
    <w:p>
      <w:pPr>
        <w:pStyle w:val="Heading3"/>
      </w:pPr>
      <w:r>
        <w:rPr>
          <w:rFonts w:ascii="Inter" w:hAnsi="Inter" w:cs="Inter"/>
          <w:b/>
          <w:i w:val="0"/>
          <w:color w:val="2C5F7C"/>
          <w:sz w:val="26"/>
        </w:rPr>
        <w:t>Overall Goal</w:t>
      </w:r>
    </w:p>
    <w:p>
      <w:pPr>
        <w:spacing w:after="120" w:line="276" w:lineRule="auto"/>
      </w:pPr>
      <w:r>
        <w:rPr>
          <w:rFonts w:ascii="Inter" w:hAnsi="Inter" w:cs="Inter"/>
          <w:b w:val="0"/>
          <w:i w:val="0"/>
          <w:color w:val="2D2D2D"/>
          <w:sz w:val="22"/>
        </w:rPr>
        <w:t>An empowered, cohesive, and progressive Bangsamoro:[^49]</w:t>
      </w:r>
    </w:p>
    <w:p>
      <w:pPr>
        <w:pStyle w:val="ListBullet"/>
      </w:pPr>
      <w:r>
        <w:rPr>
          <w:rFonts w:ascii="Inter" w:hAnsi="Inter" w:cs="Inter"/>
          <w:b w:val="0"/>
          <w:i w:val="0"/>
          <w:color w:val="2D2D2D"/>
          <w:sz w:val="22"/>
        </w:rPr>
      </w:r>
      <w:r>
        <w:rPr>
          <w:rFonts w:ascii="Inter" w:hAnsi="Inter" w:cs="Inter"/>
          <w:b/>
          <w:i w:val="0"/>
          <w:color w:val="2D2D2D"/>
          <w:sz w:val="22"/>
        </w:rPr>
        <w:t>Empowered</w:t>
      </w:r>
      <w:r>
        <w:rPr>
          <w:rFonts w:ascii="Inter" w:hAnsi="Inter" w:cs="Inter"/>
          <w:b w:val="0"/>
          <w:i w:val="0"/>
          <w:color w:val="2D2D2D"/>
          <w:sz w:val="22"/>
        </w:rPr>
        <w:t xml:space="preserve"> --- improved community capacity through improved access to quality basic social services and widened economic opportunities</w:t>
      </w:r>
    </w:p>
    <w:p>
      <w:pPr>
        <w:pStyle w:val="ListBullet"/>
      </w:pPr>
      <w:r>
        <w:rPr>
          <w:rFonts w:ascii="Inter" w:hAnsi="Inter" w:cs="Inter"/>
          <w:b w:val="0"/>
          <w:i w:val="0"/>
          <w:color w:val="2D2D2D"/>
          <w:sz w:val="22"/>
        </w:rPr>
      </w:r>
      <w:r>
        <w:rPr>
          <w:rFonts w:ascii="Inter" w:hAnsi="Inter" w:cs="Inter"/>
          <w:b/>
          <w:i w:val="0"/>
          <w:color w:val="2D2D2D"/>
          <w:sz w:val="22"/>
        </w:rPr>
        <w:t>Cohesive</w:t>
      </w:r>
      <w:r>
        <w:rPr>
          <w:rFonts w:ascii="Inter" w:hAnsi="Inter" w:cs="Inter"/>
          <w:b w:val="0"/>
          <w:i w:val="0"/>
          <w:color w:val="2D2D2D"/>
          <w:sz w:val="22"/>
        </w:rPr>
        <w:t xml:space="preserve"> --- improved relationships between stakeholders as evidenced by reduced violent conflict and forged partnerships in governance and development</w:t>
      </w:r>
    </w:p>
    <w:p>
      <w:pPr>
        <w:pStyle w:val="ListBullet"/>
      </w:pPr>
      <w:r>
        <w:rPr>
          <w:rFonts w:ascii="Inter" w:hAnsi="Inter" w:cs="Inter"/>
          <w:b w:val="0"/>
          <w:i w:val="0"/>
          <w:color w:val="2D2D2D"/>
          <w:sz w:val="22"/>
        </w:rPr>
      </w:r>
      <w:r>
        <w:rPr>
          <w:rFonts w:ascii="Inter" w:hAnsi="Inter" w:cs="Inter"/>
          <w:b/>
          <w:i w:val="0"/>
          <w:color w:val="2D2D2D"/>
          <w:sz w:val="22"/>
        </w:rPr>
        <w:t>Progressive</w:t>
      </w:r>
      <w:r>
        <w:rPr>
          <w:rFonts w:ascii="Inter" w:hAnsi="Inter" w:cs="Inter"/>
          <w:b w:val="0"/>
          <w:i w:val="0"/>
          <w:color w:val="2D2D2D"/>
          <w:sz w:val="22"/>
        </w:rPr>
        <w:t xml:space="preserve"> --- sustained ability to optimize existing and potential resources in addressing development needs and realizing economic and human potential</w:t>
      </w:r>
    </w:p>
    <w:p>
      <w:pPr>
        <w:pStyle w:val="Heading3"/>
      </w:pPr>
      <w:r>
        <w:rPr>
          <w:rFonts w:ascii="Inter" w:hAnsi="Inter" w:cs="Inter"/>
          <w:b/>
          <w:i w:val="0"/>
          <w:color w:val="2C5F7C"/>
          <w:sz w:val="26"/>
        </w:rPr>
        <w:t>The Six Development Goals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Goal</w:t>
            </w:r>
          </w:p>
        </w:tc>
        <w:tc>
          <w:tcPr>
            <w:tcW w:type="dxa" w:w="2340"/>
            <w:shd w:fill="1B365D"/>
          </w:tcPr>
          <w:p>
            <w:r/>
            <w:r>
              <w:rPr>
                <w:rFonts w:ascii="Inter" w:hAnsi="Inter" w:cs="Inter"/>
                <w:b/>
                <w:i w:val="0"/>
                <w:color w:val="FFFFFF"/>
                <w:sz w:val="19"/>
              </w:rPr>
              <w:t>Full Title</w:t>
            </w:r>
          </w:p>
        </w:tc>
        <w:tc>
          <w:tcPr>
            <w:tcW w:type="dxa" w:w="2340"/>
            <w:shd w:fill="1B365D"/>
          </w:tcPr>
          <w:p>
            <w:r/>
            <w:r>
              <w:rPr>
                <w:rFonts w:ascii="Inter" w:hAnsi="Inter" w:cs="Inter"/>
                <w:b/>
                <w:i w:val="0"/>
                <w:color w:val="FFFFFF"/>
                <w:sz w:val="19"/>
              </w:rPr>
              <w:t>Description</w:t>
            </w:r>
          </w:p>
        </w:tc>
        <w:tc>
          <w:tcPr>
            <w:tcW w:type="dxa" w:w="2340"/>
            <w:shd w:fill="1B365D"/>
          </w:tcPr>
          <w:p>
            <w:r/>
            <w:r>
              <w:rPr>
                <w:rFonts w:ascii="Inter" w:hAnsi="Inter" w:cs="Inter"/>
                <w:b/>
                <w:i w:val="0"/>
                <w:color w:val="FFFFFF"/>
                <w:sz w:val="19"/>
              </w:rPr>
              <w:t>Key Sectors</w:t>
            </w:r>
          </w:p>
        </w:tc>
      </w:tr>
      <w:tr>
        <w:tc>
          <w:tcPr>
            <w:tcW w:type="dxa" w:w="2340"/>
          </w:tcPr>
          <w:p>
            <w:r/>
            <w:r>
              <w:rPr>
                <w:rFonts w:ascii="Inter" w:hAnsi="Inter" w:cs="Inter"/>
                <w:b w:val="0"/>
                <w:i w:val="0"/>
                <w:color w:val="2D2D2D"/>
                <w:sz w:val="19"/>
              </w:rPr>
              <w:t>**Goal 1**</w:t>
            </w:r>
          </w:p>
        </w:tc>
        <w:tc>
          <w:tcPr>
            <w:tcW w:type="dxa" w:w="2340"/>
          </w:tcPr>
          <w:p>
            <w:r/>
            <w:r>
              <w:rPr>
                <w:rFonts w:ascii="Inter" w:hAnsi="Inter" w:cs="Inter"/>
                <w:b w:val="0"/>
                <w:i w:val="0"/>
                <w:color w:val="2D2D2D"/>
                <w:sz w:val="19"/>
              </w:rPr>
              <w:t>Stable, Just, and Accountable Government</w:t>
            </w:r>
          </w:p>
        </w:tc>
        <w:tc>
          <w:tcPr>
            <w:tcW w:type="dxa" w:w="2340"/>
          </w:tcPr>
          <w:p>
            <w:r/>
            <w:r>
              <w:rPr>
                <w:rFonts w:ascii="Inter" w:hAnsi="Inter" w:cs="Inter"/>
                <w:b w:val="0"/>
                <w:i w:val="0"/>
                <w:color w:val="2D2D2D"/>
                <w:sz w:val="19"/>
              </w:rPr>
              <w:t>Continuity of service delivery through stable institutions; just exercise of powers for inclusive growth; accountability frameworks for resource use and governance.[^50]</w:t>
            </w:r>
          </w:p>
        </w:tc>
        <w:tc>
          <w:tcPr>
            <w:tcW w:type="dxa" w:w="2340"/>
          </w:tcPr>
          <w:p>
            <w:r/>
            <w:r>
              <w:rPr>
                <w:rFonts w:ascii="Inter" w:hAnsi="Inter" w:cs="Inter"/>
                <w:b w:val="0"/>
                <w:i w:val="0"/>
                <w:color w:val="2D2D2D"/>
                <w:sz w:val="19"/>
              </w:rPr>
              <w:t>Governance, public administration, civil service, anti-corruption, fiscal management</w:t>
            </w:r>
          </w:p>
        </w:tc>
      </w:tr>
      <w:tr>
        <w:tc>
          <w:tcPr>
            <w:tcW w:type="dxa" w:w="2340"/>
            <w:shd w:fill="F0F3F6"/>
          </w:tcPr>
          <w:p>
            <w:r/>
            <w:r>
              <w:rPr>
                <w:rFonts w:ascii="Inter" w:hAnsi="Inter" w:cs="Inter"/>
                <w:b w:val="0"/>
                <w:i w:val="0"/>
                <w:color w:val="2D2D2D"/>
                <w:sz w:val="19"/>
              </w:rPr>
              <w:t>**Goal 2**</w:t>
            </w:r>
          </w:p>
        </w:tc>
        <w:tc>
          <w:tcPr>
            <w:tcW w:type="dxa" w:w="2340"/>
            <w:shd w:fill="F0F3F6"/>
          </w:tcPr>
          <w:p>
            <w:r/>
            <w:r>
              <w:rPr>
                <w:rFonts w:ascii="Inter" w:hAnsi="Inter" w:cs="Inter"/>
                <w:b w:val="0"/>
                <w:i w:val="0"/>
                <w:color w:val="2D2D2D"/>
                <w:sz w:val="19"/>
              </w:rPr>
              <w:t>Equitable, Competitive, and Robust Economy</w:t>
            </w:r>
          </w:p>
        </w:tc>
        <w:tc>
          <w:tcPr>
            <w:tcW w:type="dxa" w:w="2340"/>
            <w:shd w:fill="F0F3F6"/>
          </w:tcPr>
          <w:p>
            <w:r/>
            <w:r>
              <w:rPr>
                <w:rFonts w:ascii="Inter" w:hAnsi="Inter" w:cs="Inter"/>
                <w:b w:val="0"/>
                <w:i w:val="0"/>
                <w:color w:val="2D2D2D"/>
                <w:sz w:val="19"/>
              </w:rPr>
              <w:t>Equitable distribution of economic gains with special consideration for the poor; comparative advantage in selected commodities; sustained double-digit growth in GDP.[^51]</w:t>
            </w:r>
          </w:p>
        </w:tc>
        <w:tc>
          <w:tcPr>
            <w:tcW w:type="dxa" w:w="2340"/>
            <w:shd w:fill="F0F3F6"/>
          </w:tcPr>
          <w:p>
            <w:r/>
            <w:r>
              <w:rPr>
                <w:rFonts w:ascii="Inter" w:hAnsi="Inter" w:cs="Inter"/>
                <w:b w:val="0"/>
                <w:i w:val="0"/>
                <w:color w:val="2D2D2D"/>
                <w:sz w:val="19"/>
              </w:rPr>
              <w:t>Trade and industry, investment, employment, agriculture, fisheries, MSMEs, cooperatives</w:t>
            </w:r>
          </w:p>
        </w:tc>
      </w:tr>
      <w:tr>
        <w:tc>
          <w:tcPr>
            <w:tcW w:type="dxa" w:w="2340"/>
          </w:tcPr>
          <w:p>
            <w:r/>
            <w:r>
              <w:rPr>
                <w:rFonts w:ascii="Inter" w:hAnsi="Inter" w:cs="Inter"/>
                <w:b w:val="0"/>
                <w:i w:val="0"/>
                <w:color w:val="2D2D2D"/>
                <w:sz w:val="19"/>
              </w:rPr>
              <w:t>**Goal 3**</w:t>
            </w:r>
          </w:p>
        </w:tc>
        <w:tc>
          <w:tcPr>
            <w:tcW w:type="dxa" w:w="2340"/>
          </w:tcPr>
          <w:p>
            <w:r/>
            <w:r>
              <w:rPr>
                <w:rFonts w:ascii="Inter" w:hAnsi="Inter" w:cs="Inter"/>
                <w:b w:val="0"/>
                <w:i w:val="0"/>
                <w:color w:val="2D2D2D"/>
                <w:sz w:val="19"/>
              </w:rPr>
              <w:t>Peaceful, Safe, and Resilient Bangsamoro Communities</w:t>
            </w:r>
          </w:p>
        </w:tc>
        <w:tc>
          <w:tcPr>
            <w:tcW w:type="dxa" w:w="2340"/>
          </w:tcPr>
          <w:p>
            <w:r/>
            <w:r>
              <w:rPr>
                <w:rFonts w:ascii="Inter" w:hAnsi="Inter" w:cs="Inter"/>
                <w:b w:val="0"/>
                <w:i w:val="0"/>
                <w:color w:val="2D2D2D"/>
                <w:sz w:val="19"/>
              </w:rPr>
              <w:t>Lasting peace through security and peace-building; safe communities protecting the Bangsamoro people; resilience against natural calamities and human-induced disasters.[^52]</w:t>
            </w:r>
          </w:p>
        </w:tc>
        <w:tc>
          <w:tcPr>
            <w:tcW w:type="dxa" w:w="2340"/>
          </w:tcPr>
          <w:p>
            <w:r/>
            <w:r>
              <w:rPr>
                <w:rFonts w:ascii="Inter" w:hAnsi="Inter" w:cs="Inter"/>
                <w:b w:val="0"/>
                <w:i w:val="0"/>
                <w:color w:val="2D2D2D"/>
                <w:sz w:val="19"/>
              </w:rPr>
              <w:t>Peace process, normalization, DRRM, conflict resolution, public safety</w:t>
            </w:r>
          </w:p>
        </w:tc>
      </w:tr>
      <w:tr>
        <w:tc>
          <w:tcPr>
            <w:tcW w:type="dxa" w:w="2340"/>
            <w:shd w:fill="F0F3F6"/>
          </w:tcPr>
          <w:p>
            <w:r/>
            <w:r>
              <w:rPr>
                <w:rFonts w:ascii="Inter" w:hAnsi="Inter" w:cs="Inter"/>
                <w:b w:val="0"/>
                <w:i w:val="0"/>
                <w:color w:val="2D2D2D"/>
                <w:sz w:val="19"/>
              </w:rPr>
              <w:t>**Goal 4**</w:t>
            </w:r>
          </w:p>
        </w:tc>
        <w:tc>
          <w:tcPr>
            <w:tcW w:type="dxa" w:w="2340"/>
            <w:shd w:fill="F0F3F6"/>
          </w:tcPr>
          <w:p>
            <w:r/>
            <w:r>
              <w:rPr>
                <w:rFonts w:ascii="Inter" w:hAnsi="Inter" w:cs="Inter"/>
                <w:b w:val="0"/>
                <w:i w:val="0"/>
                <w:color w:val="2D2D2D"/>
                <w:sz w:val="19"/>
              </w:rPr>
              <w:t>Inclusive, Responsive, and Quality Social Services</w:t>
            </w:r>
          </w:p>
        </w:tc>
        <w:tc>
          <w:tcPr>
            <w:tcW w:type="dxa" w:w="2340"/>
            <w:shd w:fill="F0F3F6"/>
          </w:tcPr>
          <w:p>
            <w:r/>
            <w:r>
              <w:rPr>
                <w:rFonts w:ascii="Inter" w:hAnsi="Inter" w:cs="Inter"/>
                <w:b w:val="0"/>
                <w:i w:val="0"/>
                <w:color w:val="2D2D2D"/>
                <w:sz w:val="19"/>
              </w:rPr>
              <w:t>Quality services inclusive of all sectors regardless of tribe, color, or political affiliation; responsive to the needs of all people and the Bangsamoro as a whole.[^53]</w:t>
            </w:r>
          </w:p>
        </w:tc>
        <w:tc>
          <w:tcPr>
            <w:tcW w:type="dxa" w:w="2340"/>
            <w:shd w:fill="F0F3F6"/>
          </w:tcPr>
          <w:p>
            <w:r/>
            <w:r>
              <w:rPr>
                <w:rFonts w:ascii="Inter" w:hAnsi="Inter" w:cs="Inter"/>
                <w:b w:val="0"/>
                <w:i w:val="0"/>
                <w:color w:val="2D2D2D"/>
                <w:sz w:val="19"/>
              </w:rPr>
              <w:t>Health, education, social welfare, housing, labor, youth, women, IP affairs</w:t>
            </w:r>
          </w:p>
        </w:tc>
      </w:tr>
      <w:tr>
        <w:tc>
          <w:tcPr>
            <w:tcW w:type="dxa" w:w="2340"/>
          </w:tcPr>
          <w:p>
            <w:r/>
            <w:r>
              <w:rPr>
                <w:rFonts w:ascii="Inter" w:hAnsi="Inter" w:cs="Inter"/>
                <w:b w:val="0"/>
                <w:i w:val="0"/>
                <w:color w:val="2D2D2D"/>
                <w:sz w:val="19"/>
              </w:rPr>
              <w:t>**Goal 5**</w:t>
            </w:r>
          </w:p>
        </w:tc>
        <w:tc>
          <w:tcPr>
            <w:tcW w:type="dxa" w:w="2340"/>
          </w:tcPr>
          <w:p>
            <w:r/>
            <w:r>
              <w:rPr>
                <w:rFonts w:ascii="Inter" w:hAnsi="Inter" w:cs="Inter"/>
                <w:b w:val="0"/>
                <w:i w:val="0"/>
                <w:color w:val="2D2D2D"/>
                <w:sz w:val="19"/>
              </w:rPr>
              <w:t>Rich and Diverse Bangsamoro Culture and Identity Preserved and Recognized</w:t>
            </w:r>
          </w:p>
        </w:tc>
        <w:tc>
          <w:tcPr>
            <w:tcW w:type="dxa" w:w="2340"/>
          </w:tcPr>
          <w:p>
            <w:r/>
            <w:r>
              <w:rPr>
                <w:rFonts w:ascii="Inter" w:hAnsi="Inter" w:cs="Inter"/>
                <w:b w:val="0"/>
                <w:i w:val="0"/>
                <w:color w:val="2D2D2D"/>
                <w:sz w:val="19"/>
              </w:rPr>
              <w:t>Exercise of powers and authority to maintain and promote the rich, diverse culture and identity of the Bangsamoro people.[^54]</w:t>
            </w:r>
          </w:p>
        </w:tc>
        <w:tc>
          <w:tcPr>
            <w:tcW w:type="dxa" w:w="2340"/>
          </w:tcPr>
          <w:p>
            <w:r/>
            <w:r>
              <w:rPr>
                <w:rFonts w:ascii="Inter" w:hAnsi="Inter" w:cs="Inter"/>
                <w:b w:val="0"/>
                <w:i w:val="0"/>
                <w:color w:val="2D2D2D"/>
                <w:sz w:val="19"/>
              </w:rPr>
              <w:t>Culture, language, heritage, arts, libraries, museums, Islamic affairs</w:t>
            </w:r>
          </w:p>
        </w:tc>
      </w:tr>
      <w:tr>
        <w:tc>
          <w:tcPr>
            <w:tcW w:type="dxa" w:w="2340"/>
            <w:shd w:fill="F0F3F6"/>
          </w:tcPr>
          <w:p>
            <w:r/>
            <w:r>
              <w:rPr>
                <w:rFonts w:ascii="Inter" w:hAnsi="Inter" w:cs="Inter"/>
                <w:b w:val="0"/>
                <w:i w:val="0"/>
                <w:color w:val="2D2D2D"/>
                <w:sz w:val="19"/>
              </w:rPr>
              <w:t>**Goal 6**</w:t>
            </w:r>
          </w:p>
        </w:tc>
        <w:tc>
          <w:tcPr>
            <w:tcW w:type="dxa" w:w="2340"/>
            <w:shd w:fill="F0F3F6"/>
          </w:tcPr>
          <w:p>
            <w:r/>
            <w:r>
              <w:rPr>
                <w:rFonts w:ascii="Inter" w:hAnsi="Inter" w:cs="Inter"/>
                <w:b w:val="0"/>
                <w:i w:val="0"/>
                <w:color w:val="2D2D2D"/>
                <w:sz w:val="19"/>
              </w:rPr>
              <w:t>Strategic, Adequate, and Climate-Resilient Infrastructure</w:t>
            </w:r>
          </w:p>
        </w:tc>
        <w:tc>
          <w:tcPr>
            <w:tcW w:type="dxa" w:w="2340"/>
            <w:shd w:fill="F0F3F6"/>
          </w:tcPr>
          <w:p>
            <w:r/>
            <w:r>
              <w:rPr>
                <w:rFonts w:ascii="Inter" w:hAnsi="Inter" w:cs="Inter"/>
                <w:b w:val="0"/>
                <w:i w:val="0"/>
                <w:color w:val="2D2D2D"/>
                <w:sz w:val="19"/>
              </w:rPr>
              <w:t>Strategic infrastructure with broad-based effects; adequate to meet community demands; climate-resilient to withstand calamities induced by climate change.[^55]</w:t>
            </w:r>
          </w:p>
        </w:tc>
        <w:tc>
          <w:tcPr>
            <w:tcW w:type="dxa" w:w="2340"/>
            <w:shd w:fill="F0F3F6"/>
          </w:tcPr>
          <w:p>
            <w:r/>
            <w:r>
              <w:rPr>
                <w:rFonts w:ascii="Inter" w:hAnsi="Inter" w:cs="Inter"/>
                <w:b w:val="0"/>
                <w:i w:val="0"/>
                <w:color w:val="2D2D2D"/>
                <w:sz w:val="19"/>
              </w:rPr>
              <w:t>Roads, bridges, ports, airports, public buildings, energy, water supply, telecommunications</w:t>
            </w:r>
          </w:p>
        </w:tc>
      </w:tr>
    </w:tbl>
    <w:p/>
    <w:p>
      <w:pPr>
        <w:pStyle w:val="Heading3"/>
      </w:pPr>
      <w:r>
        <w:rPr>
          <w:rFonts w:ascii="Inter" w:hAnsi="Inter" w:cs="Inter"/>
          <w:b/>
          <w:i w:val="0"/>
          <w:color w:val="2C5F7C"/>
          <w:sz w:val="26"/>
        </w:rPr>
        <w:t>The Eight Development Strategies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w:t>
            </w:r>
          </w:p>
        </w:tc>
        <w:tc>
          <w:tcPr>
            <w:tcW w:type="dxa" w:w="3120"/>
            <w:shd w:fill="1B365D"/>
          </w:tcPr>
          <w:p>
            <w:r/>
            <w:r>
              <w:rPr>
                <w:rFonts w:ascii="Inter" w:hAnsi="Inter" w:cs="Inter"/>
                <w:b/>
                <w:i w:val="0"/>
                <w:color w:val="FFFFFF"/>
                <w:sz w:val="19"/>
              </w:rPr>
              <w:t>Strategy</w:t>
            </w:r>
          </w:p>
        </w:tc>
        <w:tc>
          <w:tcPr>
            <w:tcW w:type="dxa" w:w="3120"/>
            <w:shd w:fill="1B365D"/>
          </w:tcPr>
          <w:p>
            <w:r/>
            <w:r>
              <w:rPr>
                <w:rFonts w:ascii="Inter" w:hAnsi="Inter" w:cs="Inter"/>
                <w:b/>
                <w:i w:val="0"/>
                <w:color w:val="FFFFFF"/>
                <w:sz w:val="19"/>
              </w:rPr>
              <w:t>Primary Goal(s) Served</w:t>
            </w:r>
          </w:p>
        </w:tc>
      </w:tr>
      <w:tr>
        <w:tc>
          <w:tcPr>
            <w:tcW w:type="dxa" w:w="3120"/>
          </w:tcPr>
          <w:p>
            <w:r/>
            <w:r>
              <w:rPr>
                <w:rFonts w:ascii="Inter" w:hAnsi="Inter" w:cs="Inter"/>
                <w:b w:val="0"/>
                <w:i w:val="0"/>
                <w:color w:val="2D2D2D"/>
                <w:sz w:val="19"/>
              </w:rPr>
              <w:t>S1</w:t>
            </w:r>
          </w:p>
        </w:tc>
        <w:tc>
          <w:tcPr>
            <w:tcW w:type="dxa" w:w="3120"/>
          </w:tcPr>
          <w:p>
            <w:r/>
            <w:r>
              <w:rPr>
                <w:rFonts w:ascii="Inter" w:hAnsi="Inter" w:cs="Inter"/>
                <w:b w:val="0"/>
                <w:i w:val="0"/>
                <w:color w:val="2D2D2D"/>
                <w:sz w:val="19"/>
              </w:rPr>
              <w:t>Improve and strengthen governance mechanisms for a stable, just, and accountable Bangsamoro government</w:t>
            </w:r>
          </w:p>
        </w:tc>
        <w:tc>
          <w:tcPr>
            <w:tcW w:type="dxa" w:w="3120"/>
          </w:tcPr>
          <w:p>
            <w:r/>
            <w:r>
              <w:rPr>
                <w:rFonts w:ascii="Inter" w:hAnsi="Inter" w:cs="Inter"/>
                <w:b w:val="0"/>
                <w:i w:val="0"/>
                <w:color w:val="2D2D2D"/>
                <w:sz w:val="19"/>
              </w:rPr>
              <w:t>Goal 1</w:t>
            </w:r>
          </w:p>
        </w:tc>
      </w:tr>
      <w:tr>
        <w:tc>
          <w:tcPr>
            <w:tcW w:type="dxa" w:w="3120"/>
            <w:shd w:fill="F0F3F6"/>
          </w:tcPr>
          <w:p>
            <w:r/>
            <w:r>
              <w:rPr>
                <w:rFonts w:ascii="Inter" w:hAnsi="Inter" w:cs="Inter"/>
                <w:b w:val="0"/>
                <w:i w:val="0"/>
                <w:color w:val="2D2D2D"/>
                <w:sz w:val="19"/>
              </w:rPr>
              <w:t>S2</w:t>
            </w:r>
          </w:p>
        </w:tc>
        <w:tc>
          <w:tcPr>
            <w:tcW w:type="dxa" w:w="3120"/>
            <w:shd w:fill="F0F3F6"/>
          </w:tcPr>
          <w:p>
            <w:r/>
            <w:r>
              <w:rPr>
                <w:rFonts w:ascii="Inter" w:hAnsi="Inter" w:cs="Inter"/>
                <w:b w:val="0"/>
                <w:i w:val="0"/>
                <w:color w:val="2D2D2D"/>
                <w:sz w:val="19"/>
              </w:rPr>
              <w:t>Create an enabling environment towards an equitable, competitive, and robust economy</w:t>
            </w:r>
          </w:p>
        </w:tc>
        <w:tc>
          <w:tcPr>
            <w:tcW w:type="dxa" w:w="3120"/>
            <w:shd w:fill="F0F3F6"/>
          </w:tcPr>
          <w:p>
            <w:r/>
            <w:r>
              <w:rPr>
                <w:rFonts w:ascii="Inter" w:hAnsi="Inter" w:cs="Inter"/>
                <w:b w:val="0"/>
                <w:i w:val="0"/>
                <w:color w:val="2D2D2D"/>
                <w:sz w:val="19"/>
              </w:rPr>
              <w:t>Goal 2</w:t>
            </w:r>
          </w:p>
        </w:tc>
      </w:tr>
      <w:tr>
        <w:tc>
          <w:tcPr>
            <w:tcW w:type="dxa" w:w="3120"/>
          </w:tcPr>
          <w:p>
            <w:r/>
            <w:r>
              <w:rPr>
                <w:rFonts w:ascii="Inter" w:hAnsi="Inter" w:cs="Inter"/>
                <w:b w:val="0"/>
                <w:i w:val="0"/>
                <w:color w:val="2D2D2D"/>
                <w:sz w:val="19"/>
              </w:rPr>
              <w:t>S3</w:t>
            </w:r>
          </w:p>
        </w:tc>
        <w:tc>
          <w:tcPr>
            <w:tcW w:type="dxa" w:w="3120"/>
          </w:tcPr>
          <w:p>
            <w:r/>
            <w:r>
              <w:rPr>
                <w:rFonts w:ascii="Inter" w:hAnsi="Inter" w:cs="Inter"/>
                <w:b w:val="0"/>
                <w:i w:val="0"/>
                <w:color w:val="2D2D2D"/>
                <w:sz w:val="19"/>
              </w:rPr>
              <w:t>Harness technology and innovations to increase socioeconomic opportunities and improve government services</w:t>
            </w:r>
          </w:p>
        </w:tc>
        <w:tc>
          <w:tcPr>
            <w:tcW w:type="dxa" w:w="3120"/>
          </w:tcPr>
          <w:p>
            <w:r/>
            <w:r>
              <w:rPr>
                <w:rFonts w:ascii="Inter" w:hAnsi="Inter" w:cs="Inter"/>
                <w:b w:val="0"/>
                <w:i w:val="0"/>
                <w:color w:val="2D2D2D"/>
                <w:sz w:val="19"/>
              </w:rPr>
              <w:t>Goals 1, 2</w:t>
            </w:r>
          </w:p>
        </w:tc>
      </w:tr>
      <w:tr>
        <w:tc>
          <w:tcPr>
            <w:tcW w:type="dxa" w:w="3120"/>
            <w:shd w:fill="F0F3F6"/>
          </w:tcPr>
          <w:p>
            <w:r/>
            <w:r>
              <w:rPr>
                <w:rFonts w:ascii="Inter" w:hAnsi="Inter" w:cs="Inter"/>
                <w:b w:val="0"/>
                <w:i w:val="0"/>
                <w:color w:val="2D2D2D"/>
                <w:sz w:val="19"/>
              </w:rPr>
              <w:t>S4</w:t>
            </w:r>
          </w:p>
        </w:tc>
        <w:tc>
          <w:tcPr>
            <w:tcW w:type="dxa" w:w="3120"/>
            <w:shd w:fill="F0F3F6"/>
          </w:tcPr>
          <w:p>
            <w:r/>
            <w:r>
              <w:rPr>
                <w:rFonts w:ascii="Inter" w:hAnsi="Inter" w:cs="Inter"/>
                <w:b w:val="0"/>
                <w:i w:val="0"/>
                <w:color w:val="2D2D2D"/>
                <w:sz w:val="19"/>
              </w:rPr>
              <w:t>Improve ecological integrity, resilience of communities, and ensure a healthy and clean environment</w:t>
            </w:r>
          </w:p>
        </w:tc>
        <w:tc>
          <w:tcPr>
            <w:tcW w:type="dxa" w:w="3120"/>
            <w:shd w:fill="F0F3F6"/>
          </w:tcPr>
          <w:p>
            <w:r/>
            <w:r>
              <w:rPr>
                <w:rFonts w:ascii="Inter" w:hAnsi="Inter" w:cs="Inter"/>
                <w:b w:val="0"/>
                <w:i w:val="0"/>
                <w:color w:val="2D2D2D"/>
                <w:sz w:val="19"/>
              </w:rPr>
              <w:t>Goals 3, 6</w:t>
            </w:r>
          </w:p>
        </w:tc>
      </w:tr>
      <w:tr>
        <w:tc>
          <w:tcPr>
            <w:tcW w:type="dxa" w:w="3120"/>
          </w:tcPr>
          <w:p>
            <w:r/>
            <w:r>
              <w:rPr>
                <w:rFonts w:ascii="Inter" w:hAnsi="Inter" w:cs="Inter"/>
                <w:b w:val="0"/>
                <w:i w:val="0"/>
                <w:color w:val="2D2D2D"/>
                <w:sz w:val="19"/>
              </w:rPr>
              <w:t>S5</w:t>
            </w:r>
          </w:p>
        </w:tc>
        <w:tc>
          <w:tcPr>
            <w:tcW w:type="dxa" w:w="3120"/>
          </w:tcPr>
          <w:p>
            <w:r/>
            <w:r>
              <w:rPr>
                <w:rFonts w:ascii="Inter" w:hAnsi="Inter" w:cs="Inter"/>
                <w:b w:val="0"/>
                <w:i w:val="0"/>
                <w:color w:val="2D2D2D"/>
                <w:sz w:val="19"/>
              </w:rPr>
              <w:t>Enhance and strengthen the peace, public order, safety, and security and uphold human rights for inclusive, peaceful, progressive, and sustainable development</w:t>
            </w:r>
          </w:p>
        </w:tc>
        <w:tc>
          <w:tcPr>
            <w:tcW w:type="dxa" w:w="3120"/>
          </w:tcPr>
          <w:p>
            <w:r/>
            <w:r>
              <w:rPr>
                <w:rFonts w:ascii="Inter" w:hAnsi="Inter" w:cs="Inter"/>
                <w:b w:val="0"/>
                <w:i w:val="0"/>
                <w:color w:val="2D2D2D"/>
                <w:sz w:val="19"/>
              </w:rPr>
              <w:t>Goal 3</w:t>
            </w:r>
          </w:p>
        </w:tc>
      </w:tr>
      <w:tr>
        <w:tc>
          <w:tcPr>
            <w:tcW w:type="dxa" w:w="3120"/>
            <w:shd w:fill="F0F3F6"/>
          </w:tcPr>
          <w:p>
            <w:r/>
            <w:r>
              <w:rPr>
                <w:rFonts w:ascii="Inter" w:hAnsi="Inter" w:cs="Inter"/>
                <w:b w:val="0"/>
                <w:i w:val="0"/>
                <w:color w:val="2D2D2D"/>
                <w:sz w:val="19"/>
              </w:rPr>
              <w:t>S6</w:t>
            </w:r>
          </w:p>
        </w:tc>
        <w:tc>
          <w:tcPr>
            <w:tcW w:type="dxa" w:w="3120"/>
            <w:shd w:fill="F0F3F6"/>
          </w:tcPr>
          <w:p>
            <w:r/>
            <w:r>
              <w:rPr>
                <w:rFonts w:ascii="Inter" w:hAnsi="Inter" w:cs="Inter"/>
                <w:b w:val="0"/>
                <w:i w:val="0"/>
                <w:color w:val="2D2D2D"/>
                <w:sz w:val="19"/>
              </w:rPr>
              <w:t>Ensure inclusive and equitable access to quality services for social justice and human capital development</w:t>
            </w:r>
          </w:p>
        </w:tc>
        <w:tc>
          <w:tcPr>
            <w:tcW w:type="dxa" w:w="3120"/>
            <w:shd w:fill="F0F3F6"/>
          </w:tcPr>
          <w:p>
            <w:r/>
            <w:r>
              <w:rPr>
                <w:rFonts w:ascii="Inter" w:hAnsi="Inter" w:cs="Inter"/>
                <w:b w:val="0"/>
                <w:i w:val="0"/>
                <w:color w:val="2D2D2D"/>
                <w:sz w:val="19"/>
              </w:rPr>
              <w:t>Goal 4</w:t>
            </w:r>
          </w:p>
        </w:tc>
      </w:tr>
      <w:tr>
        <w:tc>
          <w:tcPr>
            <w:tcW w:type="dxa" w:w="3120"/>
          </w:tcPr>
          <w:p>
            <w:r/>
            <w:r>
              <w:rPr>
                <w:rFonts w:ascii="Inter" w:hAnsi="Inter" w:cs="Inter"/>
                <w:b w:val="0"/>
                <w:i w:val="0"/>
                <w:color w:val="2D2D2D"/>
                <w:sz w:val="19"/>
              </w:rPr>
              <w:t>S7</w:t>
            </w:r>
          </w:p>
        </w:tc>
        <w:tc>
          <w:tcPr>
            <w:tcW w:type="dxa" w:w="3120"/>
          </w:tcPr>
          <w:p>
            <w:r/>
            <w:r>
              <w:rPr>
                <w:rFonts w:ascii="Inter" w:hAnsi="Inter" w:cs="Inter"/>
                <w:b w:val="0"/>
                <w:i w:val="0"/>
                <w:color w:val="2D2D2D"/>
                <w:sz w:val="19"/>
              </w:rPr>
              <w:t>Mainstream Bangsamoro cultural diversity, beliefs, heritage, and identity</w:t>
            </w:r>
          </w:p>
        </w:tc>
        <w:tc>
          <w:tcPr>
            <w:tcW w:type="dxa" w:w="3120"/>
          </w:tcPr>
          <w:p>
            <w:r/>
            <w:r>
              <w:rPr>
                <w:rFonts w:ascii="Inter" w:hAnsi="Inter" w:cs="Inter"/>
                <w:b w:val="0"/>
                <w:i w:val="0"/>
                <w:color w:val="2D2D2D"/>
                <w:sz w:val="19"/>
              </w:rPr>
              <w:t>Goal 5</w:t>
            </w:r>
          </w:p>
        </w:tc>
      </w:tr>
      <w:tr>
        <w:tc>
          <w:tcPr>
            <w:tcW w:type="dxa" w:w="3120"/>
            <w:shd w:fill="F0F3F6"/>
          </w:tcPr>
          <w:p>
            <w:r/>
            <w:r>
              <w:rPr>
                <w:rFonts w:ascii="Inter" w:hAnsi="Inter" w:cs="Inter"/>
                <w:b w:val="0"/>
                <w:i w:val="0"/>
                <w:color w:val="2D2D2D"/>
                <w:sz w:val="19"/>
              </w:rPr>
              <w:t>S8</w:t>
            </w:r>
          </w:p>
        </w:tc>
        <w:tc>
          <w:tcPr>
            <w:tcW w:type="dxa" w:w="3120"/>
            <w:shd w:fill="F0F3F6"/>
          </w:tcPr>
          <w:p>
            <w:r/>
            <w:r>
              <w:rPr>
                <w:rFonts w:ascii="Inter" w:hAnsi="Inter" w:cs="Inter"/>
                <w:b w:val="0"/>
                <w:i w:val="0"/>
                <w:color w:val="2D2D2D"/>
                <w:sz w:val="19"/>
              </w:rPr>
              <w:t>Scale-up functional, strategic, climate-resilient, and quality infrastructure to support sustainable socioeconomic development in the Bangsamoro</w:t>
            </w:r>
          </w:p>
        </w:tc>
        <w:tc>
          <w:tcPr>
            <w:tcW w:type="dxa" w:w="3120"/>
            <w:shd w:fill="F0F3F6"/>
          </w:tcPr>
          <w:p>
            <w:r/>
            <w:r>
              <w:rPr>
                <w:rFonts w:ascii="Inter" w:hAnsi="Inter" w:cs="Inter"/>
                <w:b w:val="0"/>
                <w:i w:val="0"/>
                <w:color w:val="2D2D2D"/>
                <w:sz w:val="19"/>
              </w:rPr>
              <w:t>Goal 6</w:t>
            </w:r>
          </w:p>
        </w:tc>
      </w:tr>
    </w:tbl>
    <w:p/>
    <w:p>
      <w:pPr>
        <w:spacing w:after="120" w:line="276" w:lineRule="auto"/>
      </w:pPr>
      <w:r>
        <w:rPr>
          <w:rFonts w:ascii="Inter" w:hAnsi="Inter" w:cs="Inter"/>
          <w:b w:val="0"/>
          <w:i w:val="0"/>
          <w:color w:val="2D2D2D"/>
          <w:sz w:val="22"/>
        </w:rPr>
        <w:t>*Source: 2nd Bangsamoro Development Plan 2023-2028, Chapter 4: Bangsamoro Development Framework.*[^56]</w:t>
      </w:r>
    </w:p>
    <w:p>
      <w:pPr>
        <w:pStyle w:val="Heading3"/>
      </w:pPr>
      <w:r>
        <w:rPr>
          <w:rFonts w:ascii="Inter" w:hAnsi="Inter" w:cs="Inter"/>
          <w:b/>
          <w:i w:val="0"/>
          <w:color w:val="2C5F7C"/>
          <w:sz w:val="26"/>
        </w:rPr>
        <w:t>Goal-to-MOA Mapping Table</w:t>
      </w:r>
    </w:p>
    <w:p>
      <w:pPr>
        <w:spacing w:after="120" w:line="276" w:lineRule="auto"/>
      </w:pPr>
      <w:r>
        <w:rPr>
          <w:rFonts w:ascii="Inter" w:hAnsi="Inter" w:cs="Inter"/>
          <w:b w:val="0"/>
          <w:i w:val="0"/>
          <w:color w:val="2D2D2D"/>
          <w:sz w:val="22"/>
        </w:rPr>
        <w:t>The following table maps the six BDP goals to the MOAs that primarily serve each goal. An MOA may appear under multiple goals (primary and contributory alignments differ --- see Chapter 3).</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BDP Goal</w:t>
            </w:r>
          </w:p>
        </w:tc>
        <w:tc>
          <w:tcPr>
            <w:tcW w:type="dxa" w:w="3120"/>
            <w:shd w:fill="1B365D"/>
          </w:tcPr>
          <w:p>
            <w:r/>
            <w:r>
              <w:rPr>
                <w:rFonts w:ascii="Inter" w:hAnsi="Inter" w:cs="Inter"/>
                <w:b/>
                <w:i w:val="0"/>
                <w:color w:val="FFFFFF"/>
                <w:sz w:val="19"/>
              </w:rPr>
              <w:t>Primary MOAs</w:t>
            </w:r>
          </w:p>
        </w:tc>
        <w:tc>
          <w:tcPr>
            <w:tcW w:type="dxa" w:w="3120"/>
            <w:shd w:fill="1B365D"/>
          </w:tcPr>
          <w:p>
            <w:r/>
            <w:r>
              <w:rPr>
                <w:rFonts w:ascii="Inter" w:hAnsi="Inter" w:cs="Inter"/>
                <w:b/>
                <w:i w:val="0"/>
                <w:color w:val="FFFFFF"/>
                <w:sz w:val="19"/>
              </w:rPr>
              <w:t>Cross-Cutting MOAs</w:t>
            </w:r>
          </w:p>
        </w:tc>
      </w:tr>
      <w:tr>
        <w:tc>
          <w:tcPr>
            <w:tcW w:type="dxa" w:w="3120"/>
          </w:tcPr>
          <w:p>
            <w:r/>
            <w:r>
              <w:rPr>
                <w:rFonts w:ascii="Inter" w:hAnsi="Inter" w:cs="Inter"/>
                <w:b w:val="0"/>
                <w:i w:val="0"/>
                <w:color w:val="2D2D2D"/>
                <w:sz w:val="19"/>
              </w:rPr>
              <w:t>Goal 1: Stable, Just, and Accountable Government</w:t>
            </w:r>
          </w:p>
        </w:tc>
        <w:tc>
          <w:tcPr>
            <w:tcW w:type="dxa" w:w="3120"/>
          </w:tcPr>
          <w:p>
            <w:r/>
            <w:r>
              <w:rPr>
                <w:rFonts w:ascii="Inter" w:hAnsi="Inter" w:cs="Inter"/>
                <w:b w:val="0"/>
                <w:i w:val="0"/>
                <w:color w:val="2D2D2D"/>
                <w:sz w:val="19"/>
              </w:rPr>
              <w:t>MFBM, MILG, Office of the Chief Minister, Civil Service Commission-BARMM, Attorney General's Office</w:t>
            </w:r>
          </w:p>
        </w:tc>
        <w:tc>
          <w:tcPr>
            <w:tcW w:type="dxa" w:w="3120"/>
          </w:tcPr>
          <w:p>
            <w:r/>
            <w:r>
              <w:rPr>
                <w:rFonts w:ascii="Inter" w:hAnsi="Inter" w:cs="Inter"/>
                <w:b w:val="0"/>
                <w:i w:val="0"/>
                <w:color w:val="2D2D2D"/>
                <w:sz w:val="19"/>
              </w:rPr>
              <w:t>All MOAs (governance is cross-cutting)</w:t>
            </w:r>
          </w:p>
        </w:tc>
      </w:tr>
      <w:tr>
        <w:tc>
          <w:tcPr>
            <w:tcW w:type="dxa" w:w="3120"/>
            <w:shd w:fill="F0F3F6"/>
          </w:tcPr>
          <w:p>
            <w:r/>
            <w:r>
              <w:rPr>
                <w:rFonts w:ascii="Inter" w:hAnsi="Inter" w:cs="Inter"/>
                <w:b w:val="0"/>
                <w:i w:val="0"/>
                <w:color w:val="2D2D2D"/>
                <w:sz w:val="19"/>
              </w:rPr>
              <w:t>Goal 2: Equitable, Competitive, and Robust Economy</w:t>
            </w:r>
          </w:p>
        </w:tc>
        <w:tc>
          <w:tcPr>
            <w:tcW w:type="dxa" w:w="3120"/>
            <w:shd w:fill="F0F3F6"/>
          </w:tcPr>
          <w:p>
            <w:r/>
            <w:r>
              <w:rPr>
                <w:rFonts w:ascii="Inter" w:hAnsi="Inter" w:cs="Inter"/>
                <w:b w:val="0"/>
                <w:i w:val="0"/>
                <w:color w:val="2D2D2D"/>
                <w:sz w:val="19"/>
              </w:rPr>
              <w:t>MTI, MAFAR, MOST, MLE</w:t>
            </w:r>
          </w:p>
        </w:tc>
        <w:tc>
          <w:tcPr>
            <w:tcW w:type="dxa" w:w="3120"/>
            <w:shd w:fill="F0F3F6"/>
          </w:tcPr>
          <w:p>
            <w:r/>
            <w:r>
              <w:rPr>
                <w:rFonts w:ascii="Inter" w:hAnsi="Inter" w:cs="Inter"/>
                <w:b w:val="0"/>
                <w:i w:val="0"/>
                <w:color w:val="2D2D2D"/>
                <w:sz w:val="19"/>
              </w:rPr>
              <w:t>MENRE (natural resource economics), MPW (economic infrastructure)</w:t>
            </w:r>
          </w:p>
        </w:tc>
      </w:tr>
      <w:tr>
        <w:tc>
          <w:tcPr>
            <w:tcW w:type="dxa" w:w="3120"/>
          </w:tcPr>
          <w:p>
            <w:r/>
            <w:r>
              <w:rPr>
                <w:rFonts w:ascii="Inter" w:hAnsi="Inter" w:cs="Inter"/>
                <w:b w:val="0"/>
                <w:i w:val="0"/>
                <w:color w:val="2D2D2D"/>
                <w:sz w:val="19"/>
              </w:rPr>
              <w:t>Goal 3: Peaceful, Safe, and Resilient Bangsamoro Communities</w:t>
            </w:r>
          </w:p>
        </w:tc>
        <w:tc>
          <w:tcPr>
            <w:tcW w:type="dxa" w:w="3120"/>
          </w:tcPr>
          <w:p>
            <w:r/>
            <w:r>
              <w:rPr>
                <w:rFonts w:ascii="Inter" w:hAnsi="Inter" w:cs="Inter"/>
                <w:b w:val="0"/>
                <w:i w:val="0"/>
                <w:color w:val="2D2D2D"/>
                <w:sz w:val="19"/>
              </w:rPr>
              <w:t>MILG, BDA, BPDA (resilience), Office for Public Safety</w:t>
            </w:r>
          </w:p>
        </w:tc>
        <w:tc>
          <w:tcPr>
            <w:tcW w:type="dxa" w:w="3120"/>
          </w:tcPr>
          <w:p>
            <w:r/>
            <w:r>
              <w:rPr>
                <w:rFonts w:ascii="Inter" w:hAnsi="Inter" w:cs="Inter"/>
                <w:b w:val="0"/>
                <w:i w:val="0"/>
                <w:color w:val="2D2D2D"/>
                <w:sz w:val="19"/>
              </w:rPr>
              <w:t>MENRE (ecological resilience), MAFAR (food security), MSSD (social protection), OOBC (OBC engagement)</w:t>
            </w:r>
          </w:p>
        </w:tc>
      </w:tr>
      <w:tr>
        <w:tc>
          <w:tcPr>
            <w:tcW w:type="dxa" w:w="3120"/>
            <w:shd w:fill="F0F3F6"/>
          </w:tcPr>
          <w:p>
            <w:r/>
            <w:r>
              <w:rPr>
                <w:rFonts w:ascii="Inter" w:hAnsi="Inter" w:cs="Inter"/>
                <w:b w:val="0"/>
                <w:i w:val="0"/>
                <w:color w:val="2D2D2D"/>
                <w:sz w:val="19"/>
              </w:rPr>
              <w:t>Goal 4: Inclusive, Responsive, and Quality Social Services</w:t>
            </w:r>
          </w:p>
        </w:tc>
        <w:tc>
          <w:tcPr>
            <w:tcW w:type="dxa" w:w="3120"/>
            <w:shd w:fill="F0F3F6"/>
          </w:tcPr>
          <w:p>
            <w:r/>
            <w:r>
              <w:rPr>
                <w:rFonts w:ascii="Inter" w:hAnsi="Inter" w:cs="Inter"/>
                <w:b w:val="0"/>
                <w:i w:val="0"/>
                <w:color w:val="2D2D2D"/>
                <w:sz w:val="19"/>
              </w:rPr>
              <w:t>MBHTE, MOH, MSSD, MLE, MIPA</w:t>
            </w:r>
          </w:p>
        </w:tc>
        <w:tc>
          <w:tcPr>
            <w:tcW w:type="dxa" w:w="3120"/>
            <w:shd w:fill="F0F3F6"/>
          </w:tcPr>
          <w:p>
            <w:r/>
            <w:r>
              <w:rPr>
                <w:rFonts w:ascii="Inter" w:hAnsi="Inter" w:cs="Inter"/>
                <w:b w:val="0"/>
                <w:i w:val="0"/>
                <w:color w:val="2D2D2D"/>
                <w:sz w:val="19"/>
              </w:rPr>
              <w:t>MILG (LGU service delivery), MFBM (social sector budgeting), OOBC (OBC service access)</w:t>
            </w:r>
          </w:p>
        </w:tc>
      </w:tr>
      <w:tr>
        <w:tc>
          <w:tcPr>
            <w:tcW w:type="dxa" w:w="3120"/>
          </w:tcPr>
          <w:p>
            <w:r/>
            <w:r>
              <w:rPr>
                <w:rFonts w:ascii="Inter" w:hAnsi="Inter" w:cs="Inter"/>
                <w:b w:val="0"/>
                <w:i w:val="0"/>
                <w:color w:val="2D2D2D"/>
                <w:sz w:val="19"/>
              </w:rPr>
              <w:t>Goal 5: Rich and Diverse Bangsamoro Culture and Identity</w:t>
            </w:r>
          </w:p>
        </w:tc>
        <w:tc>
          <w:tcPr>
            <w:tcW w:type="dxa" w:w="3120"/>
          </w:tcPr>
          <w:p>
            <w:r/>
            <w:r>
              <w:rPr>
                <w:rFonts w:ascii="Inter" w:hAnsi="Inter" w:cs="Inter"/>
                <w:b w:val="0"/>
                <w:i w:val="0"/>
                <w:color w:val="2D2D2D"/>
                <w:sz w:val="19"/>
              </w:rPr>
              <w:t>Ministry of Indigenous Peoples' Affairs, BWC, Youth Commission</w:t>
            </w:r>
          </w:p>
        </w:tc>
        <w:tc>
          <w:tcPr>
            <w:tcW w:type="dxa" w:w="3120"/>
          </w:tcPr>
          <w:p>
            <w:r/>
            <w:r>
              <w:rPr>
                <w:rFonts w:ascii="Inter" w:hAnsi="Inter" w:cs="Inter"/>
                <w:b w:val="0"/>
                <w:i w:val="0"/>
                <w:color w:val="2D2D2D"/>
                <w:sz w:val="19"/>
              </w:rPr>
              <w:t>MBHTE (cultural education), MILG (cultural heritage in LGUs)</w:t>
            </w:r>
          </w:p>
        </w:tc>
      </w:tr>
      <w:tr>
        <w:tc>
          <w:tcPr>
            <w:tcW w:type="dxa" w:w="3120"/>
            <w:shd w:fill="F0F3F6"/>
          </w:tcPr>
          <w:p>
            <w:r/>
            <w:r>
              <w:rPr>
                <w:rFonts w:ascii="Inter" w:hAnsi="Inter" w:cs="Inter"/>
                <w:b w:val="0"/>
                <w:i w:val="0"/>
                <w:color w:val="2D2D2D"/>
                <w:sz w:val="19"/>
              </w:rPr>
              <w:t>Goal 6: Strategic, Adequate, and Climate-Resilient Infrastructure</w:t>
            </w:r>
          </w:p>
        </w:tc>
        <w:tc>
          <w:tcPr>
            <w:tcW w:type="dxa" w:w="3120"/>
            <w:shd w:fill="F0F3F6"/>
          </w:tcPr>
          <w:p>
            <w:r/>
            <w:r>
              <w:rPr>
                <w:rFonts w:ascii="Inter" w:hAnsi="Inter" w:cs="Inter"/>
                <w:b w:val="0"/>
                <w:i w:val="0"/>
                <w:color w:val="2D2D2D"/>
                <w:sz w:val="19"/>
              </w:rPr>
              <w:t>MPW, MENRE (energy), MTC</w:t>
            </w:r>
          </w:p>
        </w:tc>
        <w:tc>
          <w:tcPr>
            <w:tcW w:type="dxa" w:w="3120"/>
            <w:shd w:fill="F0F3F6"/>
          </w:tcPr>
          <w:p>
            <w:r/>
            <w:r>
              <w:rPr>
                <w:rFonts w:ascii="Inter" w:hAnsi="Inter" w:cs="Inter"/>
                <w:b w:val="0"/>
                <w:i w:val="0"/>
                <w:color w:val="2D2D2D"/>
                <w:sz w:val="19"/>
              </w:rPr>
              <w:t>MFBM (capital outlay budgeting), BPDA (infrastructure planning)</w:t>
            </w:r>
          </w:p>
        </w:tc>
      </w:tr>
    </w:tbl>
    <w:p/>
    <w:p>
      <w:pPr>
        <w:pStyle w:val="Heading3"/>
      </w:pPr>
      <w:r>
        <w:rPr>
          <w:rFonts w:ascii="Inter" w:hAnsi="Inter" w:cs="Inter"/>
          <w:b/>
          <w:i w:val="0"/>
          <w:color w:val="2C5F7C"/>
          <w:sz w:val="26"/>
        </w:rPr>
        <w:t>Cross-Cutting Themes</w:t>
      </w:r>
    </w:p>
    <w:p>
      <w:pPr>
        <w:spacing w:after="120" w:line="276" w:lineRule="auto"/>
      </w:pPr>
      <w:r>
        <w:rPr>
          <w:rFonts w:ascii="Inter" w:hAnsi="Inter" w:cs="Inter"/>
          <w:b w:val="0"/>
          <w:i w:val="0"/>
          <w:color w:val="2D2D2D"/>
          <w:sz w:val="22"/>
        </w:rPr>
        <w:t>The BDP identifies the following cross-cutting themes that apply across all sectors and all six development goals:[^57]</w:t>
      </w:r>
    </w:p>
    <w:p>
      <w:pPr>
        <w:pStyle w:val="ListNumber"/>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 the 12 Pillars of Moral Governance (integrity, accountability, transparency and honesty, patriotism, striving for excellence, cultural understanding and tolerance, unwavering loyalty to God, justice, inclusivity, objectivity, dialogue and meaningful engagement, balance between practical life and the moral side)</w:t>
      </w:r>
    </w:p>
    <w:p>
      <w:pPr>
        <w:pStyle w:val="ListNumber"/>
      </w:pPr>
      <w:r>
        <w:rPr>
          <w:rFonts w:ascii="Inter" w:hAnsi="Inter" w:cs="Inter"/>
          <w:b w:val="0"/>
          <w:i w:val="0"/>
          <w:color w:val="2D2D2D"/>
          <w:sz w:val="22"/>
        </w:rPr>
      </w:r>
      <w:r>
        <w:rPr>
          <w:rFonts w:ascii="Inter" w:hAnsi="Inter" w:cs="Inter"/>
          <w:b/>
          <w:i w:val="0"/>
          <w:color w:val="2D2D2D"/>
          <w:sz w:val="22"/>
        </w:rPr>
        <w:t>Peace and Security</w:t>
      </w:r>
      <w:r>
        <w:rPr>
          <w:rFonts w:ascii="Inter" w:hAnsi="Inter" w:cs="Inter"/>
          <w:b w:val="0"/>
          <w:i w:val="0"/>
          <w:color w:val="2D2D2D"/>
          <w:sz w:val="22"/>
        </w:rPr>
        <w:t xml:space="preserve"> --- peace-building, normalization, and conflict sensitivity in all programs</w:t>
      </w:r>
    </w:p>
    <w:p>
      <w:pPr>
        <w:pStyle w:val="ListNumber"/>
      </w:pPr>
      <w:r>
        <w:rPr>
          <w:rFonts w:ascii="Inter" w:hAnsi="Inter" w:cs="Inter"/>
          <w:b w:val="0"/>
          <w:i w:val="0"/>
          <w:color w:val="2D2D2D"/>
          <w:sz w:val="22"/>
        </w:rPr>
      </w:r>
      <w:r>
        <w:rPr>
          <w:rFonts w:ascii="Inter" w:hAnsi="Inter" w:cs="Inter"/>
          <w:b/>
          <w:i w:val="0"/>
          <w:color w:val="2D2D2D"/>
          <w:sz w:val="22"/>
        </w:rPr>
        <w:t>Gender and Inclusivity</w:t>
      </w:r>
      <w:r>
        <w:rPr>
          <w:rFonts w:ascii="Inter" w:hAnsi="Inter" w:cs="Inter"/>
          <w:b w:val="0"/>
          <w:i w:val="0"/>
          <w:color w:val="2D2D2D"/>
          <w:sz w:val="22"/>
        </w:rPr>
        <w:t xml:space="preserve"> --- gender mainstreaming, women's empowerment, inclusion of IP communities, persons with disabilities, and youth</w:t>
      </w:r>
    </w:p>
    <w:p>
      <w:pPr>
        <w:pStyle w:val="ListNumber"/>
      </w:pPr>
      <w:r>
        <w:rPr>
          <w:rFonts w:ascii="Inter" w:hAnsi="Inter" w:cs="Inter"/>
          <w:b w:val="0"/>
          <w:i w:val="0"/>
          <w:color w:val="2D2D2D"/>
          <w:sz w:val="22"/>
        </w:rPr>
      </w:r>
      <w:r>
        <w:rPr>
          <w:rFonts w:ascii="Inter" w:hAnsi="Inter" w:cs="Inter"/>
          <w:b/>
          <w:i w:val="0"/>
          <w:color w:val="2D2D2D"/>
          <w:sz w:val="22"/>
        </w:rPr>
        <w:t>Environmental Sustainability</w:t>
      </w:r>
      <w:r>
        <w:rPr>
          <w:rFonts w:ascii="Inter" w:hAnsi="Inter" w:cs="Inter"/>
          <w:b w:val="0"/>
          <w:i w:val="0"/>
          <w:color w:val="2D2D2D"/>
          <w:sz w:val="22"/>
        </w:rPr>
        <w:t xml:space="preserve"> --- ecological integrity and climate resilience considerations in all sectors</w:t>
      </w:r>
    </w:p>
    <w:p>
      <w:pPr>
        <w:pStyle w:val="ListNumber"/>
      </w:pPr>
      <w:r>
        <w:rPr>
          <w:rFonts w:ascii="Inter" w:hAnsi="Inter" w:cs="Inter"/>
          <w:b w:val="0"/>
          <w:i w:val="0"/>
          <w:color w:val="2D2D2D"/>
          <w:sz w:val="22"/>
        </w:rPr>
      </w:r>
      <w:r>
        <w:rPr>
          <w:rFonts w:ascii="Inter" w:hAnsi="Inter" w:cs="Inter"/>
          <w:b/>
          <w:i w:val="0"/>
          <w:color w:val="2D2D2D"/>
          <w:sz w:val="22"/>
        </w:rPr>
        <w:t>Technology and Innovation</w:t>
      </w:r>
      <w:r>
        <w:rPr>
          <w:rFonts w:ascii="Inter" w:hAnsi="Inter" w:cs="Inter"/>
          <w:b w:val="0"/>
          <w:i w:val="0"/>
          <w:color w:val="2D2D2D"/>
          <w:sz w:val="22"/>
        </w:rPr>
        <w:t xml:space="preserve"> --- use of technology to improve government services and expand socioeconomic opportunities</w:t>
      </w:r>
    </w:p>
    <w:p>
      <w:pPr>
        <w:pStyle w:val="Heading3"/>
      </w:pPr>
      <w:r>
        <w:rPr>
          <w:rFonts w:ascii="Inter" w:hAnsi="Inter" w:cs="Inter"/>
          <w:b/>
          <w:i w:val="0"/>
          <w:color w:val="2C5F7C"/>
          <w:sz w:val="26"/>
        </w:rPr>
        <w:t>Macroeconomic Targets (2023-2028)</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Target</w:t>
            </w:r>
          </w:p>
        </w:tc>
        <w:tc>
          <w:tcPr>
            <w:tcW w:type="dxa" w:w="3120"/>
            <w:shd w:fill="1B365D"/>
          </w:tcPr>
          <w:p>
            <w:r/>
            <w:r>
              <w:rPr>
                <w:rFonts w:ascii="Inter" w:hAnsi="Inter" w:cs="Inter"/>
                <w:b/>
                <w:i w:val="0"/>
                <w:color w:val="FFFFFF"/>
                <w:sz w:val="19"/>
              </w:rPr>
              <w:t>Baseline</w:t>
            </w:r>
          </w:p>
        </w:tc>
        <w:tc>
          <w:tcPr>
            <w:tcW w:type="dxa" w:w="3120"/>
            <w:shd w:fill="1B365D"/>
          </w:tcPr>
          <w:p>
            <w:r/>
            <w:r>
              <w:rPr>
                <w:rFonts w:ascii="Inter" w:hAnsi="Inter" w:cs="Inter"/>
                <w:b/>
                <w:i w:val="0"/>
                <w:color w:val="FFFFFF"/>
                <w:sz w:val="19"/>
              </w:rPr>
              <w:t>End-of-Plan Target</w:t>
            </w:r>
          </w:p>
        </w:tc>
      </w:tr>
      <w:tr>
        <w:tc>
          <w:tcPr>
            <w:tcW w:type="dxa" w:w="3120"/>
          </w:tcPr>
          <w:p>
            <w:r/>
            <w:r>
              <w:rPr>
                <w:rFonts w:ascii="Inter" w:hAnsi="Inter" w:cs="Inter"/>
                <w:b w:val="0"/>
                <w:i w:val="0"/>
                <w:color w:val="2D2D2D"/>
                <w:sz w:val="19"/>
              </w:rPr>
              <w:t>GRDP Annual Average Growth Rate</w:t>
            </w:r>
          </w:p>
        </w:tc>
        <w:tc>
          <w:tcPr>
            <w:tcW w:type="dxa" w:w="3120"/>
          </w:tcPr>
          <w:p>
            <w:r/>
            <w:r>
              <w:rPr>
                <w:rFonts w:ascii="Inter" w:hAnsi="Inter" w:cs="Inter"/>
                <w:b w:val="0"/>
                <w:i w:val="0"/>
                <w:color w:val="2D2D2D"/>
                <w:sz w:val="19"/>
              </w:rPr>
              <w:t>7.5% (2020-2021)</w:t>
            </w:r>
          </w:p>
        </w:tc>
        <w:tc>
          <w:tcPr>
            <w:tcW w:type="dxa" w:w="3120"/>
          </w:tcPr>
          <w:p>
            <w:r/>
            <w:r>
              <w:rPr>
                <w:rFonts w:ascii="Inter" w:hAnsi="Inter" w:cs="Inter"/>
                <w:b w:val="0"/>
                <w:i w:val="0"/>
                <w:color w:val="2D2D2D"/>
                <w:sz w:val="19"/>
              </w:rPr>
              <w:t>8%-9%</w:t>
            </w:r>
          </w:p>
        </w:tc>
      </w:tr>
      <w:tr>
        <w:tc>
          <w:tcPr>
            <w:tcW w:type="dxa" w:w="3120"/>
            <w:shd w:fill="F0F3F6"/>
          </w:tcPr>
          <w:p>
            <w:r/>
            <w:r>
              <w:rPr>
                <w:rFonts w:ascii="Inter" w:hAnsi="Inter" w:cs="Inter"/>
                <w:b w:val="0"/>
                <w:i w:val="0"/>
                <w:color w:val="2D2D2D"/>
                <w:sz w:val="19"/>
              </w:rPr>
              <w:t>GRDP Per Capita Annual Average Growth</w:t>
            </w:r>
          </w:p>
        </w:tc>
        <w:tc>
          <w:tcPr>
            <w:tcW w:type="dxa" w:w="3120"/>
            <w:shd w:fill="F0F3F6"/>
          </w:tcPr>
          <w:p>
            <w:r/>
            <w:r>
              <w:rPr>
                <w:rFonts w:ascii="Inter" w:hAnsi="Inter" w:cs="Inter"/>
                <w:b w:val="0"/>
                <w:i w:val="0"/>
                <w:color w:val="2D2D2D"/>
                <w:sz w:val="19"/>
              </w:rPr>
              <w:t>6.4% (2020-2021)</w:t>
            </w:r>
          </w:p>
        </w:tc>
        <w:tc>
          <w:tcPr>
            <w:tcW w:type="dxa" w:w="3120"/>
            <w:shd w:fill="F0F3F6"/>
          </w:tcPr>
          <w:p>
            <w:r/>
            <w:r>
              <w:rPr>
                <w:rFonts w:ascii="Inter" w:hAnsi="Inter" w:cs="Inter"/>
                <w:b w:val="0"/>
                <w:i w:val="0"/>
                <w:color w:val="2D2D2D"/>
                <w:sz w:val="19"/>
              </w:rPr>
              <w:t>6%-9%</w:t>
            </w:r>
          </w:p>
        </w:tc>
      </w:tr>
      <w:tr>
        <w:tc>
          <w:tcPr>
            <w:tcW w:type="dxa" w:w="3120"/>
          </w:tcPr>
          <w:p>
            <w:r/>
            <w:r>
              <w:rPr>
                <w:rFonts w:ascii="Inter" w:hAnsi="Inter" w:cs="Inter"/>
                <w:b w:val="0"/>
                <w:i w:val="0"/>
                <w:color w:val="2D2D2D"/>
                <w:sz w:val="19"/>
              </w:rPr>
              <w:t>Industry and Services Sector Growth</w:t>
            </w:r>
          </w:p>
        </w:tc>
        <w:tc>
          <w:tcPr>
            <w:tcW w:type="dxa" w:w="3120"/>
          </w:tcPr>
          <w:p>
            <w:r/>
            <w:r>
              <w:rPr>
                <w:rFonts w:ascii="Inter" w:hAnsi="Inter" w:cs="Inter"/>
                <w:b w:val="0"/>
                <w:i w:val="0"/>
                <w:color w:val="2D2D2D"/>
                <w:sz w:val="19"/>
              </w:rPr>
              <w:t>Industry 7.9%, Services 6.6%</w:t>
            </w:r>
          </w:p>
        </w:tc>
        <w:tc>
          <w:tcPr>
            <w:tcW w:type="dxa" w:w="3120"/>
          </w:tcPr>
          <w:p>
            <w:r/>
            <w:r>
              <w:rPr>
                <w:rFonts w:ascii="Inter" w:hAnsi="Inter" w:cs="Inter"/>
                <w:b w:val="0"/>
                <w:i w:val="0"/>
                <w:color w:val="2D2D2D"/>
                <w:sz w:val="19"/>
              </w:rPr>
              <w:t>10%-12%</w:t>
            </w:r>
          </w:p>
        </w:tc>
      </w:tr>
      <w:tr>
        <w:tc>
          <w:tcPr>
            <w:tcW w:type="dxa" w:w="3120"/>
            <w:shd w:fill="F0F3F6"/>
          </w:tcPr>
          <w:p>
            <w:r/>
            <w:r>
              <w:rPr>
                <w:rFonts w:ascii="Inter" w:hAnsi="Inter" w:cs="Inter"/>
                <w:b w:val="0"/>
                <w:i w:val="0"/>
                <w:color w:val="2D2D2D"/>
                <w:sz w:val="19"/>
              </w:rPr>
              <w:t>Gross Capital Formation as % of GRDP</w:t>
            </w:r>
          </w:p>
        </w:tc>
        <w:tc>
          <w:tcPr>
            <w:tcW w:type="dxa" w:w="3120"/>
            <w:shd w:fill="F0F3F6"/>
          </w:tcPr>
          <w:p>
            <w:r/>
            <w:r>
              <w:rPr>
                <w:rFonts w:ascii="Inter" w:hAnsi="Inter" w:cs="Inter"/>
                <w:b w:val="0"/>
                <w:i w:val="0"/>
                <w:color w:val="2D2D2D"/>
                <w:sz w:val="19"/>
              </w:rPr>
              <w:t>16.91% (2021)</w:t>
            </w:r>
          </w:p>
        </w:tc>
        <w:tc>
          <w:tcPr>
            <w:tcW w:type="dxa" w:w="3120"/>
            <w:shd w:fill="F0F3F6"/>
          </w:tcPr>
          <w:p>
            <w:r/>
            <w:r>
              <w:rPr>
                <w:rFonts w:ascii="Inter" w:hAnsi="Inter" w:cs="Inter"/>
                <w:b w:val="0"/>
                <w:i w:val="0"/>
                <w:color w:val="2D2D2D"/>
                <w:sz w:val="19"/>
              </w:rPr>
              <w:t>18%-20%</w:t>
            </w:r>
          </w:p>
        </w:tc>
      </w:tr>
      <w:tr>
        <w:tc>
          <w:tcPr>
            <w:tcW w:type="dxa" w:w="3120"/>
          </w:tcPr>
          <w:p>
            <w:r/>
            <w:r>
              <w:rPr>
                <w:rFonts w:ascii="Inter" w:hAnsi="Inter" w:cs="Inter"/>
                <w:b w:val="0"/>
                <w:i w:val="0"/>
                <w:color w:val="2D2D2D"/>
                <w:sz w:val="19"/>
              </w:rPr>
              <w:t>Inflation Rate</w:t>
            </w:r>
          </w:p>
        </w:tc>
        <w:tc>
          <w:tcPr>
            <w:tcW w:type="dxa" w:w="3120"/>
          </w:tcPr>
          <w:p>
            <w:r/>
            <w:r>
              <w:rPr>
                <w:rFonts w:ascii="Inter" w:hAnsi="Inter" w:cs="Inter"/>
                <w:b w:val="0"/>
                <w:i w:val="0"/>
                <w:color w:val="2D2D2D"/>
                <w:sz w:val="19"/>
              </w:rPr>
              <w:t>2.40% (2021)</w:t>
            </w:r>
          </w:p>
        </w:tc>
        <w:tc>
          <w:tcPr>
            <w:tcW w:type="dxa" w:w="3120"/>
          </w:tcPr>
          <w:p>
            <w:r/>
            <w:r>
              <w:rPr>
                <w:rFonts w:ascii="Inter" w:hAnsi="Inter" w:cs="Inter"/>
                <w:b w:val="0"/>
                <w:i w:val="0"/>
                <w:color w:val="2D2D2D"/>
                <w:sz w:val="19"/>
              </w:rPr>
              <w:t>2%-4%</w:t>
            </w:r>
          </w:p>
        </w:tc>
      </w:tr>
      <w:tr>
        <w:tc>
          <w:tcPr>
            <w:tcW w:type="dxa" w:w="3120"/>
            <w:shd w:fill="F0F3F6"/>
          </w:tcPr>
          <w:p>
            <w:r/>
            <w:r>
              <w:rPr>
                <w:rFonts w:ascii="Inter" w:hAnsi="Inter" w:cs="Inter"/>
                <w:b w:val="0"/>
                <w:i w:val="0"/>
                <w:color w:val="2D2D2D"/>
                <w:sz w:val="19"/>
              </w:rPr>
              <w:t>Unemployment Rate</w:t>
            </w:r>
          </w:p>
        </w:tc>
        <w:tc>
          <w:tcPr>
            <w:tcW w:type="dxa" w:w="3120"/>
            <w:shd w:fill="F0F3F6"/>
          </w:tcPr>
          <w:p>
            <w:r/>
            <w:r>
              <w:rPr>
                <w:rFonts w:ascii="Inter" w:hAnsi="Inter" w:cs="Inter"/>
                <w:b w:val="0"/>
                <w:i w:val="0"/>
                <w:color w:val="2D2D2D"/>
                <w:sz w:val="19"/>
              </w:rPr>
              <w:t>3.80% (2021)</w:t>
            </w:r>
          </w:p>
        </w:tc>
        <w:tc>
          <w:tcPr>
            <w:tcW w:type="dxa" w:w="3120"/>
            <w:shd w:fill="F0F3F6"/>
          </w:tcPr>
          <w:p>
            <w:r/>
            <w:r>
              <w:rPr>
                <w:rFonts w:ascii="Inter" w:hAnsi="Inter" w:cs="Inter"/>
                <w:b w:val="0"/>
                <w:i w:val="0"/>
                <w:color w:val="2D2D2D"/>
                <w:sz w:val="19"/>
              </w:rPr>
              <w:t>3%-5%</w:t>
            </w:r>
          </w:p>
        </w:tc>
      </w:tr>
      <w:tr>
        <w:tc>
          <w:tcPr>
            <w:tcW w:type="dxa" w:w="3120"/>
          </w:tcPr>
          <w:p>
            <w:r/>
            <w:r>
              <w:rPr>
                <w:rFonts w:ascii="Inter" w:hAnsi="Inter" w:cs="Inter"/>
                <w:b w:val="0"/>
                <w:i w:val="0"/>
                <w:color w:val="2D2D2D"/>
                <w:sz w:val="19"/>
              </w:rPr>
              <w:t>Underemployment Rate</w:t>
            </w:r>
          </w:p>
        </w:tc>
        <w:tc>
          <w:tcPr>
            <w:tcW w:type="dxa" w:w="3120"/>
          </w:tcPr>
          <w:p>
            <w:r/>
            <w:r>
              <w:rPr>
                <w:rFonts w:ascii="Inter" w:hAnsi="Inter" w:cs="Inter"/>
                <w:b w:val="0"/>
                <w:i w:val="0"/>
                <w:color w:val="2D2D2D"/>
                <w:sz w:val="19"/>
              </w:rPr>
              <w:t>9.0% (2020)</w:t>
            </w:r>
          </w:p>
        </w:tc>
        <w:tc>
          <w:tcPr>
            <w:tcW w:type="dxa" w:w="3120"/>
          </w:tcPr>
          <w:p>
            <w:r/>
            <w:r>
              <w:rPr>
                <w:rFonts w:ascii="Inter" w:hAnsi="Inter" w:cs="Inter"/>
                <w:b w:val="0"/>
                <w:i w:val="0"/>
                <w:color w:val="2D2D2D"/>
                <w:sz w:val="19"/>
              </w:rPr>
              <w:t>4%-7%</w:t>
            </w:r>
          </w:p>
        </w:tc>
      </w:tr>
      <w:tr>
        <w:tc>
          <w:tcPr>
            <w:tcW w:type="dxa" w:w="3120"/>
            <w:shd w:fill="F0F3F6"/>
          </w:tcPr>
          <w:p>
            <w:r/>
            <w:r>
              <w:rPr>
                <w:rFonts w:ascii="Inter" w:hAnsi="Inter" w:cs="Inter"/>
                <w:b w:val="0"/>
                <w:i w:val="0"/>
                <w:color w:val="2D2D2D"/>
                <w:sz w:val="19"/>
              </w:rPr>
              <w:t>Poverty Incidence</w:t>
            </w:r>
          </w:p>
        </w:tc>
        <w:tc>
          <w:tcPr>
            <w:tcW w:type="dxa" w:w="3120"/>
            <w:shd w:fill="F0F3F6"/>
          </w:tcPr>
          <w:p>
            <w:r/>
            <w:r>
              <w:rPr>
                <w:rFonts w:ascii="Inter" w:hAnsi="Inter" w:cs="Inter"/>
                <w:b w:val="0"/>
                <w:i w:val="0"/>
                <w:color w:val="2D2D2D"/>
                <w:sz w:val="19"/>
              </w:rPr>
              <w:t>29.80% (2021)</w:t>
            </w:r>
          </w:p>
        </w:tc>
        <w:tc>
          <w:tcPr>
            <w:tcW w:type="dxa" w:w="3120"/>
            <w:shd w:fill="F0F3F6"/>
          </w:tcPr>
          <w:p>
            <w:r/>
            <w:r>
              <w:rPr>
                <w:rFonts w:ascii="Inter" w:hAnsi="Inter" w:cs="Inter"/>
                <w:b w:val="0"/>
                <w:i w:val="0"/>
                <w:color w:val="2D2D2D"/>
                <w:sz w:val="19"/>
              </w:rPr>
              <w:t>20%-25%</w:t>
            </w:r>
          </w:p>
        </w:tc>
      </w:tr>
    </w:tbl>
    <w:p/>
    <w:p>
      <w:pPr>
        <w:spacing w:after="120" w:line="276" w:lineRule="auto"/>
      </w:pPr>
      <w:r>
        <w:rPr>
          <w:rFonts w:ascii="Inter" w:hAnsi="Inter" w:cs="Inter"/>
          <w:b w:val="0"/>
          <w:i w:val="0"/>
          <w:color w:val="2D2D2D"/>
          <w:sz w:val="22"/>
        </w:rPr>
        <w:t>*Source: 2nd Bangsamoro Development Plan 2023-2028, Chapter 4, Table 4.1.*[^58]</w:t>
      </w:r>
    </w:p>
    <w:p>
      <w:pPr>
        <w:pStyle w:val="Heading3"/>
      </w:pPr>
      <w:r>
        <w:rPr>
          <w:rFonts w:ascii="Inter" w:hAnsi="Inter" w:cs="Inter"/>
          <w:b/>
          <w:i w:val="0"/>
          <w:color w:val="2C5F7C"/>
          <w:sz w:val="26"/>
        </w:rPr>
        <w:t>Alignment to Higher-Level Frameworks</w:t>
      </w:r>
    </w:p>
    <w:p>
      <w:pPr>
        <w:spacing w:after="120" w:line="276" w:lineRule="auto"/>
      </w:pPr>
      <w:r>
        <w:rPr>
          <w:rFonts w:ascii="Inter" w:hAnsi="Inter" w:cs="Inter"/>
          <w:b w:val="0"/>
          <w:i w:val="0"/>
          <w:color w:val="2D2D2D"/>
          <w:sz w:val="22"/>
        </w:rPr>
        <w:t>The BDP 2023-2028 is vertically aligned to:</w:t>
      </w:r>
    </w:p>
    <w:p>
      <w:pPr>
        <w:pStyle w:val="ListBullet"/>
      </w:pPr>
      <w:r>
        <w:rPr>
          <w:rFonts w:ascii="Inter" w:hAnsi="Inter" w:cs="Inter"/>
          <w:b w:val="0"/>
          <w:i w:val="0"/>
          <w:color w:val="2D2D2D"/>
          <w:sz w:val="22"/>
        </w:rPr>
        <w:t>Mindanao Development Agenda</w:t>
      </w:r>
    </w:p>
    <w:p>
      <w:pPr>
        <w:pStyle w:val="ListBullet"/>
      </w:pPr>
      <w:r>
        <w:rPr>
          <w:rFonts w:ascii="Inter" w:hAnsi="Inter" w:cs="Inter"/>
          <w:b w:val="0"/>
          <w:i w:val="0"/>
          <w:color w:val="2D2D2D"/>
          <w:sz w:val="22"/>
        </w:rPr>
        <w:t>8-Point Socioeconomic Agenda of the Marcos Administration</w:t>
      </w:r>
    </w:p>
    <w:p>
      <w:pPr>
        <w:pStyle w:val="ListBullet"/>
      </w:pPr>
      <w:r>
        <w:rPr>
          <w:rFonts w:ascii="Inter" w:hAnsi="Inter" w:cs="Inter"/>
          <w:b w:val="0"/>
          <w:i w:val="0"/>
          <w:color w:val="2D2D2D"/>
          <w:sz w:val="22"/>
        </w:rPr>
        <w:t>Philippine Development Plan (PDP) 2023-2028</w:t>
      </w:r>
    </w:p>
    <w:p>
      <w:pPr>
        <w:pStyle w:val="ListBullet"/>
      </w:pPr>
      <w:r>
        <w:rPr>
          <w:rFonts w:ascii="Inter" w:hAnsi="Inter" w:cs="Inter"/>
          <w:b w:val="0"/>
          <w:i w:val="0"/>
          <w:color w:val="2D2D2D"/>
          <w:sz w:val="22"/>
        </w:rPr>
        <w:t>Ambisyon Natin 2040</w:t>
      </w:r>
    </w:p>
    <w:p>
      <w:pPr>
        <w:pStyle w:val="ListBullet"/>
      </w:pPr>
      <w:r>
        <w:rPr>
          <w:rFonts w:ascii="Inter" w:hAnsi="Inter" w:cs="Inter"/>
          <w:b w:val="0"/>
          <w:i w:val="0"/>
          <w:color w:val="2D2D2D"/>
          <w:sz w:val="22"/>
        </w:rPr>
        <w:t>United Nations Sustainable Development Goals (SDGs)</w:t>
      </w:r>
    </w:p>
    <w:p>
      <w:pPr>
        <w:spacing w:after="120" w:line="276" w:lineRule="auto"/>
      </w:pPr>
      <w:r>
        <w:rPr>
          <w:rFonts w:ascii="Inter" w:hAnsi="Inter" w:cs="Inter"/>
          <w:b w:val="0"/>
          <w:i w:val="0"/>
          <w:color w:val="2D2D2D"/>
          <w:sz w:val="22"/>
        </w:rPr>
        <w:t>When writing contribution statements in your BDP Alignment Map (Chapter 3), note these higher-level linkages to demonstrate that your MOA's plan connects not only to BDP goals but to national and international development commitments.</w:t>
      </w:r>
    </w:p>
    <w:p>
      <w:pPr>
        <w:pStyle w:val="Heading2"/>
      </w:pPr>
      <w:r>
        <w:rPr>
          <w:rFonts w:ascii="Inter" w:hAnsi="Inter" w:cs="Inter"/>
          <w:b/>
          <w:i w:val="0"/>
          <w:color w:val="1B365D"/>
          <w:sz w:val="32"/>
        </w:rPr>
        <w:t>Appendix C: 12-Point Enhanced Priority Agenda</w:t>
      </w:r>
    </w:p>
    <w:p>
      <w:pPr>
        <w:spacing w:after="120" w:line="276" w:lineRule="auto"/>
      </w:pPr>
      <w:r>
        <w:rPr>
          <w:rFonts w:ascii="Inter" w:hAnsi="Inter" w:cs="Inter"/>
          <w:b w:val="0"/>
          <w:i w:val="0"/>
          <w:color w:val="2D2D2D"/>
          <w:sz w:val="22"/>
        </w:rPr>
        <w:t>The 12-Point Enhanced Priority Agenda represents the Chief Minister's strategic vision for the Bangsamoro Government. MOA strategic plans must demonstrate alignment with applicable priority areas (Chapter 4). The Chief Minister's authority to formulate this platform of government derives from Article VII, Section 32(d) of the BOL, which provides that the Chief Minister shall "formulate a platform of government subject to the approval of the Parliament."[^59]</w:t>
      </w:r>
    </w:p>
    <w:p>
      <w:pPr>
        <w:pStyle w:val="Heading3"/>
      </w:pPr>
      <w:r>
        <w:rPr>
          <w:rFonts w:ascii="Inter" w:hAnsi="Inter" w:cs="Inter"/>
          <w:b/>
          <w:i w:val="0"/>
          <w:color w:val="2C5F7C"/>
          <w:sz w:val="26"/>
        </w:rPr>
        <w:t>Full Reference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w:t>
            </w:r>
          </w:p>
        </w:tc>
        <w:tc>
          <w:tcPr>
            <w:tcW w:type="dxa" w:w="1872"/>
            <w:shd w:fill="1B365D"/>
          </w:tcPr>
          <w:p>
            <w:r/>
            <w:r>
              <w:rPr>
                <w:rFonts w:ascii="Inter" w:hAnsi="Inter" w:cs="Inter"/>
                <w:b/>
                <w:i w:val="0"/>
                <w:color w:val="FFFFFF"/>
                <w:sz w:val="19"/>
              </w:rPr>
              <w:t>Priority</w:t>
            </w:r>
          </w:p>
        </w:tc>
        <w:tc>
          <w:tcPr>
            <w:tcW w:type="dxa" w:w="1872"/>
            <w:shd w:fill="1B365D"/>
          </w:tcPr>
          <w:p>
            <w:r/>
            <w:r>
              <w:rPr>
                <w:rFonts w:ascii="Inter" w:hAnsi="Inter" w:cs="Inter"/>
                <w:b/>
                <w:i w:val="0"/>
                <w:color w:val="FFFFFF"/>
                <w:sz w:val="19"/>
              </w:rPr>
              <w:t>Description</w:t>
            </w:r>
          </w:p>
        </w:tc>
        <w:tc>
          <w:tcPr>
            <w:tcW w:type="dxa" w:w="1872"/>
            <w:shd w:fill="1B365D"/>
          </w:tcPr>
          <w:p>
            <w:r/>
            <w:r>
              <w:rPr>
                <w:rFonts w:ascii="Inter" w:hAnsi="Inter" w:cs="Inter"/>
                <w:b/>
                <w:i w:val="0"/>
                <w:color w:val="FFFFFF"/>
                <w:sz w:val="19"/>
              </w:rPr>
              <w:t>Primary Responsible MOA(s)</w:t>
            </w:r>
          </w:p>
        </w:tc>
        <w:tc>
          <w:tcPr>
            <w:tcW w:type="dxa" w:w="1872"/>
            <w:shd w:fill="1B365D"/>
          </w:tcPr>
          <w:p>
            <w:r/>
            <w:r>
              <w:rPr>
                <w:rFonts w:ascii="Inter" w:hAnsi="Inter" w:cs="Inter"/>
                <w:b/>
                <w:i w:val="0"/>
                <w:color w:val="FFFFFF"/>
                <w:sz w:val="19"/>
              </w:rPr>
              <w:t>BDP Goal Alignment</w:t>
            </w:r>
          </w:p>
        </w:tc>
      </w:tr>
      <w:tr>
        <w:tc>
          <w:tcPr>
            <w:tcW w:type="dxa" w:w="1872"/>
          </w:tcPr>
          <w:p>
            <w:r/>
            <w:r>
              <w:rPr>
                <w:rFonts w:ascii="Inter" w:hAnsi="Inter" w:cs="Inter"/>
                <w:b w:val="0"/>
                <w:i w:val="0"/>
                <w:color w:val="2D2D2D"/>
                <w:sz w:val="19"/>
              </w:rPr>
              <w:t>1</w:t>
            </w:r>
          </w:p>
        </w:tc>
        <w:tc>
          <w:tcPr>
            <w:tcW w:type="dxa" w:w="1872"/>
          </w:tcPr>
          <w:p>
            <w:r/>
            <w:r>
              <w:rPr>
                <w:rFonts w:ascii="Inter" w:hAnsi="Inter" w:cs="Inter"/>
                <w:b w:val="0"/>
                <w:i w:val="0"/>
                <w:color w:val="2D2D2D"/>
                <w:sz w:val="19"/>
              </w:rPr>
              <w:t>**Moral Governance**</w:t>
            </w:r>
          </w:p>
        </w:tc>
        <w:tc>
          <w:tcPr>
            <w:tcW w:type="dxa" w:w="1872"/>
          </w:tcPr>
          <w:p>
            <w:r/>
            <w:r>
              <w:rPr>
                <w:rFonts w:ascii="Inter" w:hAnsi="Inter" w:cs="Inter"/>
                <w:b w:val="0"/>
                <w:i w:val="0"/>
                <w:color w:val="2D2D2D"/>
                <w:sz w:val="19"/>
              </w:rPr>
              <w:t>Ethics, anti-corruption, transparency. Implementing the 12 Pillars of Moral Governance across all institutions. Ensuring accountability in public resource use and public service delivery.</w:t>
            </w:r>
          </w:p>
        </w:tc>
        <w:tc>
          <w:tcPr>
            <w:tcW w:type="dxa" w:w="1872"/>
          </w:tcPr>
          <w:p>
            <w:r/>
            <w:r>
              <w:rPr>
                <w:rFonts w:ascii="Inter" w:hAnsi="Inter" w:cs="Inter"/>
                <w:b w:val="0"/>
                <w:i w:val="0"/>
                <w:color w:val="2D2D2D"/>
                <w:sz w:val="19"/>
              </w:rPr>
              <w:t>MILG, MFBM, all MOAs</w:t>
            </w:r>
          </w:p>
        </w:tc>
        <w:tc>
          <w:tcPr>
            <w:tcW w:type="dxa" w:w="1872"/>
          </w:tcPr>
          <w:p>
            <w:r/>
            <w:r>
              <w:rPr>
                <w:rFonts w:ascii="Inter" w:hAnsi="Inter" w:cs="Inter"/>
                <w:b w:val="0"/>
                <w:i w:val="0"/>
                <w:color w:val="2D2D2D"/>
                <w:sz w:val="19"/>
              </w:rPr>
              <w:t>Goal 1: Stable, Just, and Accountable Government</w:t>
            </w:r>
          </w:p>
        </w:tc>
      </w:tr>
      <w:tr>
        <w:tc>
          <w:tcPr>
            <w:tcW w:type="dxa" w:w="1872"/>
            <w:shd w:fill="F0F3F6"/>
          </w:tcPr>
          <w:p>
            <w:r/>
            <w:r>
              <w:rPr>
                <w:rFonts w:ascii="Inter" w:hAnsi="Inter" w:cs="Inter"/>
                <w:b w:val="0"/>
                <w:i w:val="0"/>
                <w:color w:val="2D2D2D"/>
                <w:sz w:val="19"/>
              </w:rPr>
              <w:t>2</w:t>
            </w:r>
          </w:p>
        </w:tc>
        <w:tc>
          <w:tcPr>
            <w:tcW w:type="dxa" w:w="1872"/>
            <w:shd w:fill="F0F3F6"/>
          </w:tcPr>
          <w:p>
            <w:r/>
            <w:r>
              <w:rPr>
                <w:rFonts w:ascii="Inter" w:hAnsi="Inter" w:cs="Inter"/>
                <w:b w:val="0"/>
                <w:i w:val="0"/>
                <w:color w:val="2D2D2D"/>
                <w:sz w:val="19"/>
              </w:rPr>
              <w:t>**Sustaining Peace**</w:t>
            </w:r>
          </w:p>
        </w:tc>
        <w:tc>
          <w:tcPr>
            <w:tcW w:type="dxa" w:w="1872"/>
            <w:shd w:fill="F0F3F6"/>
          </w:tcPr>
          <w:p>
            <w:r/>
            <w:r>
              <w:rPr>
                <w:rFonts w:ascii="Inter" w:hAnsi="Inter" w:cs="Inter"/>
                <w:b w:val="0"/>
                <w:i w:val="0"/>
                <w:color w:val="2D2D2D"/>
                <w:sz w:val="19"/>
              </w:rPr>
              <w:t>Normalization, conflict resolution, transitional justice. Implementing the peace agreements. Demobilization and reintegration. Support for conflict-affected communities.</w:t>
            </w:r>
          </w:p>
        </w:tc>
        <w:tc>
          <w:tcPr>
            <w:tcW w:type="dxa" w:w="1872"/>
            <w:shd w:fill="F0F3F6"/>
          </w:tcPr>
          <w:p>
            <w:r/>
            <w:r>
              <w:rPr>
                <w:rFonts w:ascii="Inter" w:hAnsi="Inter" w:cs="Inter"/>
                <w:b w:val="0"/>
                <w:i w:val="0"/>
                <w:color w:val="2D2D2D"/>
                <w:sz w:val="19"/>
              </w:rPr>
              <w:t>MILG, BDA</w:t>
            </w:r>
          </w:p>
        </w:tc>
        <w:tc>
          <w:tcPr>
            <w:tcW w:type="dxa" w:w="1872"/>
            <w:shd w:fill="F0F3F6"/>
          </w:tcPr>
          <w:p>
            <w:r/>
            <w:r>
              <w:rPr>
                <w:rFonts w:ascii="Inter" w:hAnsi="Inter" w:cs="Inter"/>
                <w:b w:val="0"/>
                <w:i w:val="0"/>
                <w:color w:val="2D2D2D"/>
                <w:sz w:val="19"/>
              </w:rPr>
              <w:t>Goal 3: Peaceful, Safe, and Resilient Communities</w:t>
            </w:r>
          </w:p>
        </w:tc>
      </w:tr>
      <w:tr>
        <w:tc>
          <w:tcPr>
            <w:tcW w:type="dxa" w:w="1872"/>
          </w:tcPr>
          <w:p>
            <w:r/>
            <w:r>
              <w:rPr>
                <w:rFonts w:ascii="Inter" w:hAnsi="Inter" w:cs="Inter"/>
                <w:b w:val="0"/>
                <w:i w:val="0"/>
                <w:color w:val="2D2D2D"/>
                <w:sz w:val="19"/>
              </w:rPr>
              <w:t>3</w:t>
            </w:r>
          </w:p>
        </w:tc>
        <w:tc>
          <w:tcPr>
            <w:tcW w:type="dxa" w:w="1872"/>
          </w:tcPr>
          <w:p>
            <w:r/>
            <w:r>
              <w:rPr>
                <w:rFonts w:ascii="Inter" w:hAnsi="Inter" w:cs="Inter"/>
                <w:b w:val="0"/>
                <w:i w:val="0"/>
                <w:color w:val="2D2D2D"/>
                <w:sz w:val="19"/>
              </w:rPr>
              <w:t>**Good Governance and Institutional Development**</w:t>
            </w:r>
          </w:p>
        </w:tc>
        <w:tc>
          <w:tcPr>
            <w:tcW w:type="dxa" w:w="1872"/>
          </w:tcPr>
          <w:p>
            <w:r/>
            <w:r>
              <w:rPr>
                <w:rFonts w:ascii="Inter" w:hAnsi="Inter" w:cs="Inter"/>
                <w:b w:val="0"/>
                <w:i w:val="0"/>
                <w:color w:val="2D2D2D"/>
                <w:sz w:val="19"/>
              </w:rPr>
              <w:t>Systems building, capacity development, organizational strengthening. Developing functional bureaucratic systems, improving public service delivery mechanisms, building civil service capacity across all MOAs.</w:t>
            </w:r>
          </w:p>
        </w:tc>
        <w:tc>
          <w:tcPr>
            <w:tcW w:type="dxa" w:w="1872"/>
          </w:tcPr>
          <w:p>
            <w:r/>
            <w:r>
              <w:rPr>
                <w:rFonts w:ascii="Inter" w:hAnsi="Inter" w:cs="Inter"/>
                <w:b w:val="0"/>
                <w:i w:val="0"/>
                <w:color w:val="2D2D2D"/>
                <w:sz w:val="19"/>
              </w:rPr>
              <w:t>All MOAs, CSC-BARMM</w:t>
            </w:r>
          </w:p>
        </w:tc>
        <w:tc>
          <w:tcPr>
            <w:tcW w:type="dxa" w:w="1872"/>
          </w:tcPr>
          <w:p>
            <w:r/>
            <w:r>
              <w:rPr>
                <w:rFonts w:ascii="Inter" w:hAnsi="Inter" w:cs="Inter"/>
                <w:b w:val="0"/>
                <w:i w:val="0"/>
                <w:color w:val="2D2D2D"/>
                <w:sz w:val="19"/>
              </w:rPr>
              <w:t>Goal 1: Stable, Just, and Accountable Government</w:t>
            </w:r>
          </w:p>
        </w:tc>
      </w:tr>
      <w:tr>
        <w:tc>
          <w:tcPr>
            <w:tcW w:type="dxa" w:w="1872"/>
            <w:shd w:fill="F0F3F6"/>
          </w:tcPr>
          <w:p>
            <w:r/>
            <w:r>
              <w:rPr>
                <w:rFonts w:ascii="Inter" w:hAnsi="Inter" w:cs="Inter"/>
                <w:b w:val="0"/>
                <w:i w:val="0"/>
                <w:color w:val="2D2D2D"/>
                <w:sz w:val="19"/>
              </w:rPr>
              <w:t>4</w:t>
            </w:r>
          </w:p>
        </w:tc>
        <w:tc>
          <w:tcPr>
            <w:tcW w:type="dxa" w:w="1872"/>
            <w:shd w:fill="F0F3F6"/>
          </w:tcPr>
          <w:p>
            <w:r/>
            <w:r>
              <w:rPr>
                <w:rFonts w:ascii="Inter" w:hAnsi="Inter" w:cs="Inter"/>
                <w:b w:val="0"/>
                <w:i w:val="0"/>
                <w:color w:val="2D2D2D"/>
                <w:sz w:val="19"/>
              </w:rPr>
              <w:t>**Economic Development and Job Creation**</w:t>
            </w:r>
          </w:p>
        </w:tc>
        <w:tc>
          <w:tcPr>
            <w:tcW w:type="dxa" w:w="1872"/>
            <w:shd w:fill="F0F3F6"/>
          </w:tcPr>
          <w:p>
            <w:r/>
            <w:r>
              <w:rPr>
                <w:rFonts w:ascii="Inter" w:hAnsi="Inter" w:cs="Inter"/>
                <w:b w:val="0"/>
                <w:i w:val="0"/>
                <w:color w:val="2D2D2D"/>
                <w:sz w:val="19"/>
              </w:rPr>
              <w:t>Investment promotion, employment generation, MSME development. Creating an enabling environment for business, developing economic zones, promoting trade and industry, supporting cooperatives and social enterprises.</w:t>
            </w:r>
          </w:p>
        </w:tc>
        <w:tc>
          <w:tcPr>
            <w:tcW w:type="dxa" w:w="1872"/>
            <w:shd w:fill="F0F3F6"/>
          </w:tcPr>
          <w:p>
            <w:r/>
            <w:r>
              <w:rPr>
                <w:rFonts w:ascii="Inter" w:hAnsi="Inter" w:cs="Inter"/>
                <w:b w:val="0"/>
                <w:i w:val="0"/>
                <w:color w:val="2D2D2D"/>
                <w:sz w:val="19"/>
              </w:rPr>
              <w:t>MTI, MAFAR, MLE</w:t>
            </w:r>
          </w:p>
        </w:tc>
        <w:tc>
          <w:tcPr>
            <w:tcW w:type="dxa" w:w="1872"/>
            <w:shd w:fill="F0F3F6"/>
          </w:tcPr>
          <w:p>
            <w:r/>
            <w:r>
              <w:rPr>
                <w:rFonts w:ascii="Inter" w:hAnsi="Inter" w:cs="Inter"/>
                <w:b w:val="0"/>
                <w:i w:val="0"/>
                <w:color w:val="2D2D2D"/>
                <w:sz w:val="19"/>
              </w:rPr>
              <w:t>Goal 2: Equitable, Competitive, and Robust Economy</w:t>
            </w:r>
          </w:p>
        </w:tc>
      </w:tr>
      <w:tr>
        <w:tc>
          <w:tcPr>
            <w:tcW w:type="dxa" w:w="1872"/>
          </w:tcPr>
          <w:p>
            <w:r/>
            <w:r>
              <w:rPr>
                <w:rFonts w:ascii="Inter" w:hAnsi="Inter" w:cs="Inter"/>
                <w:b w:val="0"/>
                <w:i w:val="0"/>
                <w:color w:val="2D2D2D"/>
                <w:sz w:val="19"/>
              </w:rPr>
              <w:t>5</w:t>
            </w:r>
          </w:p>
        </w:tc>
        <w:tc>
          <w:tcPr>
            <w:tcW w:type="dxa" w:w="1872"/>
          </w:tcPr>
          <w:p>
            <w:r/>
            <w:r>
              <w:rPr>
                <w:rFonts w:ascii="Inter" w:hAnsi="Inter" w:cs="Inter"/>
                <w:b w:val="0"/>
                <w:i w:val="0"/>
                <w:color w:val="2D2D2D"/>
                <w:sz w:val="19"/>
              </w:rPr>
              <w:t>**Social Services**</w:t>
            </w:r>
          </w:p>
        </w:tc>
        <w:tc>
          <w:tcPr>
            <w:tcW w:type="dxa" w:w="1872"/>
          </w:tcPr>
          <w:p>
            <w:r/>
            <w:r>
              <w:rPr>
                <w:rFonts w:ascii="Inter" w:hAnsi="Inter" w:cs="Inter"/>
                <w:b w:val="0"/>
                <w:i w:val="0"/>
                <w:color w:val="2D2D2D"/>
                <w:sz w:val="19"/>
              </w:rPr>
              <w:t>Health, education, social protection. Expanding access to quality healthcare, improving educational outcomes, strengthening social safety nets, and delivering social welfare programs.</w:t>
            </w:r>
          </w:p>
        </w:tc>
        <w:tc>
          <w:tcPr>
            <w:tcW w:type="dxa" w:w="1872"/>
          </w:tcPr>
          <w:p>
            <w:r/>
            <w:r>
              <w:rPr>
                <w:rFonts w:ascii="Inter" w:hAnsi="Inter" w:cs="Inter"/>
                <w:b w:val="0"/>
                <w:i w:val="0"/>
                <w:color w:val="2D2D2D"/>
                <w:sz w:val="19"/>
              </w:rPr>
              <w:t>MOH, MBHTE, MSSD</w:t>
            </w:r>
          </w:p>
        </w:tc>
        <w:tc>
          <w:tcPr>
            <w:tcW w:type="dxa" w:w="1872"/>
          </w:tcPr>
          <w:p>
            <w:r/>
            <w:r>
              <w:rPr>
                <w:rFonts w:ascii="Inter" w:hAnsi="Inter" w:cs="Inter"/>
                <w:b w:val="0"/>
                <w:i w:val="0"/>
                <w:color w:val="2D2D2D"/>
                <w:sz w:val="19"/>
              </w:rPr>
              <w:t>Goal 4: Inclusive, Responsive, and Quality Social Services</w:t>
            </w:r>
          </w:p>
        </w:tc>
      </w:tr>
      <w:tr>
        <w:tc>
          <w:tcPr>
            <w:tcW w:type="dxa" w:w="1872"/>
            <w:shd w:fill="F0F3F6"/>
          </w:tcPr>
          <w:p>
            <w:r/>
            <w:r>
              <w:rPr>
                <w:rFonts w:ascii="Inter" w:hAnsi="Inter" w:cs="Inter"/>
                <w:b w:val="0"/>
                <w:i w:val="0"/>
                <w:color w:val="2D2D2D"/>
                <w:sz w:val="19"/>
              </w:rPr>
              <w:t>6</w:t>
            </w:r>
          </w:p>
        </w:tc>
        <w:tc>
          <w:tcPr>
            <w:tcW w:type="dxa" w:w="1872"/>
            <w:shd w:fill="F0F3F6"/>
          </w:tcPr>
          <w:p>
            <w:r/>
            <w:r>
              <w:rPr>
                <w:rFonts w:ascii="Inter" w:hAnsi="Inter" w:cs="Inter"/>
                <w:b w:val="0"/>
                <w:i w:val="0"/>
                <w:color w:val="2D2D2D"/>
                <w:sz w:val="19"/>
              </w:rPr>
              <w:t>**Resource Mobilization**</w:t>
            </w:r>
          </w:p>
        </w:tc>
        <w:tc>
          <w:tcPr>
            <w:tcW w:type="dxa" w:w="1872"/>
            <w:shd w:fill="F0F3F6"/>
          </w:tcPr>
          <w:p>
            <w:r/>
            <w:r>
              <w:rPr>
                <w:rFonts w:ascii="Inter" w:hAnsi="Inter" w:cs="Inter"/>
                <w:b w:val="0"/>
                <w:i w:val="0"/>
                <w:color w:val="2D2D2D"/>
                <w:sz w:val="19"/>
              </w:rPr>
              <w:t>Revenue generation, fiscal sustainability. Expanding the tax base, improving tax administration, developing non-tax revenue sources, and ensuring long-term fiscal sustainability.</w:t>
            </w:r>
          </w:p>
        </w:tc>
        <w:tc>
          <w:tcPr>
            <w:tcW w:type="dxa" w:w="1872"/>
            <w:shd w:fill="F0F3F6"/>
          </w:tcPr>
          <w:p>
            <w:r/>
            <w:r>
              <w:rPr>
                <w:rFonts w:ascii="Inter" w:hAnsi="Inter" w:cs="Inter"/>
                <w:b w:val="0"/>
                <w:i w:val="0"/>
                <w:color w:val="2D2D2D"/>
                <w:sz w:val="19"/>
              </w:rPr>
              <w:t>MFBM, BTF</w:t>
            </w:r>
          </w:p>
        </w:tc>
        <w:tc>
          <w:tcPr>
            <w:tcW w:type="dxa" w:w="1872"/>
            <w:shd w:fill="F0F3F6"/>
          </w:tcPr>
          <w:p>
            <w:r/>
            <w:r>
              <w:rPr>
                <w:rFonts w:ascii="Inter" w:hAnsi="Inter" w:cs="Inter"/>
                <w:b w:val="0"/>
                <w:i w:val="0"/>
                <w:color w:val="2D2D2D"/>
                <w:sz w:val="19"/>
              </w:rPr>
              <w:t>Goal 1: Stable, Just, and Accountable Government; Goal 2: Economy</w:t>
            </w:r>
          </w:p>
        </w:tc>
      </w:tr>
      <w:tr>
        <w:tc>
          <w:tcPr>
            <w:tcW w:type="dxa" w:w="1872"/>
          </w:tcPr>
          <w:p>
            <w:r/>
            <w:r>
              <w:rPr>
                <w:rFonts w:ascii="Inter" w:hAnsi="Inter" w:cs="Inter"/>
                <w:b w:val="0"/>
                <w:i w:val="0"/>
                <w:color w:val="2D2D2D"/>
                <w:sz w:val="19"/>
              </w:rPr>
              <w:t>7</w:t>
            </w:r>
          </w:p>
        </w:tc>
        <w:tc>
          <w:tcPr>
            <w:tcW w:type="dxa" w:w="1872"/>
          </w:tcPr>
          <w:p>
            <w:r/>
            <w:r>
              <w:rPr>
                <w:rFonts w:ascii="Inter" w:hAnsi="Inter" w:cs="Inter"/>
                <w:b w:val="0"/>
                <w:i w:val="0"/>
                <w:color w:val="2D2D2D"/>
                <w:sz w:val="19"/>
              </w:rPr>
              <w:t>**Infrastructure Development**</w:t>
            </w:r>
          </w:p>
        </w:tc>
        <w:tc>
          <w:tcPr>
            <w:tcW w:type="dxa" w:w="1872"/>
          </w:tcPr>
          <w:p>
            <w:r/>
            <w:r>
              <w:rPr>
                <w:rFonts w:ascii="Inter" w:hAnsi="Inter" w:cs="Inter"/>
                <w:b w:val="0"/>
                <w:i w:val="0"/>
                <w:color w:val="2D2D2D"/>
                <w:sz w:val="19"/>
              </w:rPr>
              <w:t>Roads, bridges, facilities, utilities. Constructing and maintaining public infrastructure that supports economic development, social service delivery, and regional connectivity.</w:t>
            </w:r>
          </w:p>
        </w:tc>
        <w:tc>
          <w:tcPr>
            <w:tcW w:type="dxa" w:w="1872"/>
          </w:tcPr>
          <w:p>
            <w:r/>
            <w:r>
              <w:rPr>
                <w:rFonts w:ascii="Inter" w:hAnsi="Inter" w:cs="Inter"/>
                <w:b w:val="0"/>
                <w:i w:val="0"/>
                <w:color w:val="2D2D2D"/>
                <w:sz w:val="19"/>
              </w:rPr>
              <w:t>MPW, MENRE (energy)</w:t>
            </w:r>
          </w:p>
        </w:tc>
        <w:tc>
          <w:tcPr>
            <w:tcW w:type="dxa" w:w="1872"/>
          </w:tcPr>
          <w:p>
            <w:r/>
            <w:r>
              <w:rPr>
                <w:rFonts w:ascii="Inter" w:hAnsi="Inter" w:cs="Inter"/>
                <w:b w:val="0"/>
                <w:i w:val="0"/>
                <w:color w:val="2D2D2D"/>
                <w:sz w:val="19"/>
              </w:rPr>
              <w:t>Goal 6: Strategic, Adequate, and Climate-Resilient Infrastructure</w:t>
            </w:r>
          </w:p>
        </w:tc>
      </w:tr>
      <w:tr>
        <w:tc>
          <w:tcPr>
            <w:tcW w:type="dxa" w:w="1872"/>
            <w:shd w:fill="F0F3F6"/>
          </w:tcPr>
          <w:p>
            <w:r/>
            <w:r>
              <w:rPr>
                <w:rFonts w:ascii="Inter" w:hAnsi="Inter" w:cs="Inter"/>
                <w:b w:val="0"/>
                <w:i w:val="0"/>
                <w:color w:val="2D2D2D"/>
                <w:sz w:val="19"/>
              </w:rPr>
              <w:t>8</w:t>
            </w:r>
          </w:p>
        </w:tc>
        <w:tc>
          <w:tcPr>
            <w:tcW w:type="dxa" w:w="1872"/>
            <w:shd w:fill="F0F3F6"/>
          </w:tcPr>
          <w:p>
            <w:r/>
            <w:r>
              <w:rPr>
                <w:rFonts w:ascii="Inter" w:hAnsi="Inter" w:cs="Inter"/>
                <w:b w:val="0"/>
                <w:i w:val="0"/>
                <w:color w:val="2D2D2D"/>
                <w:sz w:val="19"/>
              </w:rPr>
              <w:t>**Environmental Protection**</w:t>
            </w:r>
          </w:p>
        </w:tc>
        <w:tc>
          <w:tcPr>
            <w:tcW w:type="dxa" w:w="1872"/>
            <w:shd w:fill="F0F3F6"/>
          </w:tcPr>
          <w:p>
            <w:r/>
            <w:r>
              <w:rPr>
                <w:rFonts w:ascii="Inter" w:hAnsi="Inter" w:cs="Inter"/>
                <w:b w:val="0"/>
                <w:i w:val="0"/>
                <w:color w:val="2D2D2D"/>
                <w:sz w:val="19"/>
              </w:rPr>
              <w:t>Conservation, climate resilience, natural resource management. Protecting forests, watersheds, and coastal ecosystems. Implementing environmental regulations. Promoting renewable energy and climate adaptation.</w:t>
            </w:r>
          </w:p>
        </w:tc>
        <w:tc>
          <w:tcPr>
            <w:tcW w:type="dxa" w:w="1872"/>
            <w:shd w:fill="F0F3F6"/>
          </w:tcPr>
          <w:p>
            <w:r/>
            <w:r>
              <w:rPr>
                <w:rFonts w:ascii="Inter" w:hAnsi="Inter" w:cs="Inter"/>
                <w:b w:val="0"/>
                <w:i w:val="0"/>
                <w:color w:val="2D2D2D"/>
                <w:sz w:val="19"/>
              </w:rPr>
              <w:t>MENRE</w:t>
            </w:r>
          </w:p>
        </w:tc>
        <w:tc>
          <w:tcPr>
            <w:tcW w:type="dxa" w:w="1872"/>
            <w:shd w:fill="F0F3F6"/>
          </w:tcPr>
          <w:p>
            <w:r/>
            <w:r>
              <w:rPr>
                <w:rFonts w:ascii="Inter" w:hAnsi="Inter" w:cs="Inter"/>
                <w:b w:val="0"/>
                <w:i w:val="0"/>
                <w:color w:val="2D2D2D"/>
                <w:sz w:val="19"/>
              </w:rPr>
              <w:t>Goal 3: Resilient Communities; Goal 6: Climate-Resilient Infrastructure</w:t>
            </w:r>
          </w:p>
        </w:tc>
      </w:tr>
      <w:tr>
        <w:tc>
          <w:tcPr>
            <w:tcW w:type="dxa" w:w="1872"/>
          </w:tcPr>
          <w:p>
            <w:r/>
            <w:r>
              <w:rPr>
                <w:rFonts w:ascii="Inter" w:hAnsi="Inter" w:cs="Inter"/>
                <w:b w:val="0"/>
                <w:i w:val="0"/>
                <w:color w:val="2D2D2D"/>
                <w:sz w:val="19"/>
              </w:rPr>
              <w:t>9</w:t>
            </w:r>
          </w:p>
        </w:tc>
        <w:tc>
          <w:tcPr>
            <w:tcW w:type="dxa" w:w="1872"/>
          </w:tcPr>
          <w:p>
            <w:r/>
            <w:r>
              <w:rPr>
                <w:rFonts w:ascii="Inter" w:hAnsi="Inter" w:cs="Inter"/>
                <w:b w:val="0"/>
                <w:i w:val="0"/>
                <w:color w:val="2D2D2D"/>
                <w:sz w:val="19"/>
              </w:rPr>
              <w:t>**Food Security and Agriculture**</w:t>
            </w:r>
          </w:p>
        </w:tc>
        <w:tc>
          <w:tcPr>
            <w:tcW w:type="dxa" w:w="1872"/>
          </w:tcPr>
          <w:p>
            <w:r/>
            <w:r>
              <w:rPr>
                <w:rFonts w:ascii="Inter" w:hAnsi="Inter" w:cs="Inter"/>
                <w:b w:val="0"/>
                <w:i w:val="0"/>
                <w:color w:val="2D2D2D"/>
                <w:sz w:val="19"/>
              </w:rPr>
              <w:t>Farming, fisheries, food systems. Improving agricultural productivity, supporting fisherfolk, developing the value chain for local agricultural products, and ensuring food availability and access for all Bangsamoro communities.</w:t>
            </w:r>
          </w:p>
        </w:tc>
        <w:tc>
          <w:tcPr>
            <w:tcW w:type="dxa" w:w="1872"/>
          </w:tcPr>
          <w:p>
            <w:r/>
            <w:r>
              <w:rPr>
                <w:rFonts w:ascii="Inter" w:hAnsi="Inter" w:cs="Inter"/>
                <w:b w:val="0"/>
                <w:i w:val="0"/>
                <w:color w:val="2D2D2D"/>
                <w:sz w:val="19"/>
              </w:rPr>
              <w:t>MAFAR</w:t>
            </w:r>
          </w:p>
        </w:tc>
        <w:tc>
          <w:tcPr>
            <w:tcW w:type="dxa" w:w="1872"/>
          </w:tcPr>
          <w:p>
            <w:r/>
            <w:r>
              <w:rPr>
                <w:rFonts w:ascii="Inter" w:hAnsi="Inter" w:cs="Inter"/>
                <w:b w:val="0"/>
                <w:i w:val="0"/>
                <w:color w:val="2D2D2D"/>
                <w:sz w:val="19"/>
              </w:rPr>
              <w:t>Goal 2: Economy; Goal 4: Social Services</w:t>
            </w:r>
          </w:p>
        </w:tc>
      </w:tr>
      <w:tr>
        <w:tc>
          <w:tcPr>
            <w:tcW w:type="dxa" w:w="1872"/>
            <w:shd w:fill="F0F3F6"/>
          </w:tcPr>
          <w:p>
            <w:r/>
            <w:r>
              <w:rPr>
                <w:rFonts w:ascii="Inter" w:hAnsi="Inter" w:cs="Inter"/>
                <w:b w:val="0"/>
                <w:i w:val="0"/>
                <w:color w:val="2D2D2D"/>
                <w:sz w:val="19"/>
              </w:rPr>
              <w:t>10</w:t>
            </w:r>
          </w:p>
        </w:tc>
        <w:tc>
          <w:tcPr>
            <w:tcW w:type="dxa" w:w="1872"/>
            <w:shd w:fill="F0F3F6"/>
          </w:tcPr>
          <w:p>
            <w:r/>
            <w:r>
              <w:rPr>
                <w:rFonts w:ascii="Inter" w:hAnsi="Inter" w:cs="Inter"/>
                <w:b w:val="0"/>
                <w:i w:val="0"/>
                <w:color w:val="2D2D2D"/>
                <w:sz w:val="19"/>
              </w:rPr>
              <w:t>**Youth Development**</w:t>
            </w:r>
          </w:p>
        </w:tc>
        <w:tc>
          <w:tcPr>
            <w:tcW w:type="dxa" w:w="1872"/>
            <w:shd w:fill="F0F3F6"/>
          </w:tcPr>
          <w:p>
            <w:r/>
            <w:r>
              <w:rPr>
                <w:rFonts w:ascii="Inter" w:hAnsi="Inter" w:cs="Inter"/>
                <w:b w:val="0"/>
                <w:i w:val="0"/>
                <w:color w:val="2D2D2D"/>
                <w:sz w:val="19"/>
              </w:rPr>
              <w:t>Skills development, employment, civic participation. Investing in the Bangsamoro youth through education, technical-vocational training, entrepreneurship support, and opportunities for meaningful civic engagement.</w:t>
            </w:r>
          </w:p>
        </w:tc>
        <w:tc>
          <w:tcPr>
            <w:tcW w:type="dxa" w:w="1872"/>
            <w:shd w:fill="F0F3F6"/>
          </w:tcPr>
          <w:p>
            <w:r/>
            <w:r>
              <w:rPr>
                <w:rFonts w:ascii="Inter" w:hAnsi="Inter" w:cs="Inter"/>
                <w:b w:val="0"/>
                <w:i w:val="0"/>
                <w:color w:val="2D2D2D"/>
                <w:sz w:val="19"/>
              </w:rPr>
              <w:t>MSSD, MBHTE, Bangsamoro Youth Commission</w:t>
            </w:r>
          </w:p>
        </w:tc>
        <w:tc>
          <w:tcPr>
            <w:tcW w:type="dxa" w:w="1872"/>
            <w:shd w:fill="F0F3F6"/>
          </w:tcPr>
          <w:p>
            <w:r/>
            <w:r>
              <w:rPr>
                <w:rFonts w:ascii="Inter" w:hAnsi="Inter" w:cs="Inter"/>
                <w:b w:val="0"/>
                <w:i w:val="0"/>
                <w:color w:val="2D2D2D"/>
                <w:sz w:val="19"/>
              </w:rPr>
              <w:t>Goal 4: Social Services; Goal 2: Economy</w:t>
            </w:r>
          </w:p>
        </w:tc>
      </w:tr>
      <w:tr>
        <w:tc>
          <w:tcPr>
            <w:tcW w:type="dxa" w:w="1872"/>
          </w:tcPr>
          <w:p>
            <w:r/>
            <w:r>
              <w:rPr>
                <w:rFonts w:ascii="Inter" w:hAnsi="Inter" w:cs="Inter"/>
                <w:b w:val="0"/>
                <w:i w:val="0"/>
                <w:color w:val="2D2D2D"/>
                <w:sz w:val="19"/>
              </w:rPr>
              <w:t>11</w:t>
            </w:r>
          </w:p>
        </w:tc>
        <w:tc>
          <w:tcPr>
            <w:tcW w:type="dxa" w:w="1872"/>
          </w:tcPr>
          <w:p>
            <w:r/>
            <w:r>
              <w:rPr>
                <w:rFonts w:ascii="Inter" w:hAnsi="Inter" w:cs="Inter"/>
                <w:b w:val="0"/>
                <w:i w:val="0"/>
                <w:color w:val="2D2D2D"/>
                <w:sz w:val="19"/>
              </w:rPr>
              <w:t>**Women Empowerment**</w:t>
            </w:r>
          </w:p>
        </w:tc>
        <w:tc>
          <w:tcPr>
            <w:tcW w:type="dxa" w:w="1872"/>
          </w:tcPr>
          <w:p>
            <w:r/>
            <w:r>
              <w:rPr>
                <w:rFonts w:ascii="Inter" w:hAnsi="Inter" w:cs="Inter"/>
                <w:b w:val="0"/>
                <w:i w:val="0"/>
                <w:color w:val="2D2D2D"/>
                <w:sz w:val="19"/>
              </w:rPr>
              <w:t>Gender equality, women's programs, protection. Advancing women's participation in governance and economic activity, implementing the Magna Carta of Women, and protecting women's rights across all sectors.</w:t>
            </w:r>
          </w:p>
        </w:tc>
        <w:tc>
          <w:tcPr>
            <w:tcW w:type="dxa" w:w="1872"/>
          </w:tcPr>
          <w:p>
            <w:r/>
            <w:r>
              <w:rPr>
                <w:rFonts w:ascii="Inter" w:hAnsi="Inter" w:cs="Inter"/>
                <w:b w:val="0"/>
                <w:i w:val="0"/>
                <w:color w:val="2D2D2D"/>
                <w:sz w:val="19"/>
              </w:rPr>
              <w:t>BWC, MSSD</w:t>
            </w:r>
          </w:p>
        </w:tc>
        <w:tc>
          <w:tcPr>
            <w:tcW w:type="dxa" w:w="1872"/>
          </w:tcPr>
          <w:p>
            <w:r/>
            <w:r>
              <w:rPr>
                <w:rFonts w:ascii="Inter" w:hAnsi="Inter" w:cs="Inter"/>
                <w:b w:val="0"/>
                <w:i w:val="0"/>
                <w:color w:val="2D2D2D"/>
                <w:sz w:val="19"/>
              </w:rPr>
              <w:t>Goal 4: Social Services; Goal 5: Culture and Identity</w:t>
            </w:r>
          </w:p>
        </w:tc>
      </w:tr>
      <w:tr>
        <w:tc>
          <w:tcPr>
            <w:tcW w:type="dxa" w:w="1872"/>
            <w:shd w:fill="F0F3F6"/>
          </w:tcPr>
          <w:p>
            <w:r/>
            <w:r>
              <w:rPr>
                <w:rFonts w:ascii="Inter" w:hAnsi="Inter" w:cs="Inter"/>
                <w:b w:val="0"/>
                <w:i w:val="0"/>
                <w:color w:val="2D2D2D"/>
                <w:sz w:val="19"/>
              </w:rPr>
              <w:t>12</w:t>
            </w:r>
          </w:p>
        </w:tc>
        <w:tc>
          <w:tcPr>
            <w:tcW w:type="dxa" w:w="1872"/>
            <w:shd w:fill="F0F3F6"/>
          </w:tcPr>
          <w:p>
            <w:r/>
            <w:r>
              <w:rPr>
                <w:rFonts w:ascii="Inter" w:hAnsi="Inter" w:cs="Inter"/>
                <w:b w:val="0"/>
                <w:i w:val="0"/>
                <w:color w:val="2D2D2D"/>
                <w:sz w:val="19"/>
              </w:rPr>
              <w:t>**Inter-governmental Relations**</w:t>
            </w:r>
          </w:p>
        </w:tc>
        <w:tc>
          <w:tcPr>
            <w:tcW w:type="dxa" w:w="1872"/>
            <w:shd w:fill="F0F3F6"/>
          </w:tcPr>
          <w:p>
            <w:r/>
            <w:r>
              <w:rPr>
                <w:rFonts w:ascii="Inter" w:hAnsi="Inter" w:cs="Inter"/>
                <w:b w:val="0"/>
                <w:i w:val="0"/>
                <w:color w:val="2D2D2D"/>
                <w:sz w:val="19"/>
              </w:rPr>
              <w:t>National-regional coordination. Managing the relationship between the Bangsamoro Government and the National Government through the Intergovernmental Relations Body, the Intergovernmental Fiscal Policy Board, and other coordination mechanisms established under Article VI of the BOL.</w:t>
            </w:r>
          </w:p>
        </w:tc>
        <w:tc>
          <w:tcPr>
            <w:tcW w:type="dxa" w:w="1872"/>
            <w:shd w:fill="F0F3F6"/>
          </w:tcPr>
          <w:p>
            <w:r/>
            <w:r>
              <w:rPr>
                <w:rFonts w:ascii="Inter" w:hAnsi="Inter" w:cs="Inter"/>
                <w:b w:val="0"/>
                <w:i w:val="0"/>
                <w:color w:val="2D2D2D"/>
                <w:sz w:val="19"/>
              </w:rPr>
              <w:t>BPDA, Office of the Chief Minister</w:t>
            </w:r>
          </w:p>
        </w:tc>
        <w:tc>
          <w:tcPr>
            <w:tcW w:type="dxa" w:w="1872"/>
            <w:shd w:fill="F0F3F6"/>
          </w:tcPr>
          <w:p>
            <w:r/>
            <w:r>
              <w:rPr>
                <w:rFonts w:ascii="Inter" w:hAnsi="Inter" w:cs="Inter"/>
                <w:b w:val="0"/>
                <w:i w:val="0"/>
                <w:color w:val="2D2D2D"/>
                <w:sz w:val="19"/>
              </w:rPr>
              <w:t>Goal 1: Governance</w:t>
            </w:r>
          </w:p>
        </w:tc>
      </w:tr>
    </w:tbl>
    <w:p/>
    <w:p>
      <w:pPr>
        <w:pStyle w:val="Heading3"/>
      </w:pPr>
      <w:r>
        <w:rPr>
          <w:rFonts w:ascii="Inter" w:hAnsi="Inter" w:cs="Inter"/>
          <w:b/>
          <w:i w:val="0"/>
          <w:color w:val="2C5F7C"/>
          <w:sz w:val="26"/>
        </w:rPr>
        <w:t>How to Use This Reference</w:t>
      </w:r>
    </w:p>
    <w:p>
      <w:pPr>
        <w:spacing w:after="120" w:line="276" w:lineRule="auto"/>
      </w:pPr>
      <w:r>
        <w:rPr>
          <w:rFonts w:ascii="Inter" w:hAnsi="Inter" w:cs="Inter"/>
          <w:b w:val="0"/>
          <w:i w:val="0"/>
          <w:color w:val="2D2D2D"/>
          <w:sz w:val="22"/>
        </w:rPr>
        <w:t>When completing the Priority Agenda Alignment Sheet (Chapter 4):</w:t>
      </w:r>
    </w:p>
    <w:p>
      <w:pPr>
        <w:pStyle w:val="ListNumber"/>
      </w:pPr>
      <w:r>
        <w:rPr>
          <w:rFonts w:ascii="Inter" w:hAnsi="Inter" w:cs="Inter"/>
          <w:b w:val="0"/>
          <w:i w:val="0"/>
          <w:color w:val="2D2D2D"/>
          <w:sz w:val="22"/>
        </w:rPr>
        <w:t xml:space="preserve">Identify which priorities your MOA is a </w:t>
      </w:r>
      <w:r>
        <w:rPr>
          <w:rFonts w:ascii="Inter" w:hAnsi="Inter" w:cs="Inter"/>
          <w:b/>
          <w:i w:val="0"/>
          <w:color w:val="2D2D2D"/>
          <w:sz w:val="22"/>
        </w:rPr>
        <w:t>primary implementer</w:t>
      </w:r>
      <w:r>
        <w:rPr>
          <w:rFonts w:ascii="Inter" w:hAnsi="Inter" w:cs="Inter"/>
          <w:b w:val="0"/>
          <w:i w:val="0"/>
          <w:color w:val="2D2D2D"/>
          <w:sz w:val="22"/>
        </w:rPr>
        <w:t xml:space="preserve"> of (typically 1-3 priorities).</w:t>
      </w:r>
    </w:p>
    <w:p>
      <w:pPr>
        <w:pStyle w:val="ListNumber"/>
      </w:pPr>
      <w:r>
        <w:rPr>
          <w:rFonts w:ascii="Inter" w:hAnsi="Inter" w:cs="Inter"/>
          <w:b w:val="0"/>
          <w:i w:val="0"/>
          <w:color w:val="2D2D2D"/>
          <w:sz w:val="22"/>
        </w:rPr>
        <w:t xml:space="preserve">Identify which priorities your MOA </w:t>
      </w:r>
      <w:r>
        <w:rPr>
          <w:rFonts w:ascii="Inter" w:hAnsi="Inter" w:cs="Inter"/>
          <w:b/>
          <w:i w:val="0"/>
          <w:color w:val="2D2D2D"/>
          <w:sz w:val="22"/>
        </w:rPr>
        <w:t>supports</w:t>
      </w:r>
      <w:r>
        <w:rPr>
          <w:rFonts w:ascii="Inter" w:hAnsi="Inter" w:cs="Inter"/>
          <w:b w:val="0"/>
          <w:i w:val="0"/>
          <w:color w:val="2D2D2D"/>
          <w:sz w:val="22"/>
        </w:rPr>
        <w:t xml:space="preserve"> as a contributory agency.</w:t>
      </w:r>
    </w:p>
    <w:p>
      <w:pPr>
        <w:pStyle w:val="ListNumber"/>
      </w:pPr>
      <w:r>
        <w:rPr>
          <w:rFonts w:ascii="Inter" w:hAnsi="Inter" w:cs="Inter"/>
          <w:b w:val="0"/>
          <w:i w:val="0"/>
          <w:color w:val="2D2D2D"/>
          <w:sz w:val="22"/>
        </w:rPr>
        <w:t>For each selected priority, describe the specific mechanism through which your MOA contributes --- which programs, which functions, which populations.</w:t>
      </w:r>
    </w:p>
    <w:p>
      <w:pPr>
        <w:pStyle w:val="ListNumber"/>
      </w:pPr>
      <w:r>
        <w:rPr>
          <w:rFonts w:ascii="Inter" w:hAnsi="Inter" w:cs="Inter"/>
          <w:b w:val="0"/>
          <w:i w:val="0"/>
          <w:color w:val="2D2D2D"/>
          <w:sz w:val="22"/>
        </w:rPr>
        <w:t>Do not claim all 12 priorities. Focus on the priorities where your MOA's contribution is genuine and substantial.</w:t>
      </w:r>
    </w:p>
    <w:p>
      <w:pPr>
        <w:pStyle w:val="Heading2"/>
      </w:pPr>
      <w:r>
        <w:rPr>
          <w:rFonts w:ascii="Inter" w:hAnsi="Inter" w:cs="Inter"/>
          <w:b/>
          <w:i w:val="0"/>
          <w:color w:val="1B365D"/>
          <w:sz w:val="32"/>
        </w:rPr>
        <w:t>Appendix D: Complete Blank Templates</w:t>
      </w:r>
    </w:p>
    <w:p>
      <w:pPr>
        <w:spacing w:after="120" w:line="276" w:lineRule="auto"/>
      </w:pPr>
      <w:r>
        <w:rPr>
          <w:rFonts w:ascii="Inter" w:hAnsi="Inter" w:cs="Inter"/>
          <w:b w:val="0"/>
          <w:i w:val="0"/>
          <w:color w:val="2D2D2D"/>
          <w:sz w:val="22"/>
        </w:rPr>
        <w:t>This appendix consolidates all 16 planning templates from the guidebook into a single printable section. Each template identifies its source chapter and includes brief instructions. Templates are blank --- fill in your MOA's data following the methodology described in the corresponding chapter.</w:t>
      </w:r>
    </w:p>
    <w:p>
      <w:pPr>
        <w:pStyle w:val="Heading3"/>
      </w:pPr>
      <w:r>
        <w:rPr>
          <w:rFonts w:ascii="Inter" w:hAnsi="Inter" w:cs="Inter"/>
          <w:b/>
          <w:i w:val="0"/>
          <w:color w:val="2C5F7C"/>
          <w:sz w:val="26"/>
        </w:rPr>
        <w:t>Template 1: Legal Mandate Matrix</w:t>
      </w:r>
    </w:p>
    <w:p>
      <w:pPr>
        <w:spacing w:after="120" w:line="276" w:lineRule="auto"/>
      </w:pPr>
      <w:r>
        <w:rPr>
          <w:rFonts w:ascii="Inter" w:hAnsi="Inter" w:cs="Inter"/>
          <w:b w:val="0"/>
          <w:i w:val="0"/>
          <w:color w:val="2D2D2D"/>
          <w:sz w:val="22"/>
        </w:rPr>
        <w:t>*Source: Chapter 2 (Point 1: Legal Alignment)*</w:t>
      </w:r>
    </w:p>
    <w:p>
      <w:pPr>
        <w:spacing w:after="120" w:line="276" w:lineRule="auto"/>
      </w:pPr>
      <w:r>
        <w:rPr>
          <w:rFonts w:ascii="Inter" w:hAnsi="Inter" w:cs="Inter"/>
          <w:b w:val="0"/>
          <w:i w:val="0"/>
          <w:color w:val="2D2D2D"/>
          <w:sz w:val="22"/>
        </w:rPr>
        <w:t>*Instructions: Complete one row for each legal provision that grants your MOA authority or imposes obligations. Work through all seven tiers of the legal hierarchy. The Status column indicates whether the mandate is being actively implemented, has a compliance gap, or is under review.*</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Legal Source</w:t>
            </w:r>
          </w:p>
        </w:tc>
        <w:tc>
          <w:tcPr>
            <w:tcW w:type="dxa" w:w="1560"/>
            <w:shd w:fill="1B365D"/>
          </w:tcPr>
          <w:p>
            <w:r/>
            <w:r>
              <w:rPr>
                <w:rFonts w:ascii="Inter" w:hAnsi="Inter" w:cs="Inter"/>
                <w:b/>
                <w:i w:val="0"/>
                <w:color w:val="FFFFFF"/>
                <w:sz w:val="19"/>
              </w:rPr>
              <w:t>Tier</w:t>
            </w:r>
          </w:p>
        </w:tc>
        <w:tc>
          <w:tcPr>
            <w:tcW w:type="dxa" w:w="1560"/>
            <w:shd w:fill="1B365D"/>
          </w:tcPr>
          <w:p>
            <w:r/>
            <w:r>
              <w:rPr>
                <w:rFonts w:ascii="Inter" w:hAnsi="Inter" w:cs="Inter"/>
                <w:b/>
                <w:i w:val="0"/>
                <w:color w:val="FFFFFF"/>
                <w:sz w:val="19"/>
              </w:rPr>
              <w:t>Provision</w:t>
            </w:r>
          </w:p>
        </w:tc>
        <w:tc>
          <w:tcPr>
            <w:tcW w:type="dxa" w:w="1560"/>
            <w:shd w:fill="1B365D"/>
          </w:tcPr>
          <w:p>
            <w:r/>
            <w:r>
              <w:rPr>
                <w:rFonts w:ascii="Inter" w:hAnsi="Inter" w:cs="Inter"/>
                <w:b/>
                <w:i w:val="0"/>
                <w:color w:val="FFFFFF"/>
                <w:sz w:val="19"/>
              </w:rPr>
              <w:t>Mandate/Authority</w:t>
            </w:r>
          </w:p>
        </w:tc>
        <w:tc>
          <w:tcPr>
            <w:tcW w:type="dxa" w:w="1560"/>
            <w:shd w:fill="1B365D"/>
          </w:tcPr>
          <w:p>
            <w:r/>
            <w:r>
              <w:rPr>
                <w:rFonts w:ascii="Inter" w:hAnsi="Inter" w:cs="Inter"/>
                <w:b/>
                <w:i w:val="0"/>
                <w:color w:val="FFFFFF"/>
                <w:sz w:val="19"/>
              </w:rPr>
              <w:t>Planning Domain</w:t>
            </w:r>
          </w:p>
        </w:tc>
        <w:tc>
          <w:tcPr>
            <w:tcW w:type="dxa" w:w="1560"/>
            <w:shd w:fill="1B365D"/>
          </w:tcPr>
          <w:p>
            <w:r/>
            <w:r>
              <w:rPr>
                <w:rFonts w:ascii="Inter" w:hAnsi="Inter" w:cs="Inter"/>
                <w:b/>
                <w:i w:val="0"/>
                <w:color w:val="FFFFFF"/>
                <w:sz w:val="19"/>
              </w:rPr>
              <w:t>Status</w:t>
            </w:r>
          </w:p>
        </w:tc>
      </w:tr>
    </w:tbl>
    <w:p/>
    <w:p>
      <w:pPr>
        <w:pStyle w:val="Heading3"/>
      </w:pPr>
      <w:r>
        <w:rPr>
          <w:rFonts w:ascii="Inter" w:hAnsi="Inter" w:cs="Inter"/>
          <w:b/>
          <w:i w:val="0"/>
          <w:color w:val="2C5F7C"/>
          <w:sz w:val="26"/>
        </w:rPr>
        <w:t>Template 2: BDP Alignment Map</w:t>
      </w:r>
    </w:p>
    <w:p>
      <w:pPr>
        <w:spacing w:after="120" w:line="276" w:lineRule="auto"/>
      </w:pPr>
      <w:r>
        <w:rPr>
          <w:rFonts w:ascii="Inter" w:hAnsi="Inter" w:cs="Inter"/>
          <w:b w:val="0"/>
          <w:i w:val="0"/>
          <w:color w:val="2D2D2D"/>
          <w:sz w:val="22"/>
        </w:rPr>
        <w:t>*Source: Chapter 3 (Point 2: BDP Alignment)*</w:t>
      </w:r>
    </w:p>
    <w:p>
      <w:pPr>
        <w:spacing w:after="120" w:line="276" w:lineRule="auto"/>
      </w:pPr>
      <w:r>
        <w:rPr>
          <w:rFonts w:ascii="Inter" w:hAnsi="Inter" w:cs="Inter"/>
          <w:b w:val="0"/>
          <w:i w:val="0"/>
          <w:color w:val="2D2D2D"/>
          <w:sz w:val="22"/>
        </w:rPr>
        <w:t>*Instructions: Complete one row for each legal mandate from your Legal Mandate Matrix (Template 1). Map each mandate to the BDP goal it supports, identify the applicable BDP strategy, write a specific contribution statement, classify the alignment type, and note relevant cross-cutting themes.*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Legal Mandate (from Template 1)</w:t>
            </w:r>
          </w:p>
        </w:tc>
        <w:tc>
          <w:tcPr>
            <w:tcW w:type="dxa" w:w="1560"/>
            <w:shd w:fill="1B365D"/>
          </w:tcPr>
          <w:p>
            <w:r/>
            <w:r>
              <w:rPr>
                <w:rFonts w:ascii="Inter" w:hAnsi="Inter" w:cs="Inter"/>
                <w:b/>
                <w:i w:val="0"/>
                <w:color w:val="FFFFFF"/>
                <w:sz w:val="19"/>
              </w:rPr>
              <w:t>BDP Goal</w:t>
            </w:r>
          </w:p>
        </w:tc>
        <w:tc>
          <w:tcPr>
            <w:tcW w:type="dxa" w:w="1560"/>
            <w:shd w:fill="1B365D"/>
          </w:tcPr>
          <w:p>
            <w:r/>
            <w:r>
              <w:rPr>
                <w:rFonts w:ascii="Inter" w:hAnsi="Inter" w:cs="Inter"/>
                <w:b/>
                <w:i w:val="0"/>
                <w:color w:val="FFFFFF"/>
                <w:sz w:val="19"/>
              </w:rPr>
              <w:t>BDP Strategy</w:t>
            </w:r>
          </w:p>
        </w:tc>
        <w:tc>
          <w:tcPr>
            <w:tcW w:type="dxa" w:w="1560"/>
            <w:shd w:fill="1B365D"/>
          </w:tcPr>
          <w:p>
            <w:r/>
            <w:r>
              <w:rPr>
                <w:rFonts w:ascii="Inter" w:hAnsi="Inter" w:cs="Inter"/>
                <w:b/>
                <w:i w:val="0"/>
                <w:color w:val="FFFFFF"/>
                <w:sz w:val="19"/>
              </w:rPr>
              <w:t>Contribution Statement</w:t>
            </w:r>
          </w:p>
        </w:tc>
        <w:tc>
          <w:tcPr>
            <w:tcW w:type="dxa" w:w="1560"/>
            <w:shd w:fill="1B365D"/>
          </w:tcPr>
          <w:p>
            <w:r/>
            <w:r>
              <w:rPr>
                <w:rFonts w:ascii="Inter" w:hAnsi="Inter" w:cs="Inter"/>
                <w:b/>
                <w:i w:val="0"/>
                <w:color w:val="FFFFFF"/>
                <w:sz w:val="19"/>
              </w:rPr>
              <w:t>Alignment Type (Primary / Contributory)</w:t>
            </w:r>
          </w:p>
        </w:tc>
        <w:tc>
          <w:tcPr>
            <w:tcW w:type="dxa" w:w="1560"/>
            <w:shd w:fill="1B365D"/>
          </w:tcPr>
          <w:p>
            <w:r/>
            <w:r>
              <w:rPr>
                <w:rFonts w:ascii="Inter" w:hAnsi="Inter" w:cs="Inter"/>
                <w:b/>
                <w:i w:val="0"/>
                <w:color w:val="FFFFFF"/>
                <w:sz w:val="19"/>
              </w:rPr>
              <w:t>Cross-Cutting Themes</w:t>
            </w:r>
          </w:p>
        </w:tc>
      </w:tr>
    </w:tbl>
    <w:p/>
    <w:p>
      <w:pPr>
        <w:pStyle w:val="Heading3"/>
      </w:pPr>
      <w:r>
        <w:rPr>
          <w:rFonts w:ascii="Inter" w:hAnsi="Inter" w:cs="Inter"/>
          <w:b/>
          <w:i w:val="0"/>
          <w:color w:val="2C5F7C"/>
          <w:sz w:val="26"/>
        </w:rPr>
        <w:t>Template 3: Priority Agenda Alignment Sheet</w:t>
      </w:r>
    </w:p>
    <w:p>
      <w:pPr>
        <w:spacing w:after="120" w:line="276" w:lineRule="auto"/>
      </w:pPr>
      <w:r>
        <w:rPr>
          <w:rFonts w:ascii="Inter" w:hAnsi="Inter" w:cs="Inter"/>
          <w:b w:val="0"/>
          <w:i w:val="0"/>
          <w:color w:val="2D2D2D"/>
          <w:sz w:val="22"/>
        </w:rPr>
        <w:t>*Source: Chapter 4 (Point 3: Priority Agenda Alignment)*</w:t>
      </w:r>
    </w:p>
    <w:p>
      <w:pPr>
        <w:spacing w:after="120" w:line="276" w:lineRule="auto"/>
      </w:pPr>
      <w:r>
        <w:rPr>
          <w:rFonts w:ascii="Inter" w:hAnsi="Inter" w:cs="Inter"/>
          <w:b w:val="0"/>
          <w:i w:val="0"/>
          <w:color w:val="2D2D2D"/>
          <w:sz w:val="22"/>
        </w:rPr>
        <w:t>*Instructions: For each of the 12 Priority Agenda points, indicate whether your MOA has a role (Primary Implementer, Contributory, or None). For each claimed alignment, describe the specific mechanism. Do not claim more than 3 primary alignments.*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Priority #</w:t>
            </w:r>
          </w:p>
        </w:tc>
        <w:tc>
          <w:tcPr>
            <w:tcW w:type="dxa" w:w="1560"/>
            <w:shd w:fill="1B365D"/>
          </w:tcPr>
          <w:p>
            <w:r/>
            <w:r>
              <w:rPr>
                <w:rFonts w:ascii="Inter" w:hAnsi="Inter" w:cs="Inter"/>
                <w:b/>
                <w:i w:val="0"/>
                <w:color w:val="FFFFFF"/>
                <w:sz w:val="19"/>
              </w:rPr>
              <w:t>Priority Title</w:t>
            </w:r>
          </w:p>
        </w:tc>
        <w:tc>
          <w:tcPr>
            <w:tcW w:type="dxa" w:w="1560"/>
            <w:shd w:fill="1B365D"/>
          </w:tcPr>
          <w:p>
            <w:r/>
            <w:r>
              <w:rPr>
                <w:rFonts w:ascii="Inter" w:hAnsi="Inter" w:cs="Inter"/>
                <w:b/>
                <w:i w:val="0"/>
                <w:color w:val="FFFFFF"/>
                <w:sz w:val="19"/>
              </w:rPr>
              <w:t>MOA Role (Primary / Contributory / None)</w:t>
            </w:r>
          </w:p>
        </w:tc>
        <w:tc>
          <w:tcPr>
            <w:tcW w:type="dxa" w:w="1560"/>
            <w:shd w:fill="1B365D"/>
          </w:tcPr>
          <w:p>
            <w:r/>
            <w:r>
              <w:rPr>
                <w:rFonts w:ascii="Inter" w:hAnsi="Inter" w:cs="Inter"/>
                <w:b/>
                <w:i w:val="0"/>
                <w:color w:val="FFFFFF"/>
                <w:sz w:val="19"/>
              </w:rPr>
              <w:t>Mechanism of Contribution</w:t>
            </w:r>
          </w:p>
        </w:tc>
        <w:tc>
          <w:tcPr>
            <w:tcW w:type="dxa" w:w="1560"/>
            <w:shd w:fill="1B365D"/>
          </w:tcPr>
          <w:p>
            <w:r/>
            <w:r>
              <w:rPr>
                <w:rFonts w:ascii="Inter" w:hAnsi="Inter" w:cs="Inter"/>
                <w:b/>
                <w:i w:val="0"/>
                <w:color w:val="FFFFFF"/>
                <w:sz w:val="19"/>
              </w:rPr>
              <w:t>Linked BDP Goal</w:t>
            </w:r>
          </w:p>
        </w:tc>
        <w:tc>
          <w:tcPr>
            <w:tcW w:type="dxa" w:w="1560"/>
            <w:shd w:fill="1B365D"/>
          </w:tcPr>
          <w:p>
            <w:r/>
            <w:r>
              <w:rPr>
                <w:rFonts w:ascii="Inter" w:hAnsi="Inter" w:cs="Inter"/>
                <w:b/>
                <w:i w:val="0"/>
                <w:color w:val="FFFFFF"/>
                <w:sz w:val="19"/>
              </w:rPr>
              <w:t>Linked Strategic Objective (from Template 6B)</w:t>
            </w:r>
          </w:p>
        </w:tc>
      </w:tr>
      <w:tr>
        <w:tc>
          <w:tcPr>
            <w:tcW w:type="dxa" w:w="1560"/>
          </w:tcPr>
          <w:p>
            <w:r/>
            <w:r>
              <w:rPr>
                <w:rFonts w:ascii="Inter" w:hAnsi="Inter" w:cs="Inter"/>
                <w:b w:val="0"/>
                <w:i w:val="0"/>
                <w:color w:val="2D2D2D"/>
                <w:sz w:val="19"/>
              </w:rPr>
              <w:t>1</w:t>
            </w:r>
          </w:p>
        </w:tc>
        <w:tc>
          <w:tcPr>
            <w:tcW w:type="dxa" w:w="1560"/>
          </w:tcPr>
          <w:p>
            <w:r/>
            <w:r>
              <w:rPr>
                <w:rFonts w:ascii="Inter" w:hAnsi="Inter" w:cs="Inter"/>
                <w:b w:val="0"/>
                <w:i w:val="0"/>
                <w:color w:val="2D2D2D"/>
                <w:sz w:val="19"/>
              </w:rPr>
              <w:t>Moral Governance</w:t>
            </w: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2</w:t>
            </w:r>
          </w:p>
        </w:tc>
        <w:tc>
          <w:tcPr>
            <w:tcW w:type="dxa" w:w="1560"/>
            <w:shd w:fill="F0F3F6"/>
          </w:tcPr>
          <w:p>
            <w:r/>
            <w:r>
              <w:rPr>
                <w:rFonts w:ascii="Inter" w:hAnsi="Inter" w:cs="Inter"/>
                <w:b w:val="0"/>
                <w:i w:val="0"/>
                <w:color w:val="2D2D2D"/>
                <w:sz w:val="19"/>
              </w:rPr>
              <w:t>Sustaining Peace</w:t>
            </w: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3</w:t>
            </w:r>
          </w:p>
        </w:tc>
        <w:tc>
          <w:tcPr>
            <w:tcW w:type="dxa" w:w="1560"/>
          </w:tcPr>
          <w:p>
            <w:r/>
            <w:r>
              <w:rPr>
                <w:rFonts w:ascii="Inter" w:hAnsi="Inter" w:cs="Inter"/>
                <w:b w:val="0"/>
                <w:i w:val="0"/>
                <w:color w:val="2D2D2D"/>
                <w:sz w:val="19"/>
              </w:rPr>
              <w:t>Good Governance and Institutional Development</w:t>
            </w: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4</w:t>
            </w:r>
          </w:p>
        </w:tc>
        <w:tc>
          <w:tcPr>
            <w:tcW w:type="dxa" w:w="1560"/>
            <w:shd w:fill="F0F3F6"/>
          </w:tcPr>
          <w:p>
            <w:r/>
            <w:r>
              <w:rPr>
                <w:rFonts w:ascii="Inter" w:hAnsi="Inter" w:cs="Inter"/>
                <w:b w:val="0"/>
                <w:i w:val="0"/>
                <w:color w:val="2D2D2D"/>
                <w:sz w:val="19"/>
              </w:rPr>
              <w:t>Economic Development and Job Creation</w:t>
            </w: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5</w:t>
            </w:r>
          </w:p>
        </w:tc>
        <w:tc>
          <w:tcPr>
            <w:tcW w:type="dxa" w:w="1560"/>
          </w:tcPr>
          <w:p>
            <w:r/>
            <w:r>
              <w:rPr>
                <w:rFonts w:ascii="Inter" w:hAnsi="Inter" w:cs="Inter"/>
                <w:b w:val="0"/>
                <w:i w:val="0"/>
                <w:color w:val="2D2D2D"/>
                <w:sz w:val="19"/>
              </w:rPr>
              <w:t>Social Services</w:t>
            </w: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6</w:t>
            </w:r>
          </w:p>
        </w:tc>
        <w:tc>
          <w:tcPr>
            <w:tcW w:type="dxa" w:w="1560"/>
            <w:shd w:fill="F0F3F6"/>
          </w:tcPr>
          <w:p>
            <w:r/>
            <w:r>
              <w:rPr>
                <w:rFonts w:ascii="Inter" w:hAnsi="Inter" w:cs="Inter"/>
                <w:b w:val="0"/>
                <w:i w:val="0"/>
                <w:color w:val="2D2D2D"/>
                <w:sz w:val="19"/>
              </w:rPr>
              <w:t>Resource Mobilization</w:t>
            </w: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7</w:t>
            </w:r>
          </w:p>
        </w:tc>
        <w:tc>
          <w:tcPr>
            <w:tcW w:type="dxa" w:w="1560"/>
          </w:tcPr>
          <w:p>
            <w:r/>
            <w:r>
              <w:rPr>
                <w:rFonts w:ascii="Inter" w:hAnsi="Inter" w:cs="Inter"/>
                <w:b w:val="0"/>
                <w:i w:val="0"/>
                <w:color w:val="2D2D2D"/>
                <w:sz w:val="19"/>
              </w:rPr>
              <w:t>Infrastructure Development</w:t>
            </w: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8</w:t>
            </w:r>
          </w:p>
        </w:tc>
        <w:tc>
          <w:tcPr>
            <w:tcW w:type="dxa" w:w="1560"/>
            <w:shd w:fill="F0F3F6"/>
          </w:tcPr>
          <w:p>
            <w:r/>
            <w:r>
              <w:rPr>
                <w:rFonts w:ascii="Inter" w:hAnsi="Inter" w:cs="Inter"/>
                <w:b w:val="0"/>
                <w:i w:val="0"/>
                <w:color w:val="2D2D2D"/>
                <w:sz w:val="19"/>
              </w:rPr>
              <w:t>Environmental Protection</w:t>
            </w: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9</w:t>
            </w:r>
          </w:p>
        </w:tc>
        <w:tc>
          <w:tcPr>
            <w:tcW w:type="dxa" w:w="1560"/>
          </w:tcPr>
          <w:p>
            <w:r/>
            <w:r>
              <w:rPr>
                <w:rFonts w:ascii="Inter" w:hAnsi="Inter" w:cs="Inter"/>
                <w:b w:val="0"/>
                <w:i w:val="0"/>
                <w:color w:val="2D2D2D"/>
                <w:sz w:val="19"/>
              </w:rPr>
              <w:t>Food Security and Agriculture</w:t>
            </w: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10</w:t>
            </w:r>
          </w:p>
        </w:tc>
        <w:tc>
          <w:tcPr>
            <w:tcW w:type="dxa" w:w="1560"/>
            <w:shd w:fill="F0F3F6"/>
          </w:tcPr>
          <w:p>
            <w:r/>
            <w:r>
              <w:rPr>
                <w:rFonts w:ascii="Inter" w:hAnsi="Inter" w:cs="Inter"/>
                <w:b w:val="0"/>
                <w:i w:val="0"/>
                <w:color w:val="2D2D2D"/>
                <w:sz w:val="19"/>
              </w:rPr>
              <w:t>Youth Development</w:t>
            </w: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11</w:t>
            </w:r>
          </w:p>
        </w:tc>
        <w:tc>
          <w:tcPr>
            <w:tcW w:type="dxa" w:w="1560"/>
          </w:tcPr>
          <w:p>
            <w:r/>
            <w:r>
              <w:rPr>
                <w:rFonts w:ascii="Inter" w:hAnsi="Inter" w:cs="Inter"/>
                <w:b w:val="0"/>
                <w:i w:val="0"/>
                <w:color w:val="2D2D2D"/>
                <w:sz w:val="19"/>
              </w:rPr>
              <w:t>Women Empowerment</w:t>
            </w: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12</w:t>
            </w:r>
          </w:p>
        </w:tc>
        <w:tc>
          <w:tcPr>
            <w:tcW w:type="dxa" w:w="1560"/>
            <w:shd w:fill="F0F3F6"/>
          </w:tcPr>
          <w:p>
            <w:r/>
            <w:r>
              <w:rPr>
                <w:rFonts w:ascii="Inter" w:hAnsi="Inter" w:cs="Inter"/>
                <w:b w:val="0"/>
                <w:i w:val="0"/>
                <w:color w:val="2D2D2D"/>
                <w:sz w:val="19"/>
              </w:rPr>
              <w:t>Inter-governmental Relations</w:t>
            </w:r>
          </w:p>
        </w:tc>
        <w:tc>
          <w:tcPr>
            <w:tcW w:type="dxa" w:w="1560"/>
          </w:tcPr>
          <w:p/>
        </w:tc>
        <w:tc>
          <w:tcPr>
            <w:tcW w:type="dxa" w:w="1560"/>
          </w:tcPr>
          <w:p/>
        </w:tc>
        <w:tc>
          <w:tcPr>
            <w:tcW w:type="dxa" w:w="1560"/>
          </w:tcPr>
          <w:p/>
        </w:tc>
        <w:tc>
          <w:tcPr>
            <w:tcW w:type="dxa" w:w="1560"/>
          </w:tcPr>
          <w:p/>
        </w:tc>
      </w:tr>
    </w:tbl>
    <w:p/>
    <w:p>
      <w:pPr>
        <w:pStyle w:val="Heading3"/>
      </w:pPr>
      <w:r>
        <w:rPr>
          <w:rFonts w:ascii="Inter" w:hAnsi="Inter" w:cs="Inter"/>
          <w:b/>
          <w:i w:val="0"/>
          <w:color w:val="2C5F7C"/>
          <w:sz w:val="26"/>
        </w:rPr>
        <w:t>Template 4: Stakeholder Register and Engagement Plan</w:t>
      </w:r>
    </w:p>
    <w:p>
      <w:pPr>
        <w:spacing w:after="120" w:line="276" w:lineRule="auto"/>
      </w:pPr>
      <w:r>
        <w:rPr>
          <w:rFonts w:ascii="Inter" w:hAnsi="Inter" w:cs="Inter"/>
          <w:b w:val="0"/>
          <w:i w:val="0"/>
          <w:color w:val="2D2D2D"/>
          <w:sz w:val="22"/>
        </w:rPr>
        <w:t>*Source: Chapter 5 (Point 4: Stakeholder Analysis)*</w:t>
      </w:r>
    </w:p>
    <w:p>
      <w:pPr>
        <w:spacing w:after="120" w:line="276" w:lineRule="auto"/>
      </w:pPr>
      <w:r>
        <w:rPr>
          <w:rFonts w:ascii="Inter" w:hAnsi="Inter" w:cs="Inter"/>
          <w:b w:val="0"/>
          <w:i w:val="0"/>
          <w:color w:val="2D2D2D"/>
          <w:sz w:val="22"/>
        </w:rPr>
        <w:t>*Instructions: List all stakeholders identified through the eight-category analysis. Assess each stakeholder's power (H/M/L) and interest (H/M/L). Classify into a quadrant and assign an engagement strategy.*</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w:t>
            </w:r>
          </w:p>
        </w:tc>
        <w:tc>
          <w:tcPr>
            <w:tcW w:type="dxa" w:w="936"/>
            <w:shd w:fill="1B365D"/>
          </w:tcPr>
          <w:p>
            <w:r/>
            <w:r>
              <w:rPr>
                <w:rFonts w:ascii="Inter" w:hAnsi="Inter" w:cs="Inter"/>
                <w:b/>
                <w:i w:val="0"/>
                <w:color w:val="FFFFFF"/>
                <w:sz w:val="19"/>
              </w:rPr>
              <w:t>Stakeholder Name</w:t>
            </w:r>
          </w:p>
        </w:tc>
        <w:tc>
          <w:tcPr>
            <w:tcW w:type="dxa" w:w="936"/>
            <w:shd w:fill="1B365D"/>
          </w:tcPr>
          <w:p>
            <w:r/>
            <w:r>
              <w:rPr>
                <w:rFonts w:ascii="Inter" w:hAnsi="Inter" w:cs="Inter"/>
                <w:b/>
                <w:i w:val="0"/>
                <w:color w:val="FFFFFF"/>
                <w:sz w:val="19"/>
              </w:rPr>
              <w:t>Category</w:t>
            </w:r>
          </w:p>
        </w:tc>
        <w:tc>
          <w:tcPr>
            <w:tcW w:type="dxa" w:w="936"/>
            <w:shd w:fill="1B365D"/>
          </w:tcPr>
          <w:p>
            <w:r/>
            <w:r>
              <w:rPr>
                <w:rFonts w:ascii="Inter" w:hAnsi="Inter" w:cs="Inter"/>
                <w:b/>
                <w:i w:val="0"/>
                <w:color w:val="FFFFFF"/>
                <w:sz w:val="19"/>
              </w:rPr>
              <w:t>Power (H/M/L)</w:t>
            </w:r>
          </w:p>
        </w:tc>
        <w:tc>
          <w:tcPr>
            <w:tcW w:type="dxa" w:w="936"/>
            <w:shd w:fill="1B365D"/>
          </w:tcPr>
          <w:p>
            <w:r/>
            <w:r>
              <w:rPr>
                <w:rFonts w:ascii="Inter" w:hAnsi="Inter" w:cs="Inter"/>
                <w:b/>
                <w:i w:val="0"/>
                <w:color w:val="FFFFFF"/>
                <w:sz w:val="19"/>
              </w:rPr>
              <w:t>Interest (H/M/L)</w:t>
            </w:r>
          </w:p>
        </w:tc>
        <w:tc>
          <w:tcPr>
            <w:tcW w:type="dxa" w:w="936"/>
            <w:shd w:fill="1B365D"/>
          </w:tcPr>
          <w:p>
            <w:r/>
            <w:r>
              <w:rPr>
                <w:rFonts w:ascii="Inter" w:hAnsi="Inter" w:cs="Inter"/>
                <w:b/>
                <w:i w:val="0"/>
                <w:color w:val="FFFFFF"/>
                <w:sz w:val="19"/>
              </w:rPr>
              <w:t>Quadrant</w:t>
            </w:r>
          </w:p>
        </w:tc>
        <w:tc>
          <w:tcPr>
            <w:tcW w:type="dxa" w:w="936"/>
            <w:shd w:fill="1B365D"/>
          </w:tcPr>
          <w:p>
            <w:r/>
            <w:r>
              <w:rPr>
                <w:rFonts w:ascii="Inter" w:hAnsi="Inter" w:cs="Inter"/>
                <w:b/>
                <w:i w:val="0"/>
                <w:color w:val="FFFFFF"/>
                <w:sz w:val="19"/>
              </w:rPr>
              <w:t>Engagement Strategy</w:t>
            </w:r>
          </w:p>
        </w:tc>
        <w:tc>
          <w:tcPr>
            <w:tcW w:type="dxa" w:w="936"/>
            <w:shd w:fill="1B365D"/>
          </w:tcPr>
          <w:p>
            <w:r/>
            <w:r>
              <w:rPr>
                <w:rFonts w:ascii="Inter" w:hAnsi="Inter" w:cs="Inter"/>
                <w:b/>
                <w:i w:val="0"/>
                <w:color w:val="FFFFFF"/>
                <w:sz w:val="19"/>
              </w:rPr>
              <w:t>Key Action</w:t>
            </w:r>
          </w:p>
        </w:tc>
        <w:tc>
          <w:tcPr>
            <w:tcW w:type="dxa" w:w="936"/>
            <w:shd w:fill="1B365D"/>
          </w:tcPr>
          <w:p>
            <w:r/>
            <w:r>
              <w:rPr>
                <w:rFonts w:ascii="Inter" w:hAnsi="Inter" w:cs="Inter"/>
                <w:b/>
                <w:i w:val="0"/>
                <w:color w:val="FFFFFF"/>
                <w:sz w:val="19"/>
              </w:rPr>
              <w:t>Responsible Officer</w:t>
            </w:r>
          </w:p>
        </w:tc>
        <w:tc>
          <w:tcPr>
            <w:tcW w:type="dxa" w:w="936"/>
            <w:shd w:fill="1B365D"/>
          </w:tcPr>
          <w:p>
            <w:r/>
            <w:r>
              <w:rPr>
                <w:rFonts w:ascii="Inter" w:hAnsi="Inter" w:cs="Inter"/>
                <w:b/>
                <w:i w:val="0"/>
                <w:color w:val="FFFFFF"/>
                <w:sz w:val="19"/>
              </w:rPr>
              <w:t>Timeline</w:t>
            </w:r>
          </w:p>
        </w:tc>
      </w:tr>
    </w:tbl>
    <w:p/>
    <w:p>
      <w:pPr>
        <w:spacing w:after="120" w:line="276" w:lineRule="auto"/>
      </w:pPr>
      <w:r>
        <w:rPr>
          <w:rFonts w:ascii="Inter" w:hAnsi="Inter" w:cs="Inter"/>
          <w:b w:val="0"/>
          <w:i w:val="0"/>
          <w:color w:val="2D2D2D"/>
          <w:sz w:val="22"/>
        </w:rPr>
        <w:t>*Quadrant Key: Manage Closely (H-Power, H-Interest) / Keep Satisfied (H-Power, L-Interest) / Keep Informed (L-Power, H-Interest) / Monitor (L-Power, L-Interest)*</w:t>
      </w:r>
    </w:p>
    <w:p>
      <w:pPr>
        <w:pStyle w:val="Heading3"/>
      </w:pPr>
      <w:r>
        <w:rPr>
          <w:rFonts w:ascii="Inter" w:hAnsi="Inter" w:cs="Inter"/>
          <w:b/>
          <w:i w:val="0"/>
          <w:color w:val="2C5F7C"/>
          <w:sz w:val="26"/>
        </w:rPr>
        <w:t>Template 5: Vision-Mission-Values Statement (Part A)</w:t>
      </w:r>
    </w:p>
    <w:p>
      <w:pPr>
        <w:spacing w:after="120" w:line="276" w:lineRule="auto"/>
      </w:pPr>
      <w:r>
        <w:rPr>
          <w:rFonts w:ascii="Inter" w:hAnsi="Inter" w:cs="Inter"/>
          <w:b w:val="0"/>
          <w:i w:val="0"/>
          <w:color w:val="2D2D2D"/>
          <w:sz w:val="22"/>
        </w:rPr>
        <w:t>*Source: Chapter 6 (Point 5: Strategy Analysis --- Part A)*</w:t>
      </w:r>
    </w:p>
    <w:p>
      <w:pPr>
        <w:spacing w:after="120" w:line="276" w:lineRule="auto"/>
      </w:pPr>
      <w:r>
        <w:rPr>
          <w:rFonts w:ascii="Inter" w:hAnsi="Inter" w:cs="Inter"/>
          <w:b w:val="0"/>
          <w:i w:val="0"/>
          <w:color w:val="2D2D2D"/>
          <w:sz w:val="22"/>
        </w:rPr>
      </w:r>
      <w:r>
        <w:rPr>
          <w:rFonts w:ascii="Inter" w:hAnsi="Inter" w:cs="Inter"/>
          <w:b/>
          <w:i w:val="0"/>
          <w:color w:val="2D2D2D"/>
          <w:sz w:val="22"/>
        </w:rPr>
        <w:t>VISION STATEMENT</w:t>
      </w:r>
      <w:r>
        <w:rPr>
          <w:rFonts w:ascii="Inter" w:hAnsi="Inter" w:cs="Inter"/>
          <w:b w:val="0"/>
          <w:i w:val="0"/>
          <w:color w:val="2D2D2D"/>
          <w:sz w:val="22"/>
        </w:rPr>
      </w:r>
    </w:p>
    <w:p>
      <w:pPr>
        <w:spacing w:after="120" w:line="276" w:lineRule="auto"/>
      </w:pPr>
      <w:r>
        <w:rPr>
          <w:rFonts w:ascii="Inter" w:hAnsi="Inter" w:cs="Inter"/>
          <w:b w:val="0"/>
          <w:i w:val="0"/>
          <w:color w:val="2D2D2D"/>
          <w:sz w:val="22"/>
        </w:rPr>
        <w:t>*[Write your MOA's Vision statement here. 1-2 sentences. Aspirational, future-focused, describes the desired state your MOA contributes to achieving. 5-10 year horizon. Should connect to your BDP goals from Template 2.]*</w:t>
      </w:r>
    </w:p>
    <w:p>
      <w:pPr>
        <w:spacing w:after="120" w:line="276" w:lineRule="auto"/>
      </w:pPr>
      <w:r>
        <w:rPr>
          <w:rFonts w:ascii="Inter" w:hAnsi="Inter" w:cs="Inter"/>
          <w:b w:val="0"/>
          <w:i w:val="0"/>
          <w:color w:val="2D2D2D"/>
          <w:sz w:val="22"/>
        </w:rPr>
        <w:t>_______________________________________________________________________________</w:t>
      </w:r>
    </w:p>
    <w:p>
      <w:pPr>
        <w:spacing w:after="120" w:line="276" w:lineRule="auto"/>
      </w:pPr>
      <w:r>
        <w:rPr>
          <w:rFonts w:ascii="Inter" w:hAnsi="Inter" w:cs="Inter"/>
          <w:b w:val="0"/>
          <w:i w:val="0"/>
          <w:color w:val="2D2D2D"/>
          <w:sz w:val="22"/>
        </w:rPr>
        <w:t>_______________________________________________________________________________</w:t>
      </w:r>
    </w:p>
    <w:p>
      <w:pPr>
        <w:spacing w:after="120" w:line="276" w:lineRule="auto"/>
      </w:pPr>
      <w:r>
        <w:rPr>
          <w:rFonts w:ascii="Inter" w:hAnsi="Inter" w:cs="Inter"/>
          <w:b w:val="0"/>
          <w:i w:val="0"/>
          <w:color w:val="2D2D2D"/>
          <w:sz w:val="22"/>
        </w:rPr>
      </w:r>
      <w:r>
        <w:rPr>
          <w:rFonts w:ascii="Inter" w:hAnsi="Inter" w:cs="Inter"/>
          <w:b/>
          <w:i w:val="0"/>
          <w:color w:val="2D2D2D"/>
          <w:sz w:val="22"/>
        </w:rPr>
        <w:t>MISSION STATEMENT</w:t>
      </w:r>
      <w:r>
        <w:rPr>
          <w:rFonts w:ascii="Inter" w:hAnsi="Inter" w:cs="Inter"/>
          <w:b w:val="0"/>
          <w:i w:val="0"/>
          <w:color w:val="2D2D2D"/>
          <w:sz w:val="22"/>
        </w:rPr>
      </w:r>
    </w:p>
    <w:p>
      <w:pPr>
        <w:spacing w:after="120" w:line="276" w:lineRule="auto"/>
      </w:pPr>
      <w:r>
        <w:rPr>
          <w:rFonts w:ascii="Inter" w:hAnsi="Inter" w:cs="Inter"/>
          <w:b w:val="0"/>
          <w:i w:val="0"/>
          <w:color w:val="2D2D2D"/>
          <w:sz w:val="22"/>
        </w:rPr>
        <w:t>*[Write your MOA's Mission statement here. 2-3 sentences. Present tense. Answers: what do we do, for whom, and how. Should be grounded in your legal mandate from Template 1.]*</w:t>
      </w:r>
    </w:p>
    <w:p>
      <w:pPr>
        <w:spacing w:after="120" w:line="276" w:lineRule="auto"/>
      </w:pPr>
      <w:r>
        <w:rPr>
          <w:rFonts w:ascii="Inter" w:hAnsi="Inter" w:cs="Inter"/>
          <w:b w:val="0"/>
          <w:i w:val="0"/>
          <w:color w:val="2D2D2D"/>
          <w:sz w:val="22"/>
        </w:rPr>
        <w:t>_______________________________________________________________________________</w:t>
      </w:r>
    </w:p>
    <w:p>
      <w:pPr>
        <w:spacing w:after="120" w:line="276" w:lineRule="auto"/>
      </w:pPr>
      <w:r>
        <w:rPr>
          <w:rFonts w:ascii="Inter" w:hAnsi="Inter" w:cs="Inter"/>
          <w:b w:val="0"/>
          <w:i w:val="0"/>
          <w:color w:val="2D2D2D"/>
          <w:sz w:val="22"/>
        </w:rPr>
        <w:t>_______________________________________________________________________________</w:t>
      </w:r>
    </w:p>
    <w:p>
      <w:pPr>
        <w:spacing w:after="120" w:line="276" w:lineRule="auto"/>
      </w:pPr>
      <w:r>
        <w:rPr>
          <w:rFonts w:ascii="Inter" w:hAnsi="Inter" w:cs="Inter"/>
          <w:b w:val="0"/>
          <w:i w:val="0"/>
          <w:color w:val="2D2D2D"/>
          <w:sz w:val="22"/>
        </w:rPr>
        <w:t>_______________________________________________________________________________</w:t>
      </w:r>
    </w:p>
    <w:p>
      <w:pPr>
        <w:spacing w:after="120" w:line="276" w:lineRule="auto"/>
      </w:pPr>
      <w:r>
        <w:rPr>
          <w:rFonts w:ascii="Inter" w:hAnsi="Inter" w:cs="Inter"/>
          <w:b w:val="0"/>
          <w:i w:val="0"/>
          <w:color w:val="2D2D2D"/>
          <w:sz w:val="22"/>
        </w:rPr>
      </w:r>
      <w:r>
        <w:rPr>
          <w:rFonts w:ascii="Inter" w:hAnsi="Inter" w:cs="Inter"/>
          <w:b/>
          <w:i w:val="0"/>
          <w:color w:val="2D2D2D"/>
          <w:sz w:val="22"/>
        </w:rPr>
        <w:t>CORE VALUES</w:t>
      </w:r>
      <w:r>
        <w:rPr>
          <w:rFonts w:ascii="Inter" w:hAnsi="Inter" w:cs="Inter"/>
          <w:b w:val="0"/>
          <w:i w:val="0"/>
          <w:color w:val="2D2D2D"/>
          <w:sz w:val="22"/>
        </w:rPr>
      </w:r>
    </w:p>
    <w:p>
      <w:pPr>
        <w:spacing w:after="120" w:line="276" w:lineRule="auto"/>
      </w:pPr>
      <w:r>
        <w:rPr>
          <w:rFonts w:ascii="Inter" w:hAnsi="Inter" w:cs="Inter"/>
          <w:b w:val="0"/>
          <w:i w:val="0"/>
          <w:color w:val="2D2D2D"/>
          <w:sz w:val="22"/>
        </w:rPr>
        <w:t>*[List 4-7 Core Values. For each: name, one-sentence description, and 2-3 behavioral indicators.]*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Value</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Behavioral Indicators</w:t>
            </w:r>
          </w:p>
        </w:tc>
      </w:tr>
    </w:tbl>
    <w:p/>
    <w:p>
      <w:pPr>
        <w:pStyle w:val="Heading3"/>
      </w:pPr>
      <w:r>
        <w:rPr>
          <w:rFonts w:ascii="Inter" w:hAnsi="Inter" w:cs="Inter"/>
          <w:b/>
          <w:i w:val="0"/>
          <w:color w:val="2C5F7C"/>
          <w:sz w:val="26"/>
        </w:rPr>
        <w:t>Template 6: Strategic Objectives Table (Part B)</w:t>
      </w:r>
    </w:p>
    <w:p>
      <w:pPr>
        <w:spacing w:after="120" w:line="276" w:lineRule="auto"/>
      </w:pPr>
      <w:r>
        <w:rPr>
          <w:rFonts w:ascii="Inter" w:hAnsi="Inter" w:cs="Inter"/>
          <w:b w:val="0"/>
          <w:i w:val="0"/>
          <w:color w:val="2D2D2D"/>
          <w:sz w:val="22"/>
        </w:rPr>
        <w:t>*Source: Chapter 6 (Point 5: Strategy Analysis --- Part B)*</w:t>
      </w:r>
    </w:p>
    <w:p>
      <w:pPr>
        <w:spacing w:after="120" w:line="276" w:lineRule="auto"/>
      </w:pPr>
      <w:r>
        <w:rPr>
          <w:rFonts w:ascii="Inter" w:hAnsi="Inter" w:cs="Inter"/>
          <w:b w:val="0"/>
          <w:i w:val="0"/>
          <w:color w:val="2D2D2D"/>
          <w:sz w:val="22"/>
        </w:rPr>
        <w:t>*Instructions: Complete one row per Strategic Objective. Aim for 3-7 objectives. Every objective must pass the full SMART test and link to at least one BDP Goal.*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w:t>
            </w:r>
          </w:p>
        </w:tc>
        <w:tc>
          <w:tcPr>
            <w:tcW w:type="dxa" w:w="1337"/>
            <w:shd w:fill="1B365D"/>
          </w:tcPr>
          <w:p>
            <w:r/>
            <w:r>
              <w:rPr>
                <w:rFonts w:ascii="Inter" w:hAnsi="Inter" w:cs="Inter"/>
                <w:b/>
                <w:i w:val="0"/>
                <w:color w:val="FFFFFF"/>
                <w:sz w:val="19"/>
              </w:rPr>
              <w:t>Strategic Objective</w:t>
            </w:r>
          </w:p>
        </w:tc>
        <w:tc>
          <w:tcPr>
            <w:tcW w:type="dxa" w:w="1337"/>
            <w:shd w:fill="1B365D"/>
          </w:tcPr>
          <w:p>
            <w:r/>
            <w:r>
              <w:rPr>
                <w:rFonts w:ascii="Inter" w:hAnsi="Inter" w:cs="Inter"/>
                <w:b/>
                <w:i w:val="0"/>
                <w:color w:val="FFFFFF"/>
                <w:sz w:val="19"/>
              </w:rPr>
              <w:t>BDP Goal</w:t>
            </w:r>
          </w:p>
        </w:tc>
        <w:tc>
          <w:tcPr>
            <w:tcW w:type="dxa" w:w="1337"/>
            <w:shd w:fill="1B365D"/>
          </w:tcPr>
          <w:p>
            <w:r/>
            <w:r>
              <w:rPr>
                <w:rFonts w:ascii="Inter" w:hAnsi="Inter" w:cs="Inter"/>
                <w:b/>
                <w:i w:val="0"/>
                <w:color w:val="FFFFFF"/>
                <w:sz w:val="19"/>
              </w:rPr>
              <w:t>Priority Agenda</w:t>
            </w:r>
          </w:p>
        </w:tc>
        <w:tc>
          <w:tcPr>
            <w:tcW w:type="dxa" w:w="1337"/>
            <w:shd w:fill="1B365D"/>
          </w:tcPr>
          <w:p>
            <w:r/>
            <w:r>
              <w:rPr>
                <w:rFonts w:ascii="Inter" w:hAnsi="Inter" w:cs="Inter"/>
                <w:b/>
                <w:i w:val="0"/>
                <w:color w:val="FFFFFF"/>
                <w:sz w:val="19"/>
              </w:rPr>
              <w:t>Baseline</w:t>
            </w:r>
          </w:p>
        </w:tc>
        <w:tc>
          <w:tcPr>
            <w:tcW w:type="dxa" w:w="1337"/>
            <w:shd w:fill="1B365D"/>
          </w:tcPr>
          <w:p>
            <w:r/>
            <w:r>
              <w:rPr>
                <w:rFonts w:ascii="Inter" w:hAnsi="Inter" w:cs="Inter"/>
                <w:b/>
                <w:i w:val="0"/>
                <w:color w:val="FFFFFF"/>
                <w:sz w:val="19"/>
              </w:rPr>
              <w:t>Target</w:t>
            </w:r>
          </w:p>
        </w:tc>
        <w:tc>
          <w:tcPr>
            <w:tcW w:type="dxa" w:w="1337"/>
            <w:shd w:fill="1B365D"/>
          </w:tcPr>
          <w:p>
            <w:r/>
            <w:r>
              <w:rPr>
                <w:rFonts w:ascii="Inter" w:hAnsi="Inter" w:cs="Inter"/>
                <w:b/>
                <w:i w:val="0"/>
                <w:color w:val="FFFFFF"/>
                <w:sz w:val="19"/>
              </w:rPr>
              <w:t>Timeline</w:t>
            </w:r>
          </w:p>
        </w:tc>
      </w:tr>
      <w:tr>
        <w:tc>
          <w:tcPr>
            <w:tcW w:type="dxa" w:w="1337"/>
          </w:tcPr>
          <w:p>
            <w:r/>
            <w:r>
              <w:rPr>
                <w:rFonts w:ascii="Inter" w:hAnsi="Inter" w:cs="Inter"/>
                <w:b w:val="0"/>
                <w:i w:val="0"/>
                <w:color w:val="2D2D2D"/>
                <w:sz w:val="19"/>
              </w:rPr>
              <w:t>SO-1</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shd w:fill="F0F3F6"/>
          </w:tcPr>
          <w:p>
            <w:r/>
            <w:r>
              <w:rPr>
                <w:rFonts w:ascii="Inter" w:hAnsi="Inter" w:cs="Inter"/>
                <w:b w:val="0"/>
                <w:i w:val="0"/>
                <w:color w:val="2D2D2D"/>
                <w:sz w:val="19"/>
              </w:rPr>
              <w:t>SO-2</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r>
              <w:rPr>
                <w:rFonts w:ascii="Inter" w:hAnsi="Inter" w:cs="Inter"/>
                <w:b w:val="0"/>
                <w:i w:val="0"/>
                <w:color w:val="2D2D2D"/>
                <w:sz w:val="19"/>
              </w:rPr>
              <w:t>SO-3</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shd w:fill="F0F3F6"/>
          </w:tcPr>
          <w:p>
            <w:r/>
            <w:r>
              <w:rPr>
                <w:rFonts w:ascii="Inter" w:hAnsi="Inter" w:cs="Inter"/>
                <w:b w:val="0"/>
                <w:i w:val="0"/>
                <w:color w:val="2D2D2D"/>
                <w:sz w:val="19"/>
              </w:rPr>
              <w:t>SO-4</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r>
              <w:rPr>
                <w:rFonts w:ascii="Inter" w:hAnsi="Inter" w:cs="Inter"/>
                <w:b w:val="0"/>
                <w:i w:val="0"/>
                <w:color w:val="2D2D2D"/>
                <w:sz w:val="19"/>
              </w:rPr>
              <w:t>SO-5</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shd w:fill="F0F3F6"/>
          </w:tcPr>
          <w:p>
            <w:r/>
            <w:r>
              <w:rPr>
                <w:rFonts w:ascii="Inter" w:hAnsi="Inter" w:cs="Inter"/>
                <w:b w:val="0"/>
                <w:i w:val="0"/>
                <w:color w:val="2D2D2D"/>
                <w:sz w:val="19"/>
              </w:rPr>
              <w:t>SO-6</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r>
              <w:rPr>
                <w:rFonts w:ascii="Inter" w:hAnsi="Inter" w:cs="Inter"/>
                <w:b w:val="0"/>
                <w:i w:val="0"/>
                <w:color w:val="2D2D2D"/>
                <w:sz w:val="19"/>
              </w:rPr>
              <w:t>SO-7</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
      <w:pPr>
        <w:spacing w:after="120" w:line="276" w:lineRule="auto"/>
      </w:pPr>
      <w:r>
        <w:rPr>
          <w:rFonts w:ascii="Inter" w:hAnsi="Inter" w:cs="Inter"/>
          <w:b w:val="0"/>
          <w:i w:val="0"/>
          <w:color w:val="2D2D2D"/>
          <w:sz w:val="22"/>
        </w:rPr>
        <w:t>*Notes: Strategic Objective --- state as an outcome, not an activity. Include baseline, target value, and key method. Baseline --- current verified value. Target --- specific number or threshold, not "improve" or "enhance." Timeline --- specific month and year.*</w:t>
      </w:r>
    </w:p>
    <w:p>
      <w:pPr>
        <w:pStyle w:val="Heading3"/>
      </w:pPr>
      <w:r>
        <w:rPr>
          <w:rFonts w:ascii="Inter" w:hAnsi="Inter" w:cs="Inter"/>
          <w:b/>
          <w:i w:val="0"/>
          <w:color w:val="2C5F7C"/>
          <w:sz w:val="26"/>
        </w:rPr>
        <w:t>Template 7: Theory of Change Diagram (Part A)</w:t>
      </w:r>
    </w:p>
    <w:p>
      <w:pPr>
        <w:spacing w:after="120" w:line="276" w:lineRule="auto"/>
      </w:pPr>
      <w:r>
        <w:rPr>
          <w:rFonts w:ascii="Inter" w:hAnsi="Inter" w:cs="Inter"/>
          <w:b w:val="0"/>
          <w:i w:val="0"/>
          <w:color w:val="2D2D2D"/>
          <w:sz w:val="22"/>
        </w:rPr>
        <w:t>*Source: Chapter 7 (Point 6: Theory of Change --- Part A)*</w:t>
      </w:r>
    </w:p>
    <w:p>
      <w:pPr>
        <w:spacing w:after="120" w:line="276" w:lineRule="auto"/>
      </w:pPr>
      <w:r>
        <w:rPr>
          <w:rFonts w:ascii="Inter" w:hAnsi="Inter" w:cs="Inter"/>
          <w:b w:val="0"/>
          <w:i w:val="0"/>
          <w:color w:val="2D2D2D"/>
          <w:sz w:val="22"/>
        </w:rPr>
        <w:t>*Instructions: Complete the table working from Impact (top) down to Inputs (bottom). For each level, state the result, the causal link, key assumptions, and risks.*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Level</w:t>
            </w:r>
          </w:p>
        </w:tc>
        <w:tc>
          <w:tcPr>
            <w:tcW w:type="dxa" w:w="1337"/>
            <w:shd w:fill="1B365D"/>
          </w:tcPr>
          <w:p>
            <w:r/>
            <w:r>
              <w:rPr>
                <w:rFonts w:ascii="Inter" w:hAnsi="Inter" w:cs="Inter"/>
                <w:b/>
                <w:i w:val="0"/>
                <w:color w:val="FFFFFF"/>
                <w:sz w:val="19"/>
              </w:rPr>
              <w:t>Code</w:t>
            </w:r>
          </w:p>
        </w:tc>
        <w:tc>
          <w:tcPr>
            <w:tcW w:type="dxa" w:w="1337"/>
            <w:shd w:fill="1B365D"/>
          </w:tcPr>
          <w:p>
            <w:r/>
            <w:r>
              <w:rPr>
                <w:rFonts w:ascii="Inter" w:hAnsi="Inter" w:cs="Inter"/>
                <w:b/>
                <w:i w:val="0"/>
                <w:color w:val="FFFFFF"/>
                <w:sz w:val="19"/>
              </w:rPr>
              <w:t>Result Statement</w:t>
            </w:r>
          </w:p>
        </w:tc>
        <w:tc>
          <w:tcPr>
            <w:tcW w:type="dxa" w:w="1337"/>
            <w:shd w:fill="1B365D"/>
          </w:tcPr>
          <w:p>
            <w:r/>
            <w:r>
              <w:rPr>
                <w:rFonts w:ascii="Inter" w:hAnsi="Inter" w:cs="Inter"/>
                <w:b/>
                <w:i w:val="0"/>
                <w:color w:val="FFFFFF"/>
                <w:sz w:val="19"/>
              </w:rPr>
              <w:t>Causal Link ("If...then...because")</w:t>
            </w:r>
          </w:p>
        </w:tc>
        <w:tc>
          <w:tcPr>
            <w:tcW w:type="dxa" w:w="1337"/>
            <w:shd w:fill="1B365D"/>
          </w:tcPr>
          <w:p>
            <w:r/>
            <w:r>
              <w:rPr>
                <w:rFonts w:ascii="Inter" w:hAnsi="Inter" w:cs="Inter"/>
                <w:b/>
                <w:i w:val="0"/>
                <w:color w:val="FFFFFF"/>
                <w:sz w:val="19"/>
              </w:rPr>
              <w:t>Key Assumptions</w:t>
            </w:r>
          </w:p>
        </w:tc>
        <w:tc>
          <w:tcPr>
            <w:tcW w:type="dxa" w:w="1337"/>
            <w:shd w:fill="1B365D"/>
          </w:tcPr>
          <w:p>
            <w:r/>
            <w:r>
              <w:rPr>
                <w:rFonts w:ascii="Inter" w:hAnsi="Inter" w:cs="Inter"/>
                <w:b/>
                <w:i w:val="0"/>
                <w:color w:val="FFFFFF"/>
                <w:sz w:val="19"/>
              </w:rPr>
              <w:t>Key Risks</w:t>
            </w:r>
          </w:p>
        </w:tc>
        <w:tc>
          <w:tcPr>
            <w:tcW w:type="dxa" w:w="1337"/>
            <w:shd w:fill="1B365D"/>
          </w:tcPr>
          <w:p>
            <w:r/>
            <w:r>
              <w:rPr>
                <w:rFonts w:ascii="Inter" w:hAnsi="Inter" w:cs="Inter"/>
                <w:b/>
                <w:i w:val="0"/>
                <w:color w:val="FFFFFF"/>
                <w:sz w:val="19"/>
              </w:rPr>
              <w:t>Risk Rating</w:t>
            </w:r>
          </w:p>
        </w:tc>
      </w:tr>
      <w:tr>
        <w:tc>
          <w:tcPr>
            <w:tcW w:type="dxa" w:w="1337"/>
          </w:tcPr>
          <w:p>
            <w:r/>
            <w:r>
              <w:rPr>
                <w:rFonts w:ascii="Inter" w:hAnsi="Inter" w:cs="Inter"/>
                <w:b w:val="0"/>
                <w:i w:val="0"/>
                <w:color w:val="2D2D2D"/>
                <w:sz w:val="19"/>
              </w:rPr>
              <w:t>**Impact**</w:t>
            </w:r>
          </w:p>
        </w:tc>
        <w:tc>
          <w:tcPr>
            <w:tcW w:type="dxa" w:w="1337"/>
          </w:tcPr>
          <w:p>
            <w:r/>
            <w:r>
              <w:rPr>
                <w:rFonts w:ascii="Inter" w:hAnsi="Inter" w:cs="Inter"/>
                <w:b w:val="0"/>
                <w:i w:val="0"/>
                <w:color w:val="2D2D2D"/>
                <w:sz w:val="19"/>
              </w:rPr>
              <w:t>IMP</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tc>
      </w:tr>
      <w:tr>
        <w:tc>
          <w:tcPr>
            <w:tcW w:type="dxa" w:w="1337"/>
            <w:shd w:fill="F0F3F6"/>
          </w:tcPr>
          <w:p>
            <w:r/>
            <w:r>
              <w:rPr>
                <w:rFonts w:ascii="Inter" w:hAnsi="Inter" w:cs="Inter"/>
                <w:b w:val="0"/>
                <w:i w:val="0"/>
                <w:color w:val="2D2D2D"/>
                <w:sz w:val="19"/>
              </w:rPr>
              <w:t>**Medium-Term Outcome**</w:t>
            </w:r>
          </w:p>
        </w:tc>
        <w:tc>
          <w:tcPr>
            <w:tcW w:type="dxa" w:w="1337"/>
            <w:shd w:fill="F0F3F6"/>
          </w:tcPr>
          <w:p>
            <w:r/>
            <w:r>
              <w:rPr>
                <w:rFonts w:ascii="Inter" w:hAnsi="Inter" w:cs="Inter"/>
                <w:b w:val="0"/>
                <w:i w:val="0"/>
                <w:color w:val="2D2D2D"/>
                <w:sz w:val="19"/>
              </w:rPr>
              <w:t>MT-O-1</w:t>
            </w: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r>
              <w:rPr>
                <w:rFonts w:ascii="Inter" w:hAnsi="Inter" w:cs="Inter"/>
                <w:b w:val="0"/>
                <w:i w:val="0"/>
                <w:color w:val="2D2D2D"/>
                <w:sz w:val="19"/>
              </w:rPr>
              <w:t>**Short-Term Outcome**</w:t>
            </w:r>
          </w:p>
        </w:tc>
        <w:tc>
          <w:tcPr>
            <w:tcW w:type="dxa" w:w="1337"/>
          </w:tcPr>
          <w:p>
            <w:r/>
            <w:r>
              <w:rPr>
                <w:rFonts w:ascii="Inter" w:hAnsi="Inter" w:cs="Inter"/>
                <w:b w:val="0"/>
                <w:i w:val="0"/>
                <w:color w:val="2D2D2D"/>
                <w:sz w:val="19"/>
              </w:rPr>
              <w:t>ST-O-1.1</w:t>
            </w:r>
          </w:p>
        </w:tc>
        <w:tc>
          <w:tcPr>
            <w:tcW w:type="dxa" w:w="1337"/>
          </w:tcPr>
          <w:p/>
        </w:tc>
        <w:tc>
          <w:tcPr>
            <w:tcW w:type="dxa" w:w="1337"/>
          </w:tcPr>
          <w:p/>
        </w:tc>
        <w:tc>
          <w:tcPr>
            <w:tcW w:type="dxa" w:w="1337"/>
          </w:tcPr>
          <w:p/>
        </w:tc>
        <w:tc>
          <w:tcPr>
            <w:tcW w:type="dxa" w:w="1337"/>
          </w:tcPr>
          <w:p/>
        </w:tc>
        <w:tc>
          <w:tcPr>
            <w:tcW w:type="dxa" w:w="1337"/>
          </w:tcPr>
          <w:p/>
        </w:tc>
      </w:tr>
      <w:tr>
        <w:tc>
          <w:tcPr>
            <w:tcW w:type="dxa" w:w="1337"/>
            <w:shd w:fill="F0F3F6"/>
          </w:tcPr>
          <w:p>
            <w:r/>
            <w:r>
              <w:rPr>
                <w:rFonts w:ascii="Inter" w:hAnsi="Inter" w:cs="Inter"/>
                <w:b w:val="0"/>
                <w:i w:val="0"/>
                <w:color w:val="2D2D2D"/>
                <w:sz w:val="19"/>
              </w:rPr>
              <w:t>**Output**</w:t>
            </w:r>
          </w:p>
        </w:tc>
        <w:tc>
          <w:tcPr>
            <w:tcW w:type="dxa" w:w="1337"/>
            <w:shd w:fill="F0F3F6"/>
          </w:tcPr>
          <w:p>
            <w:r/>
            <w:r>
              <w:rPr>
                <w:rFonts w:ascii="Inter" w:hAnsi="Inter" w:cs="Inter"/>
                <w:b w:val="0"/>
                <w:i w:val="0"/>
                <w:color w:val="2D2D2D"/>
                <w:sz w:val="19"/>
              </w:rPr>
              <w:t>OUT-1.1.1</w:t>
            </w: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r>
              <w:rPr>
                <w:rFonts w:ascii="Inter" w:hAnsi="Inter" w:cs="Inter"/>
                <w:b w:val="0"/>
                <w:i w:val="0"/>
                <w:color w:val="2D2D2D"/>
                <w:sz w:val="19"/>
              </w:rPr>
              <w:t>**Output**</w:t>
            </w:r>
          </w:p>
        </w:tc>
        <w:tc>
          <w:tcPr>
            <w:tcW w:type="dxa" w:w="1337"/>
          </w:tcPr>
          <w:p>
            <w:r/>
            <w:r>
              <w:rPr>
                <w:rFonts w:ascii="Inter" w:hAnsi="Inter" w:cs="Inter"/>
                <w:b w:val="0"/>
                <w:i w:val="0"/>
                <w:color w:val="2D2D2D"/>
                <w:sz w:val="19"/>
              </w:rPr>
              <w:t>OUT-1.1.2</w:t>
            </w:r>
          </w:p>
        </w:tc>
        <w:tc>
          <w:tcPr>
            <w:tcW w:type="dxa" w:w="1337"/>
          </w:tcPr>
          <w:p/>
        </w:tc>
        <w:tc>
          <w:tcPr>
            <w:tcW w:type="dxa" w:w="1337"/>
          </w:tcPr>
          <w:p/>
        </w:tc>
        <w:tc>
          <w:tcPr>
            <w:tcW w:type="dxa" w:w="1337"/>
          </w:tcPr>
          <w:p/>
        </w:tc>
        <w:tc>
          <w:tcPr>
            <w:tcW w:type="dxa" w:w="1337"/>
          </w:tcPr>
          <w:p/>
        </w:tc>
        <w:tc>
          <w:tcPr>
            <w:tcW w:type="dxa" w:w="1337"/>
          </w:tcPr>
          <w:p/>
        </w:tc>
      </w:tr>
      <w:tr>
        <w:tc>
          <w:tcPr>
            <w:tcW w:type="dxa" w:w="1337"/>
            <w:shd w:fill="F0F3F6"/>
          </w:tcPr>
          <w:p>
            <w:r/>
            <w:r>
              <w:rPr>
                <w:rFonts w:ascii="Inter" w:hAnsi="Inter" w:cs="Inter"/>
                <w:b w:val="0"/>
                <w:i w:val="0"/>
                <w:color w:val="2D2D2D"/>
                <w:sz w:val="19"/>
              </w:rPr>
              <w:t>**Activity**</w:t>
            </w:r>
          </w:p>
        </w:tc>
        <w:tc>
          <w:tcPr>
            <w:tcW w:type="dxa" w:w="1337"/>
            <w:shd w:fill="F0F3F6"/>
          </w:tcPr>
          <w:p>
            <w:r/>
            <w:r>
              <w:rPr>
                <w:rFonts w:ascii="Inter" w:hAnsi="Inter" w:cs="Inter"/>
                <w:b w:val="0"/>
                <w:i w:val="0"/>
                <w:color w:val="2D2D2D"/>
                <w:sz w:val="19"/>
              </w:rPr>
              <w:t>ACT-1.1.1a</w:t>
            </w:r>
          </w:p>
        </w:tc>
        <w:tc>
          <w:tcPr>
            <w:tcW w:type="dxa" w:w="1337"/>
          </w:tcPr>
          <w:p/>
        </w:tc>
        <w:tc>
          <w:tcPr>
            <w:tcW w:type="dxa" w:w="1337"/>
          </w:tcPr>
          <w:p/>
        </w:tc>
        <w:tc>
          <w:tcPr>
            <w:tcW w:type="dxa" w:w="1337"/>
          </w:tcPr>
          <w:p/>
        </w:tc>
        <w:tc>
          <w:tcPr>
            <w:tcW w:type="dxa" w:w="1337"/>
          </w:tcPr>
          <w:p/>
        </w:tc>
        <w:tc>
          <w:tcPr>
            <w:tcW w:type="dxa" w:w="1337"/>
          </w:tcPr>
          <w:p/>
        </w:tc>
      </w:tr>
      <w:tr>
        <w:tc>
          <w:tcPr>
            <w:tcW w:type="dxa" w:w="1337"/>
          </w:tcPr>
          <w:p>
            <w:r/>
            <w:r>
              <w:rPr>
                <w:rFonts w:ascii="Inter" w:hAnsi="Inter" w:cs="Inter"/>
                <w:b w:val="0"/>
                <w:i w:val="0"/>
                <w:color w:val="2D2D2D"/>
                <w:sz w:val="19"/>
              </w:rPr>
              <w:t>**Inputs**</w:t>
            </w:r>
          </w:p>
        </w:tc>
        <w:tc>
          <w:tcPr>
            <w:tcW w:type="dxa" w:w="1337"/>
          </w:tcPr>
          <w:p>
            <w:r/>
            <w:r>
              <w:rPr>
                <w:rFonts w:ascii="Inter" w:hAnsi="Inter" w:cs="Inter"/>
                <w:b w:val="0"/>
                <w:i w:val="0"/>
                <w:color w:val="2D2D2D"/>
                <w:sz w:val="19"/>
              </w:rPr>
              <w:t>INP-1.1</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tc>
      </w:tr>
    </w:tbl>
    <w:p/>
    <w:p>
      <w:pPr>
        <w:spacing w:after="120" w:line="276" w:lineRule="auto"/>
      </w:pPr>
      <w:r>
        <w:rPr>
          <w:rFonts w:ascii="Inter" w:hAnsi="Inter" w:cs="Inter"/>
          <w:b w:val="0"/>
          <w:i w:val="0"/>
          <w:color w:val="2D2D2D"/>
          <w:sz w:val="22"/>
        </w:rPr>
        <w:t>*Add additional rows for each result in your chain. Use consistent coding: MT-O for medium-term outcomes, ST-O for short-term outcomes, OUT for outputs, ACT for activities, INP for inputs.*</w:t>
      </w:r>
    </w:p>
    <w:p>
      <w:pPr>
        <w:pStyle w:val="Heading3"/>
      </w:pPr>
      <w:r>
        <w:rPr>
          <w:rFonts w:ascii="Inter" w:hAnsi="Inter" w:cs="Inter"/>
          <w:b/>
          <w:i w:val="0"/>
          <w:color w:val="2C5F7C"/>
          <w:sz w:val="26"/>
        </w:rPr>
        <w:t>Template 8: Theory of Change Narrative (Part B)</w:t>
      </w:r>
    </w:p>
    <w:p>
      <w:pPr>
        <w:spacing w:after="120" w:line="276" w:lineRule="auto"/>
      </w:pPr>
      <w:r>
        <w:rPr>
          <w:rFonts w:ascii="Inter" w:hAnsi="Inter" w:cs="Inter"/>
          <w:b w:val="0"/>
          <w:i w:val="0"/>
          <w:color w:val="2D2D2D"/>
          <w:sz w:val="22"/>
        </w:rPr>
        <w:t>*Source: Chapter 7 (Point 6: Theory of Change --- Part B)*</w:t>
      </w:r>
    </w:p>
    <w:p>
      <w:pPr>
        <w:spacing w:after="120" w:line="276" w:lineRule="auto"/>
      </w:pPr>
      <w:r>
        <w:rPr>
          <w:rFonts w:ascii="Inter" w:hAnsi="Inter" w:cs="Inter"/>
          <w:b w:val="0"/>
          <w:i w:val="0"/>
          <w:color w:val="2D2D2D"/>
          <w:sz w:val="22"/>
        </w:rPr>
        <w:t>*Instructions: Write a 1-2 page prose explanation using the structure below. Write in plain language a non-specialist can follow.*</w:t>
      </w:r>
    </w:p>
    <w:p>
      <w:pPr>
        <w:spacing w:after="120" w:line="276" w:lineRule="auto"/>
      </w:pPr>
      <w:r>
        <w:rPr>
          <w:rFonts w:ascii="Inter" w:hAnsi="Inter" w:cs="Inter"/>
          <w:b w:val="0"/>
          <w:i w:val="0"/>
          <w:color w:val="2D2D2D"/>
          <w:sz w:val="22"/>
        </w:rPr>
      </w:r>
      <w:r>
        <w:rPr>
          <w:rFonts w:ascii="Inter" w:hAnsi="Inter" w:cs="Inter"/>
          <w:b/>
          <w:i w:val="0"/>
          <w:color w:val="2D2D2D"/>
          <w:sz w:val="22"/>
        </w:rPr>
        <w:t>Section 1: The Change We Seek</w:t>
      </w:r>
      <w:r>
        <w:rPr>
          <w:rFonts w:ascii="Inter" w:hAnsi="Inter" w:cs="Inter"/>
          <w:b w:val="0"/>
          <w:i w:val="0"/>
          <w:color w:val="2D2D2D"/>
          <w:sz w:val="22"/>
        </w:rPr>
        <w:t xml:space="preserve"> (1-2 paragraphs)</w:t>
      </w:r>
    </w:p>
    <w:p>
      <w:pPr>
        <w:spacing w:after="120" w:line="276" w:lineRule="auto"/>
      </w:pPr>
      <w:r>
        <w:rPr>
          <w:rFonts w:ascii="Inter" w:hAnsi="Inter" w:cs="Inter"/>
          <w:b w:val="0"/>
          <w:i w:val="0"/>
          <w:color w:val="2D2D2D"/>
          <w:sz w:val="22"/>
        </w:rPr>
        <w:t>*[Describe your MOA's impact statement. Explain what long-term change your MOA contributes to and why it matters. Connect to BDP goal and Priority Agenda.]*</w:t>
      </w:r>
    </w:p>
    <w:p>
      <w:pPr>
        <w:spacing w:after="120" w:line="276" w:lineRule="auto"/>
      </w:pPr>
      <w:r>
        <w:rPr>
          <w:rFonts w:ascii="Inter" w:hAnsi="Inter" w:cs="Inter"/>
          <w:b w:val="0"/>
          <w:i w:val="0"/>
          <w:color w:val="2D2D2D"/>
          <w:sz w:val="22"/>
        </w:rPr>
      </w:r>
      <w:r>
        <w:rPr>
          <w:rFonts w:ascii="Inter" w:hAnsi="Inter" w:cs="Inter"/>
          <w:b/>
          <w:i w:val="0"/>
          <w:color w:val="2D2D2D"/>
          <w:sz w:val="22"/>
        </w:rPr>
        <w:t>Section 2: Our Pathway to Change</w:t>
      </w:r>
      <w:r>
        <w:rPr>
          <w:rFonts w:ascii="Inter" w:hAnsi="Inter" w:cs="Inter"/>
          <w:b w:val="0"/>
          <w:i w:val="0"/>
          <w:color w:val="2D2D2D"/>
          <w:sz w:val="22"/>
        </w:rPr>
        <w:t xml:space="preserve"> (3-5 paragraphs)</w:t>
      </w:r>
    </w:p>
    <w:p>
      <w:pPr>
        <w:spacing w:after="120" w:line="276" w:lineRule="auto"/>
      </w:pPr>
      <w:r>
        <w:rPr>
          <w:rFonts w:ascii="Inter" w:hAnsi="Inter" w:cs="Inter"/>
          <w:b w:val="0"/>
          <w:i w:val="0"/>
          <w:color w:val="2D2D2D"/>
          <w:sz w:val="22"/>
        </w:rPr>
        <w:t>*[Walk through the results chain from medium-term outcomes to outputs and activities. Use "if...then...because" language.]*</w:t>
      </w:r>
    </w:p>
    <w:p>
      <w:pPr>
        <w:spacing w:after="120" w:line="276" w:lineRule="auto"/>
      </w:pPr>
      <w:r>
        <w:rPr>
          <w:rFonts w:ascii="Inter" w:hAnsi="Inter" w:cs="Inter"/>
          <w:b w:val="0"/>
          <w:i w:val="0"/>
          <w:color w:val="2D2D2D"/>
          <w:sz w:val="22"/>
        </w:rPr>
      </w:r>
      <w:r>
        <w:rPr>
          <w:rFonts w:ascii="Inter" w:hAnsi="Inter" w:cs="Inter"/>
          <w:b/>
          <w:i w:val="0"/>
          <w:color w:val="2D2D2D"/>
          <w:sz w:val="22"/>
        </w:rPr>
        <w:t>Section 3: Critical Assumptions</w:t>
      </w:r>
      <w:r>
        <w:rPr>
          <w:rFonts w:ascii="Inter" w:hAnsi="Inter" w:cs="Inter"/>
          <w:b w:val="0"/>
          <w:i w:val="0"/>
          <w:color w:val="2D2D2D"/>
          <w:sz w:val="22"/>
        </w:rPr>
        <w:t xml:space="preserve"> (1-2 paragraphs)</w:t>
      </w:r>
    </w:p>
    <w:p>
      <w:pPr>
        <w:spacing w:after="120" w:line="276" w:lineRule="auto"/>
      </w:pPr>
      <w:r>
        <w:rPr>
          <w:rFonts w:ascii="Inter" w:hAnsi="Inter" w:cs="Inter"/>
          <w:b w:val="0"/>
          <w:i w:val="0"/>
          <w:color w:val="2D2D2D"/>
          <w:sz w:val="22"/>
        </w:rPr>
        <w:t>*[Identify the 2-3 most critical assumptions. Explain which your MOA can influence and which are external.]*</w:t>
      </w:r>
    </w:p>
    <w:p>
      <w:pPr>
        <w:spacing w:after="120" w:line="276" w:lineRule="auto"/>
      </w:pPr>
      <w:r>
        <w:rPr>
          <w:rFonts w:ascii="Inter" w:hAnsi="Inter" w:cs="Inter"/>
          <w:b w:val="0"/>
          <w:i w:val="0"/>
          <w:color w:val="2D2D2D"/>
          <w:sz w:val="22"/>
        </w:rPr>
      </w:r>
      <w:r>
        <w:rPr>
          <w:rFonts w:ascii="Inter" w:hAnsi="Inter" w:cs="Inter"/>
          <w:b/>
          <w:i w:val="0"/>
          <w:color w:val="2D2D2D"/>
          <w:sz w:val="22"/>
        </w:rPr>
        <w:t>Section 4: Key Risks and Our Response</w:t>
      </w:r>
      <w:r>
        <w:rPr>
          <w:rFonts w:ascii="Inter" w:hAnsi="Inter" w:cs="Inter"/>
          <w:b w:val="0"/>
          <w:i w:val="0"/>
          <w:color w:val="2D2D2D"/>
          <w:sz w:val="22"/>
        </w:rPr>
        <w:t xml:space="preserve"> (1-2 paragraphs)</w:t>
      </w:r>
    </w:p>
    <w:p>
      <w:pPr>
        <w:spacing w:after="120" w:line="276" w:lineRule="auto"/>
      </w:pPr>
      <w:r>
        <w:rPr>
          <w:rFonts w:ascii="Inter" w:hAnsi="Inter" w:cs="Inter"/>
          <w:b w:val="0"/>
          <w:i w:val="0"/>
          <w:color w:val="2D2D2D"/>
          <w:sz w:val="22"/>
        </w:rPr>
        <w:t>*[Describe significant risks and specific mitigation strategies.]*</w:t>
      </w:r>
    </w:p>
    <w:p>
      <w:pPr>
        <w:spacing w:after="120" w:line="276" w:lineRule="auto"/>
      </w:pPr>
      <w:r>
        <w:rPr>
          <w:rFonts w:ascii="Inter" w:hAnsi="Inter" w:cs="Inter"/>
          <w:b w:val="0"/>
          <w:i w:val="0"/>
          <w:color w:val="2D2D2D"/>
          <w:sz w:val="22"/>
        </w:rPr>
      </w:r>
      <w:r>
        <w:rPr>
          <w:rFonts w:ascii="Inter" w:hAnsi="Inter" w:cs="Inter"/>
          <w:b/>
          <w:i w:val="0"/>
          <w:color w:val="2D2D2D"/>
          <w:sz w:val="22"/>
        </w:rPr>
        <w:t>Section 5: Evidence Base</w:t>
      </w:r>
      <w:r>
        <w:rPr>
          <w:rFonts w:ascii="Inter" w:hAnsi="Inter" w:cs="Inter"/>
          <w:b w:val="0"/>
          <w:i w:val="0"/>
          <w:color w:val="2D2D2D"/>
          <w:sz w:val="22"/>
        </w:rPr>
        <w:t xml:space="preserve"> (1 paragraph, optional but recommended)</w:t>
      </w:r>
    </w:p>
    <w:p>
      <w:pPr>
        <w:spacing w:after="120" w:line="276" w:lineRule="auto"/>
      </w:pPr>
      <w:r>
        <w:rPr>
          <w:rFonts w:ascii="Inter" w:hAnsi="Inter" w:cs="Inter"/>
          <w:b w:val="0"/>
          <w:i w:val="0"/>
          <w:color w:val="2D2D2D"/>
          <w:sz w:val="22"/>
        </w:rPr>
        <w:t>*[Cite evidence supporting your causal logic.]*</w:t>
      </w:r>
    </w:p>
    <w:p>
      <w:pPr>
        <w:pStyle w:val="Heading3"/>
      </w:pPr>
      <w:r>
        <w:rPr>
          <w:rFonts w:ascii="Inter" w:hAnsi="Inter" w:cs="Inter"/>
          <w:b/>
          <w:i w:val="0"/>
          <w:color w:val="2C5F7C"/>
          <w:sz w:val="26"/>
        </w:rPr>
        <w:t>Template 9: PPA Register</w:t>
      </w:r>
    </w:p>
    <w:p>
      <w:pPr>
        <w:spacing w:after="120" w:line="276" w:lineRule="auto"/>
      </w:pPr>
      <w:r>
        <w:rPr>
          <w:rFonts w:ascii="Inter" w:hAnsi="Inter" w:cs="Inter"/>
          <w:b w:val="0"/>
          <w:i w:val="0"/>
          <w:color w:val="2D2D2D"/>
          <w:sz w:val="22"/>
        </w:rPr>
        <w:t>*Source: Chapter 8 (Point 7: Programs, Projects, and Activities)*</w:t>
      </w:r>
    </w:p>
    <w:p>
      <w:pPr>
        <w:spacing w:after="120" w:line="276" w:lineRule="auto"/>
      </w:pPr>
      <w:r>
        <w:rPr>
          <w:rFonts w:ascii="Inter" w:hAnsi="Inter" w:cs="Inter"/>
          <w:b w:val="0"/>
          <w:i w:val="0"/>
          <w:color w:val="2D2D2D"/>
          <w:sz w:val="22"/>
        </w:rPr>
        <w:t>*Instructions: Register every Program, Project, and Activity in your strategic plan. Each PPA gets a unique code. Link each to a strategic objective, BDP goal, and priority agenda point.*</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B365D"/>
          </w:tcPr>
          <w:p>
            <w:r/>
            <w:r>
              <w:rPr>
                <w:rFonts w:ascii="Inter" w:hAnsi="Inter" w:cs="Inter"/>
                <w:b/>
                <w:i w:val="0"/>
                <w:color w:val="FFFFFF"/>
                <w:sz w:val="19"/>
              </w:rPr>
              <w:t>PPA Code</w:t>
            </w:r>
          </w:p>
        </w:tc>
        <w:tc>
          <w:tcPr>
            <w:tcW w:type="dxa" w:w="851"/>
            <w:shd w:fill="1B365D"/>
          </w:tcPr>
          <w:p>
            <w:r/>
            <w:r>
              <w:rPr>
                <w:rFonts w:ascii="Inter" w:hAnsi="Inter" w:cs="Inter"/>
                <w:b/>
                <w:i w:val="0"/>
                <w:color w:val="FFFFFF"/>
                <w:sz w:val="19"/>
              </w:rPr>
              <w:t>PPA Name</w:t>
            </w:r>
          </w:p>
        </w:tc>
        <w:tc>
          <w:tcPr>
            <w:tcW w:type="dxa" w:w="851"/>
            <w:shd w:fill="1B365D"/>
          </w:tcPr>
          <w:p>
            <w:r/>
            <w:r>
              <w:rPr>
                <w:rFonts w:ascii="Inter" w:hAnsi="Inter" w:cs="Inter"/>
                <w:b/>
                <w:i w:val="0"/>
                <w:color w:val="FFFFFF"/>
                <w:sz w:val="19"/>
              </w:rPr>
              <w:t>Type (Program / Project / Activity)</w:t>
            </w:r>
          </w:p>
        </w:tc>
        <w:tc>
          <w:tcPr>
            <w:tcW w:type="dxa" w:w="851"/>
            <w:shd w:fill="1B365D"/>
          </w:tcPr>
          <w:p>
            <w:r/>
            <w:r>
              <w:rPr>
                <w:rFonts w:ascii="Inter" w:hAnsi="Inter" w:cs="Inter"/>
                <w:b/>
                <w:i w:val="0"/>
                <w:color w:val="FFFFFF"/>
                <w:sz w:val="19"/>
              </w:rPr>
              <w:t>Strategic Objective</w:t>
            </w:r>
          </w:p>
        </w:tc>
        <w:tc>
          <w:tcPr>
            <w:tcW w:type="dxa" w:w="851"/>
            <w:shd w:fill="1B365D"/>
          </w:tcPr>
          <w:p>
            <w:r/>
            <w:r>
              <w:rPr>
                <w:rFonts w:ascii="Inter" w:hAnsi="Inter" w:cs="Inter"/>
                <w:b/>
                <w:i w:val="0"/>
                <w:color w:val="FFFFFF"/>
                <w:sz w:val="19"/>
              </w:rPr>
              <w:t>BDP Goal</w:t>
            </w:r>
          </w:p>
        </w:tc>
        <w:tc>
          <w:tcPr>
            <w:tcW w:type="dxa" w:w="851"/>
            <w:shd w:fill="1B365D"/>
          </w:tcPr>
          <w:p>
            <w:r/>
            <w:r>
              <w:rPr>
                <w:rFonts w:ascii="Inter" w:hAnsi="Inter" w:cs="Inter"/>
                <w:b/>
                <w:i w:val="0"/>
                <w:color w:val="FFFFFF"/>
                <w:sz w:val="19"/>
              </w:rPr>
              <w:t>Priority Agenda</w:t>
            </w:r>
          </w:p>
        </w:tc>
        <w:tc>
          <w:tcPr>
            <w:tcW w:type="dxa" w:w="851"/>
            <w:shd w:fill="1B365D"/>
          </w:tcPr>
          <w:p>
            <w:r/>
            <w:r>
              <w:rPr>
                <w:rFonts w:ascii="Inter" w:hAnsi="Inter" w:cs="Inter"/>
                <w:b/>
                <w:i w:val="0"/>
                <w:color w:val="FFFFFF"/>
                <w:sz w:val="19"/>
              </w:rPr>
              <w:t>Description</w:t>
            </w:r>
          </w:p>
        </w:tc>
        <w:tc>
          <w:tcPr>
            <w:tcW w:type="dxa" w:w="851"/>
            <w:shd w:fill="1B365D"/>
          </w:tcPr>
          <w:p>
            <w:r/>
            <w:r>
              <w:rPr>
                <w:rFonts w:ascii="Inter" w:hAnsi="Inter" w:cs="Inter"/>
                <w:b/>
                <w:i w:val="0"/>
                <w:color w:val="FFFFFF"/>
                <w:sz w:val="19"/>
              </w:rPr>
              <w:t>Target Output</w:t>
            </w:r>
          </w:p>
        </w:tc>
        <w:tc>
          <w:tcPr>
            <w:tcW w:type="dxa" w:w="851"/>
            <w:shd w:fill="1B365D"/>
          </w:tcPr>
          <w:p>
            <w:r/>
            <w:r>
              <w:rPr>
                <w:rFonts w:ascii="Inter" w:hAnsi="Inter" w:cs="Inter"/>
                <w:b/>
                <w:i w:val="0"/>
                <w:color w:val="FFFFFF"/>
                <w:sz w:val="19"/>
              </w:rPr>
              <w:t>Timeline</w:t>
            </w:r>
          </w:p>
        </w:tc>
        <w:tc>
          <w:tcPr>
            <w:tcW w:type="dxa" w:w="851"/>
            <w:shd w:fill="1B365D"/>
          </w:tcPr>
          <w:p>
            <w:r/>
            <w:r>
              <w:rPr>
                <w:rFonts w:ascii="Inter" w:hAnsi="Inter" w:cs="Inter"/>
                <w:b/>
                <w:i w:val="0"/>
                <w:color w:val="FFFFFF"/>
                <w:sz w:val="19"/>
              </w:rPr>
              <w:t>Responsible Unit</w:t>
            </w:r>
          </w:p>
        </w:tc>
        <w:tc>
          <w:tcPr>
            <w:tcW w:type="dxa" w:w="851"/>
            <w:shd w:fill="1B365D"/>
          </w:tcPr>
          <w:p>
            <w:r/>
            <w:r>
              <w:rPr>
                <w:rFonts w:ascii="Inter" w:hAnsi="Inter" w:cs="Inter"/>
                <w:b/>
                <w:i w:val="0"/>
                <w:color w:val="FFFFFF"/>
                <w:sz w:val="19"/>
              </w:rPr>
              <w:t>Estimated Cost (3-Year)</w:t>
            </w:r>
          </w:p>
        </w:tc>
      </w:tr>
    </w:tbl>
    <w:p/>
    <w:p>
      <w:pPr>
        <w:pStyle w:val="Heading3"/>
      </w:pPr>
      <w:r>
        <w:rPr>
          <w:rFonts w:ascii="Inter" w:hAnsi="Inter" w:cs="Inter"/>
          <w:b/>
          <w:i w:val="0"/>
          <w:color w:val="2C5F7C"/>
          <w:sz w:val="26"/>
        </w:rPr>
        <w:t>Template 10: Resource Requirements Matrix</w:t>
      </w:r>
    </w:p>
    <w:p>
      <w:pPr>
        <w:spacing w:after="120" w:line="276" w:lineRule="auto"/>
      </w:pPr>
      <w:r>
        <w:rPr>
          <w:rFonts w:ascii="Inter" w:hAnsi="Inter" w:cs="Inter"/>
          <w:b w:val="0"/>
          <w:i w:val="0"/>
          <w:color w:val="2D2D2D"/>
          <w:sz w:val="22"/>
        </w:rPr>
        <w:t>*Source: Chapter 9 (Point 8: Resource Planning)*</w:t>
      </w:r>
    </w:p>
    <w:p>
      <w:pPr>
        <w:spacing w:after="120" w:line="276" w:lineRule="auto"/>
      </w:pPr>
      <w:r>
        <w:rPr>
          <w:rFonts w:ascii="Inter" w:hAnsi="Inter" w:cs="Inter"/>
          <w:b w:val="0"/>
          <w:i w:val="0"/>
          <w:color w:val="2D2D2D"/>
          <w:sz w:val="22"/>
        </w:rPr>
        <w:t>*Instructions: For each PPA, detail the human resources, physical resources, and financial requirements across the plan period. Identify gaps between requirements and availability.*</w:t>
      </w:r>
    </w:p>
    <w:p>
      <w:pPr>
        <w:spacing w:after="120" w:line="276" w:lineRule="auto"/>
      </w:pPr>
      <w:r>
        <w:rPr>
          <w:rFonts w:ascii="Inter" w:hAnsi="Inter" w:cs="Inter"/>
          <w:b w:val="0"/>
          <w:i w:val="0"/>
          <w:color w:val="2D2D2D"/>
          <w:sz w:val="22"/>
        </w:rPr>
      </w:r>
      <w:r>
        <w:rPr>
          <w:rFonts w:ascii="Inter" w:hAnsi="Inter" w:cs="Inter"/>
          <w:b/>
          <w:i w:val="0"/>
          <w:color w:val="2D2D2D"/>
          <w:sz w:val="22"/>
        </w:rPr>
        <w:t>A. Human Resource Requirements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PPA Code</w:t>
            </w:r>
          </w:p>
        </w:tc>
        <w:tc>
          <w:tcPr>
            <w:tcW w:type="dxa" w:w="936"/>
            <w:shd w:fill="1B365D"/>
          </w:tcPr>
          <w:p>
            <w:r/>
            <w:r>
              <w:rPr>
                <w:rFonts w:ascii="Inter" w:hAnsi="Inter" w:cs="Inter"/>
                <w:b/>
                <w:i w:val="0"/>
                <w:color w:val="FFFFFF"/>
                <w:sz w:val="19"/>
              </w:rPr>
              <w:t>Position</w:t>
            </w:r>
          </w:p>
        </w:tc>
        <w:tc>
          <w:tcPr>
            <w:tcW w:type="dxa" w:w="936"/>
            <w:shd w:fill="1B365D"/>
          </w:tcPr>
          <w:p>
            <w:r/>
            <w:r>
              <w:rPr>
                <w:rFonts w:ascii="Inter" w:hAnsi="Inter" w:cs="Inter"/>
                <w:b/>
                <w:i w:val="0"/>
                <w:color w:val="FFFFFF"/>
                <w:sz w:val="19"/>
              </w:rPr>
              <w:t>Salary Grade</w:t>
            </w:r>
          </w:p>
        </w:tc>
        <w:tc>
          <w:tcPr>
            <w:tcW w:type="dxa" w:w="936"/>
            <w:shd w:fill="1B365D"/>
          </w:tcPr>
          <w:p>
            <w:r/>
            <w:r>
              <w:rPr>
                <w:rFonts w:ascii="Inter" w:hAnsi="Inter" w:cs="Inter"/>
                <w:b/>
                <w:i w:val="0"/>
                <w:color w:val="FFFFFF"/>
                <w:sz w:val="19"/>
              </w:rPr>
              <w:t>Required</w:t>
            </w:r>
          </w:p>
        </w:tc>
        <w:tc>
          <w:tcPr>
            <w:tcW w:type="dxa" w:w="936"/>
            <w:shd w:fill="1B365D"/>
          </w:tcPr>
          <w:p>
            <w:r/>
            <w:r>
              <w:rPr>
                <w:rFonts w:ascii="Inter" w:hAnsi="Inter" w:cs="Inter"/>
                <w:b/>
                <w:i w:val="0"/>
                <w:color w:val="FFFFFF"/>
                <w:sz w:val="19"/>
              </w:rPr>
              <w:t>Authorized in Plantilla</w:t>
            </w:r>
          </w:p>
        </w:tc>
        <w:tc>
          <w:tcPr>
            <w:tcW w:type="dxa" w:w="936"/>
            <w:shd w:fill="1B365D"/>
          </w:tcPr>
          <w:p>
            <w:r/>
            <w:r>
              <w:rPr>
                <w:rFonts w:ascii="Inter" w:hAnsi="Inter" w:cs="Inter"/>
                <w:b/>
                <w:i w:val="0"/>
                <w:color w:val="FFFFFF"/>
                <w:sz w:val="19"/>
              </w:rPr>
              <w:t>Filled</w:t>
            </w:r>
          </w:p>
        </w:tc>
        <w:tc>
          <w:tcPr>
            <w:tcW w:type="dxa" w:w="936"/>
            <w:shd w:fill="1B365D"/>
          </w:tcPr>
          <w:p>
            <w:r/>
            <w:r>
              <w:rPr>
                <w:rFonts w:ascii="Inter" w:hAnsi="Inter" w:cs="Inter"/>
                <w:b/>
                <w:i w:val="0"/>
                <w:color w:val="FFFFFF"/>
                <w:sz w:val="19"/>
              </w:rPr>
              <w:t>Structural Gap</w:t>
            </w:r>
          </w:p>
        </w:tc>
        <w:tc>
          <w:tcPr>
            <w:tcW w:type="dxa" w:w="936"/>
            <w:shd w:fill="1B365D"/>
          </w:tcPr>
          <w:p>
            <w:r/>
            <w:r>
              <w:rPr>
                <w:rFonts w:ascii="Inter" w:hAnsi="Inter" w:cs="Inter"/>
                <w:b/>
                <w:i w:val="0"/>
                <w:color w:val="FFFFFF"/>
                <w:sz w:val="19"/>
              </w:rPr>
              <w:t>Vacancy Gap</w:t>
            </w:r>
          </w:p>
        </w:tc>
        <w:tc>
          <w:tcPr>
            <w:tcW w:type="dxa" w:w="936"/>
            <w:shd w:fill="1B365D"/>
          </w:tcPr>
          <w:p>
            <w:r/>
            <w:r>
              <w:rPr>
                <w:rFonts w:ascii="Inter" w:hAnsi="Inter" w:cs="Inter"/>
                <w:b/>
                <w:i w:val="0"/>
                <w:color w:val="FFFFFF"/>
                <w:sz w:val="19"/>
              </w:rPr>
              <w:t>Competency Gap</w:t>
            </w:r>
          </w:p>
        </w:tc>
        <w:tc>
          <w:tcPr>
            <w:tcW w:type="dxa" w:w="936"/>
            <w:shd w:fill="1B365D"/>
          </w:tcPr>
          <w:p>
            <w:r/>
            <w:r>
              <w:rPr>
                <w:rFonts w:ascii="Inter" w:hAnsi="Inter" w:cs="Inter"/>
                <w:b/>
                <w:i w:val="0"/>
                <w:color w:val="FFFFFF"/>
                <w:sz w:val="19"/>
              </w:rPr>
              <w:t>Mitigation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B. Physical Resource Requirements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Pr>
          <w:p>
            <w:r/>
            <w:r>
              <w:rPr>
                <w:rFonts w:ascii="Inter" w:hAnsi="Inter" w:cs="Inter"/>
                <w:b/>
                <w:i w:val="0"/>
                <w:color w:val="FFFFFF"/>
                <w:sz w:val="19"/>
              </w:rPr>
              <w:t>PPA Code</w:t>
            </w:r>
          </w:p>
        </w:tc>
        <w:tc>
          <w:tcPr>
            <w:tcW w:type="dxa" w:w="1170"/>
            <w:shd w:fill="1B365D"/>
          </w:tcPr>
          <w:p>
            <w:r/>
            <w:r>
              <w:rPr>
                <w:rFonts w:ascii="Inter" w:hAnsi="Inter" w:cs="Inter"/>
                <w:b/>
                <w:i w:val="0"/>
                <w:color w:val="FFFFFF"/>
                <w:sz w:val="19"/>
              </w:rPr>
              <w:t>Resource</w:t>
            </w:r>
          </w:p>
        </w:tc>
        <w:tc>
          <w:tcPr>
            <w:tcW w:type="dxa" w:w="1170"/>
            <w:shd w:fill="1B365D"/>
          </w:tcPr>
          <w:p>
            <w:r/>
            <w:r>
              <w:rPr>
                <w:rFonts w:ascii="Inter" w:hAnsi="Inter" w:cs="Inter"/>
                <w:b/>
                <w:i w:val="0"/>
                <w:color w:val="FFFFFF"/>
                <w:sz w:val="19"/>
              </w:rPr>
              <w:t>Required</w:t>
            </w:r>
          </w:p>
        </w:tc>
        <w:tc>
          <w:tcPr>
            <w:tcW w:type="dxa" w:w="1170"/>
            <w:shd w:fill="1B365D"/>
          </w:tcPr>
          <w:p>
            <w:r/>
            <w:r>
              <w:rPr>
                <w:rFonts w:ascii="Inter" w:hAnsi="Inter" w:cs="Inter"/>
                <w:b/>
                <w:i w:val="0"/>
                <w:color w:val="FFFFFF"/>
                <w:sz w:val="19"/>
              </w:rPr>
              <w:t>Available</w:t>
            </w:r>
          </w:p>
        </w:tc>
        <w:tc>
          <w:tcPr>
            <w:tcW w:type="dxa" w:w="1170"/>
            <w:shd w:fill="1B365D"/>
          </w:tcPr>
          <w:p>
            <w:r/>
            <w:r>
              <w:rPr>
                <w:rFonts w:ascii="Inter" w:hAnsi="Inter" w:cs="Inter"/>
                <w:b/>
                <w:i w:val="0"/>
                <w:color w:val="FFFFFF"/>
                <w:sz w:val="19"/>
              </w:rPr>
              <w:t>Gap</w:t>
            </w:r>
          </w:p>
        </w:tc>
        <w:tc>
          <w:tcPr>
            <w:tcW w:type="dxa" w:w="1170"/>
            <w:shd w:fill="1B365D"/>
          </w:tcPr>
          <w:p>
            <w:r/>
            <w:r>
              <w:rPr>
                <w:rFonts w:ascii="Inter" w:hAnsi="Inter" w:cs="Inter"/>
                <w:b/>
                <w:i w:val="0"/>
                <w:color w:val="FFFFFF"/>
                <w:sz w:val="19"/>
              </w:rPr>
              <w:t>Unit Cost</w:t>
            </w:r>
          </w:p>
        </w:tc>
        <w:tc>
          <w:tcPr>
            <w:tcW w:type="dxa" w:w="1170"/>
            <w:shd w:fill="1B365D"/>
          </w:tcPr>
          <w:p>
            <w:r/>
            <w:r>
              <w:rPr>
                <w:rFonts w:ascii="Inter" w:hAnsi="Inter" w:cs="Inter"/>
                <w:b/>
                <w:i w:val="0"/>
                <w:color w:val="FFFFFF"/>
                <w:sz w:val="19"/>
              </w:rPr>
              <w:t>Total Cost</w:t>
            </w:r>
          </w:p>
        </w:tc>
        <w:tc>
          <w:tcPr>
            <w:tcW w:type="dxa" w:w="1170"/>
            <w:shd w:fill="1B365D"/>
          </w:tcPr>
          <w:p>
            <w:r/>
            <w:r>
              <w:rPr>
                <w:rFonts w:ascii="Inter" w:hAnsi="Inter" w:cs="Inter"/>
                <w:b/>
                <w:i w:val="0"/>
                <w:color w:val="FFFFFF"/>
                <w:sz w:val="19"/>
              </w:rPr>
              <w:t>Expense Class (MOOE/CO)</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 Cost Summary</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PPA Code</w:t>
            </w:r>
          </w:p>
        </w:tc>
        <w:tc>
          <w:tcPr>
            <w:tcW w:type="dxa" w:w="1560"/>
            <w:shd w:fill="1B365D"/>
          </w:tcPr>
          <w:p>
            <w:r/>
            <w:r>
              <w:rPr>
                <w:rFonts w:ascii="Inter" w:hAnsi="Inter" w:cs="Inter"/>
                <w:b/>
                <w:i w:val="0"/>
                <w:color w:val="FFFFFF"/>
                <w:sz w:val="19"/>
              </w:rPr>
              <w:t>Resource Category</w:t>
            </w:r>
          </w:p>
        </w:tc>
        <w:tc>
          <w:tcPr>
            <w:tcW w:type="dxa" w:w="1560"/>
            <w:shd w:fill="1B365D"/>
          </w:tcPr>
          <w:p>
            <w:r/>
            <w:r>
              <w:rPr>
                <w:rFonts w:ascii="Inter" w:hAnsi="Inter" w:cs="Inter"/>
                <w:b/>
                <w:i w:val="0"/>
                <w:color w:val="FFFFFF"/>
                <w:sz w:val="19"/>
              </w:rPr>
              <w:t>Year 1</w:t>
            </w:r>
          </w:p>
        </w:tc>
        <w:tc>
          <w:tcPr>
            <w:tcW w:type="dxa" w:w="1560"/>
            <w:shd w:fill="1B365D"/>
          </w:tcPr>
          <w:p>
            <w:r/>
            <w:r>
              <w:rPr>
                <w:rFonts w:ascii="Inter" w:hAnsi="Inter" w:cs="Inter"/>
                <w:b/>
                <w:i w:val="0"/>
                <w:color w:val="FFFFFF"/>
                <w:sz w:val="19"/>
              </w:rPr>
              <w:t>Year 2</w:t>
            </w:r>
          </w:p>
        </w:tc>
        <w:tc>
          <w:tcPr>
            <w:tcW w:type="dxa" w:w="1560"/>
            <w:shd w:fill="1B365D"/>
          </w:tcPr>
          <w:p>
            <w:r/>
            <w:r>
              <w:rPr>
                <w:rFonts w:ascii="Inter" w:hAnsi="Inter" w:cs="Inter"/>
                <w:b/>
                <w:i w:val="0"/>
                <w:color w:val="FFFFFF"/>
                <w:sz w:val="19"/>
              </w:rPr>
              <w:t>Year 3</w:t>
            </w:r>
          </w:p>
        </w:tc>
        <w:tc>
          <w:tcPr>
            <w:tcW w:type="dxa" w:w="1560"/>
            <w:shd w:fill="1B365D"/>
          </w:tcPr>
          <w:p>
            <w:r/>
            <w:r>
              <w:rPr>
                <w:rFonts w:ascii="Inter" w:hAnsi="Inter" w:cs="Inter"/>
                <w:b/>
                <w:i w:val="0"/>
                <w:color w:val="FFFFFF"/>
                <w:sz w:val="19"/>
              </w:rPr>
              <w:t>Total</w:t>
            </w:r>
          </w:p>
        </w:tc>
      </w:tr>
      <w:tr>
        <w:tc>
          <w:tcPr>
            <w:tcW w:type="dxa" w:w="1560"/>
          </w:tcPr>
          <w:p>
            <w:r/>
            <w:r>
              <w:rPr>
                <w:rFonts w:ascii="Inter" w:hAnsi="Inter" w:cs="Inter"/>
                <w:b w:val="0"/>
                <w:i w:val="0"/>
                <w:color w:val="2D2D2D"/>
                <w:sz w:val="19"/>
              </w:rPr>
              <w:t>Personnel Services</w:t>
            </w:r>
          </w:p>
        </w:tc>
        <w:tc>
          <w:tcPr>
            <w:tcW w:type="dxa" w:w="1560"/>
          </w:tcP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MOOE</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Capital Outlays</w:t>
            </w:r>
          </w:p>
        </w:tc>
        <w:tc>
          <w:tcPr>
            <w:tcW w:type="dxa" w:w="1560"/>
          </w:tcP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**Subtotal (MOA Appropriation)**</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r/>
            <w:r>
              <w:rPr>
                <w:rFonts w:ascii="Inter" w:hAnsi="Inter" w:cs="Inter"/>
                <w:b w:val="0"/>
                <w:i w:val="0"/>
                <w:color w:val="2D2D2D"/>
                <w:sz w:val="19"/>
              </w:rPr>
              <w:t>External (Development Partners)</w:t>
            </w:r>
          </w:p>
        </w:tc>
        <w:tc>
          <w:tcPr>
            <w:tcW w:type="dxa" w:w="1560"/>
          </w:tcPr>
          <w:p/>
        </w:tc>
        <w:tc>
          <w:tcPr>
            <w:tcW w:type="dxa" w:w="1560"/>
          </w:tcPr>
          <w:p/>
        </w:tc>
        <w:tc>
          <w:tcPr>
            <w:tcW w:type="dxa" w:w="1560"/>
          </w:tcPr>
          <w:p/>
        </w:tc>
        <w:tc>
          <w:tcPr>
            <w:tcW w:type="dxa" w:w="1560"/>
          </w:tcPr>
          <w:p/>
        </w:tc>
        <w:tc>
          <w:tcPr>
            <w:tcW w:type="dxa" w:w="1560"/>
          </w:tcPr>
          <w:p/>
        </w:tc>
      </w:tr>
      <w:tr>
        <w:tc>
          <w:tcPr>
            <w:tcW w:type="dxa" w:w="1560"/>
            <w:shd w:fill="F0F3F6"/>
          </w:tcPr>
          <w:p>
            <w:r/>
            <w:r>
              <w:rPr>
                <w:rFonts w:ascii="Inter" w:hAnsi="Inter" w:cs="Inter"/>
                <w:b w:val="0"/>
                <w:i w:val="0"/>
                <w:color w:val="2D2D2D"/>
                <w:sz w:val="19"/>
              </w:rPr>
              <w:t>**Total Program Resources**</w:t>
            </w:r>
          </w:p>
        </w:tc>
        <w:tc>
          <w:tcPr>
            <w:tcW w:type="dxa" w:w="1560"/>
          </w:tcPr>
          <w:p/>
        </w:tc>
        <w:tc>
          <w:tcPr>
            <w:tcW w:type="dxa" w:w="1560"/>
          </w:tcPr>
          <w:p/>
        </w:tc>
        <w:tc>
          <w:tcPr>
            <w:tcW w:type="dxa" w:w="1560"/>
          </w:tcPr>
          <w:p/>
        </w:tc>
        <w:tc>
          <w:tcPr>
            <w:tcW w:type="dxa" w:w="1560"/>
          </w:tcPr>
          <w:p/>
        </w:tc>
        <w:tc>
          <w:tcPr>
            <w:tcW w:type="dxa" w:w="1560"/>
          </w:tcPr>
          <w:p/>
        </w:tc>
      </w:tr>
    </w:tbl>
    <w:p/>
    <w:p>
      <w:pPr>
        <w:pStyle w:val="Heading3"/>
      </w:pPr>
      <w:r>
        <w:rPr>
          <w:rFonts w:ascii="Inter" w:hAnsi="Inter" w:cs="Inter"/>
          <w:b/>
          <w:i w:val="0"/>
          <w:color w:val="2C5F7C"/>
          <w:sz w:val="26"/>
        </w:rPr>
        <w:t>Template 11: Annual Work Plan (AWP)</w:t>
      </w:r>
    </w:p>
    <w:p>
      <w:pPr>
        <w:spacing w:after="120" w:line="276" w:lineRule="auto"/>
      </w:pPr>
      <w:r>
        <w:rPr>
          <w:rFonts w:ascii="Inter" w:hAnsi="Inter" w:cs="Inter"/>
          <w:b w:val="0"/>
          <w:i w:val="0"/>
          <w:color w:val="2D2D2D"/>
          <w:sz w:val="22"/>
        </w:rPr>
        <w:t>*Source: Chapter 10 (Point 9: Annual Plan --- Part A)*</w:t>
      </w:r>
    </w:p>
    <w:p>
      <w:pPr>
        <w:spacing w:after="120" w:line="276" w:lineRule="auto"/>
      </w:pPr>
      <w:r>
        <w:rPr>
          <w:rFonts w:ascii="Inter" w:hAnsi="Inter" w:cs="Inter"/>
          <w:b w:val="0"/>
          <w:i w:val="0"/>
          <w:color w:val="2D2D2D"/>
          <w:sz w:val="22"/>
        </w:rPr>
        <w:t>*Instructions: For each PPA in the current fiscal year, set quarterly targets, milestones, and assign responsibility. This is Year 1 of your strategic plan.*</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PPA Code</w:t>
            </w:r>
          </w:p>
        </w:tc>
        <w:tc>
          <w:tcPr>
            <w:tcW w:type="dxa" w:w="936"/>
            <w:shd w:fill="1B365D"/>
          </w:tcPr>
          <w:p>
            <w:r/>
            <w:r>
              <w:rPr>
                <w:rFonts w:ascii="Inter" w:hAnsi="Inter" w:cs="Inter"/>
                <w:b/>
                <w:i w:val="0"/>
                <w:color w:val="FFFFFF"/>
                <w:sz w:val="19"/>
              </w:rPr>
              <w:t>PPA Name</w:t>
            </w:r>
          </w:p>
        </w:tc>
        <w:tc>
          <w:tcPr>
            <w:tcW w:type="dxa" w:w="936"/>
            <w:shd w:fill="1B365D"/>
          </w:tcPr>
          <w:p>
            <w:r/>
            <w:r>
              <w:rPr>
                <w:rFonts w:ascii="Inter" w:hAnsi="Inter" w:cs="Inter"/>
                <w:b/>
                <w:i w:val="0"/>
                <w:color w:val="FFFFFF"/>
                <w:sz w:val="19"/>
              </w:rPr>
              <w:t>Annual Target</w:t>
            </w:r>
          </w:p>
        </w:tc>
        <w:tc>
          <w:tcPr>
            <w:tcW w:type="dxa" w:w="936"/>
            <w:shd w:fill="1B365D"/>
          </w:tcPr>
          <w:p>
            <w:r/>
            <w:r>
              <w:rPr>
                <w:rFonts w:ascii="Inter" w:hAnsi="Inter" w:cs="Inter"/>
                <w:b/>
                <w:i w:val="0"/>
                <w:color w:val="FFFFFF"/>
                <w:sz w:val="19"/>
              </w:rPr>
              <w:t>Q1 Target</w:t>
            </w:r>
          </w:p>
        </w:tc>
        <w:tc>
          <w:tcPr>
            <w:tcW w:type="dxa" w:w="936"/>
            <w:shd w:fill="1B365D"/>
          </w:tcPr>
          <w:p>
            <w:r/>
            <w:r>
              <w:rPr>
                <w:rFonts w:ascii="Inter" w:hAnsi="Inter" w:cs="Inter"/>
                <w:b/>
                <w:i w:val="0"/>
                <w:color w:val="FFFFFF"/>
                <w:sz w:val="19"/>
              </w:rPr>
              <w:t>Q2 Target</w:t>
            </w:r>
          </w:p>
        </w:tc>
        <w:tc>
          <w:tcPr>
            <w:tcW w:type="dxa" w:w="936"/>
            <w:shd w:fill="1B365D"/>
          </w:tcPr>
          <w:p>
            <w:r/>
            <w:r>
              <w:rPr>
                <w:rFonts w:ascii="Inter" w:hAnsi="Inter" w:cs="Inter"/>
                <w:b/>
                <w:i w:val="0"/>
                <w:color w:val="FFFFFF"/>
                <w:sz w:val="19"/>
              </w:rPr>
              <w:t>Q3 Target</w:t>
            </w:r>
          </w:p>
        </w:tc>
        <w:tc>
          <w:tcPr>
            <w:tcW w:type="dxa" w:w="936"/>
            <w:shd w:fill="1B365D"/>
          </w:tcPr>
          <w:p>
            <w:r/>
            <w:r>
              <w:rPr>
                <w:rFonts w:ascii="Inter" w:hAnsi="Inter" w:cs="Inter"/>
                <w:b/>
                <w:i w:val="0"/>
                <w:color w:val="FFFFFF"/>
                <w:sz w:val="19"/>
              </w:rPr>
              <w:t>Q4 Target</w:t>
            </w:r>
          </w:p>
        </w:tc>
        <w:tc>
          <w:tcPr>
            <w:tcW w:type="dxa" w:w="936"/>
            <w:shd w:fill="1B365D"/>
          </w:tcPr>
          <w:p>
            <w:r/>
            <w:r>
              <w:rPr>
                <w:rFonts w:ascii="Inter" w:hAnsi="Inter" w:cs="Inter"/>
                <w:b/>
                <w:i w:val="0"/>
                <w:color w:val="FFFFFF"/>
                <w:sz w:val="19"/>
              </w:rPr>
              <w:t>Key Milestones</w:t>
            </w:r>
          </w:p>
        </w:tc>
        <w:tc>
          <w:tcPr>
            <w:tcW w:type="dxa" w:w="936"/>
            <w:shd w:fill="1B365D"/>
          </w:tcPr>
          <w:p>
            <w:r/>
            <w:r>
              <w:rPr>
                <w:rFonts w:ascii="Inter" w:hAnsi="Inter" w:cs="Inter"/>
                <w:b/>
                <w:i w:val="0"/>
                <w:color w:val="FFFFFF"/>
                <w:sz w:val="19"/>
              </w:rPr>
              <w:t>Lead Officer</w:t>
            </w:r>
          </w:p>
        </w:tc>
        <w:tc>
          <w:tcPr>
            <w:tcW w:type="dxa" w:w="936"/>
            <w:shd w:fill="1B365D"/>
          </w:tcPr>
          <w:p>
            <w:r/>
            <w:r>
              <w:rPr>
                <w:rFonts w:ascii="Inter" w:hAnsi="Inter" w:cs="Inter"/>
                <w:b/>
                <w:i w:val="0"/>
                <w:color w:val="FFFFFF"/>
                <w:sz w:val="19"/>
              </w:rPr>
              <w:t>Support Units</w:t>
            </w:r>
          </w:p>
        </w:tc>
      </w:tr>
    </w:tbl>
    <w:p/>
    <w:p>
      <w:pPr>
        <w:pStyle w:val="Heading3"/>
      </w:pPr>
      <w:r>
        <w:rPr>
          <w:rFonts w:ascii="Inter" w:hAnsi="Inter" w:cs="Inter"/>
          <w:b/>
          <w:i w:val="0"/>
          <w:color w:val="2C5F7C"/>
          <w:sz w:val="26"/>
        </w:rPr>
        <w:t>Template 12: Annual Financial Plan (AFP)</w:t>
      </w:r>
    </w:p>
    <w:p>
      <w:pPr>
        <w:spacing w:after="120" w:line="276" w:lineRule="auto"/>
      </w:pPr>
      <w:r>
        <w:rPr>
          <w:rFonts w:ascii="Inter" w:hAnsi="Inter" w:cs="Inter"/>
          <w:b w:val="0"/>
          <w:i w:val="0"/>
          <w:color w:val="2D2D2D"/>
          <w:sz w:val="22"/>
        </w:rPr>
        <w:t>*Source: Chapter 10 (Point 9: Annual Plan --- Part B)*</w:t>
      </w:r>
    </w:p>
    <w:p>
      <w:pPr>
        <w:spacing w:after="120" w:line="276" w:lineRule="auto"/>
      </w:pPr>
      <w:r>
        <w:rPr>
          <w:rFonts w:ascii="Inter" w:hAnsi="Inter" w:cs="Inter"/>
          <w:b w:val="0"/>
          <w:i w:val="0"/>
          <w:color w:val="2D2D2D"/>
          <w:sz w:val="22"/>
        </w:rPr>
        <w:t>*Instructions: Distribute the approved budget ceiling across PPAs by expense class. The AFP total must match the Resource Requirements Matrix Year 1 column.*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PPA Code</w:t>
            </w:r>
          </w:p>
        </w:tc>
        <w:tc>
          <w:tcPr>
            <w:tcW w:type="dxa" w:w="1337"/>
            <w:shd w:fill="1B365D"/>
          </w:tcPr>
          <w:p>
            <w:r/>
            <w:r>
              <w:rPr>
                <w:rFonts w:ascii="Inter" w:hAnsi="Inter" w:cs="Inter"/>
                <w:b/>
                <w:i w:val="0"/>
                <w:color w:val="FFFFFF"/>
                <w:sz w:val="19"/>
              </w:rPr>
              <w:t>PPA Name</w:t>
            </w:r>
          </w:p>
        </w:tc>
        <w:tc>
          <w:tcPr>
            <w:tcW w:type="dxa" w:w="1337"/>
            <w:shd w:fill="1B365D"/>
          </w:tcPr>
          <w:p>
            <w:r/>
            <w:r>
              <w:rPr>
                <w:rFonts w:ascii="Inter" w:hAnsi="Inter" w:cs="Inter"/>
                <w:b/>
                <w:i w:val="0"/>
                <w:color w:val="FFFFFF"/>
                <w:sz w:val="19"/>
              </w:rPr>
              <w:t>Personnel Services (PS)</w:t>
            </w:r>
          </w:p>
        </w:tc>
        <w:tc>
          <w:tcPr>
            <w:tcW w:type="dxa" w:w="1337"/>
            <w:shd w:fill="1B365D"/>
          </w:tcPr>
          <w:p>
            <w:r/>
            <w:r>
              <w:rPr>
                <w:rFonts w:ascii="Inter" w:hAnsi="Inter" w:cs="Inter"/>
                <w:b/>
                <w:i w:val="0"/>
                <w:color w:val="FFFFFF"/>
                <w:sz w:val="19"/>
              </w:rPr>
              <w:t>MOOE</w:t>
            </w:r>
          </w:p>
        </w:tc>
        <w:tc>
          <w:tcPr>
            <w:tcW w:type="dxa" w:w="1337"/>
            <w:shd w:fill="1B365D"/>
          </w:tcPr>
          <w:p>
            <w:r/>
            <w:r>
              <w:rPr>
                <w:rFonts w:ascii="Inter" w:hAnsi="Inter" w:cs="Inter"/>
                <w:b/>
                <w:i w:val="0"/>
                <w:color w:val="FFFFFF"/>
                <w:sz w:val="19"/>
              </w:rPr>
              <w:t>Capital Outlay (CO)</w:t>
            </w:r>
          </w:p>
        </w:tc>
        <w:tc>
          <w:tcPr>
            <w:tcW w:type="dxa" w:w="1337"/>
            <w:shd w:fill="1B365D"/>
          </w:tcPr>
          <w:p>
            <w:r/>
            <w:r>
              <w:rPr>
                <w:rFonts w:ascii="Inter" w:hAnsi="Inter" w:cs="Inter"/>
                <w:b/>
                <w:i w:val="0"/>
                <w:color w:val="FFFFFF"/>
                <w:sz w:val="19"/>
              </w:rPr>
              <w:t>Total</w:t>
            </w:r>
          </w:p>
        </w:tc>
        <w:tc>
          <w:tcPr>
            <w:tcW w:type="dxa" w:w="1337"/>
            <w:shd w:fill="1B365D"/>
          </w:tcPr>
          <w:p>
            <w:r/>
            <w:r>
              <w:rPr>
                <w:rFonts w:ascii="Inter" w:hAnsi="Inter" w:cs="Inter"/>
                <w:b/>
                <w:i w:val="0"/>
                <w:color w:val="FFFFFF"/>
                <w:sz w:val="19"/>
              </w:rPr>
              <w:t>Funding Source</w:t>
            </w:r>
          </w:p>
        </w:tc>
      </w:tr>
      <w:tr>
        <w:tc>
          <w:tcPr>
            <w:tcW w:type="dxa" w:w="1337"/>
          </w:tcPr>
          <w:p>
            <w:r/>
            <w:r>
              <w:rPr>
                <w:rFonts w:ascii="Inter" w:hAnsi="Inter" w:cs="Inter"/>
                <w:b w:val="0"/>
                <w:i w:val="0"/>
                <w:color w:val="2D2D2D"/>
                <w:sz w:val="19"/>
              </w:rPr>
              <w:t>**TOTAL**</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p/>
    <w:p>
      <w:pPr>
        <w:spacing w:after="120" w:line="276" w:lineRule="auto"/>
      </w:pPr>
      <w:r>
        <w:rPr>
          <w:rFonts w:ascii="Inter" w:hAnsi="Inter" w:cs="Inter"/>
          <w:b w:val="0"/>
          <w:i w:val="0"/>
          <w:color w:val="2D2D2D"/>
          <w:sz w:val="22"/>
        </w:rPr>
        <w:t>*Note: Total must not exceed the budget ceiling communicated by MFBM in the Budget Call. All amounts in Philippine Pesos.*</w:t>
      </w:r>
    </w:p>
    <w:p>
      <w:pPr>
        <w:pStyle w:val="Heading3"/>
      </w:pPr>
      <w:r>
        <w:rPr>
          <w:rFonts w:ascii="Inter" w:hAnsi="Inter" w:cs="Inter"/>
          <w:b/>
          <w:i w:val="0"/>
          <w:color w:val="2C5F7C"/>
          <w:sz w:val="26"/>
        </w:rPr>
        <w:t>Template 13: Annual Procurement Plan (APP)</w:t>
      </w:r>
    </w:p>
    <w:p>
      <w:pPr>
        <w:spacing w:after="120" w:line="276" w:lineRule="auto"/>
      </w:pPr>
      <w:r>
        <w:rPr>
          <w:rFonts w:ascii="Inter" w:hAnsi="Inter" w:cs="Inter"/>
          <w:b w:val="0"/>
          <w:i w:val="0"/>
          <w:color w:val="2D2D2D"/>
          <w:sz w:val="22"/>
        </w:rPr>
        <w:t>*Source: Chapter 10 (Point 9: Annual Plan --- Part C)*</w:t>
      </w:r>
    </w:p>
    <w:p>
      <w:pPr>
        <w:spacing w:after="120" w:line="276" w:lineRule="auto"/>
      </w:pPr>
      <w:r>
        <w:rPr>
          <w:rFonts w:ascii="Inter" w:hAnsi="Inter" w:cs="Inter"/>
          <w:b w:val="0"/>
          <w:i w:val="0"/>
          <w:color w:val="2D2D2D"/>
          <w:sz w:val="22"/>
        </w:rPr>
        <w:t>*Instructions: List all procurement items for the fiscal year. Each item must link to a specific PPA code and AFP budget line. Comply with BAA No. 38 (Procurement Code).*</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Item #</w:t>
            </w:r>
          </w:p>
        </w:tc>
        <w:tc>
          <w:tcPr>
            <w:tcW w:type="dxa" w:w="936"/>
            <w:shd w:fill="1B365D"/>
          </w:tcPr>
          <w:p>
            <w:r/>
            <w:r>
              <w:rPr>
                <w:rFonts w:ascii="Inter" w:hAnsi="Inter" w:cs="Inter"/>
                <w:b/>
                <w:i w:val="0"/>
                <w:color w:val="FFFFFF"/>
                <w:sz w:val="19"/>
              </w:rPr>
              <w:t>PPA Code</w:t>
            </w:r>
          </w:p>
        </w:tc>
        <w:tc>
          <w:tcPr>
            <w:tcW w:type="dxa" w:w="936"/>
            <w:shd w:fill="1B365D"/>
          </w:tcPr>
          <w:p>
            <w:r/>
            <w:r>
              <w:rPr>
                <w:rFonts w:ascii="Inter" w:hAnsi="Inter" w:cs="Inter"/>
                <w:b/>
                <w:i w:val="0"/>
                <w:color w:val="FFFFFF"/>
                <w:sz w:val="19"/>
              </w:rPr>
              <w:t>Item Description</w:t>
            </w:r>
          </w:p>
        </w:tc>
        <w:tc>
          <w:tcPr>
            <w:tcW w:type="dxa" w:w="936"/>
            <w:shd w:fill="1B365D"/>
          </w:tcPr>
          <w:p>
            <w:r/>
            <w:r>
              <w:rPr>
                <w:rFonts w:ascii="Inter" w:hAnsi="Inter" w:cs="Inter"/>
                <w:b/>
                <w:i w:val="0"/>
                <w:color w:val="FFFFFF"/>
                <w:sz w:val="19"/>
              </w:rPr>
              <w:t>Quantity</w:t>
            </w:r>
          </w:p>
        </w:tc>
        <w:tc>
          <w:tcPr>
            <w:tcW w:type="dxa" w:w="936"/>
            <w:shd w:fill="1B365D"/>
          </w:tcPr>
          <w:p>
            <w:r/>
            <w:r>
              <w:rPr>
                <w:rFonts w:ascii="Inter" w:hAnsi="Inter" w:cs="Inter"/>
                <w:b/>
                <w:i w:val="0"/>
                <w:color w:val="FFFFFF"/>
                <w:sz w:val="19"/>
              </w:rPr>
              <w:t>Unit Cost</w:t>
            </w:r>
          </w:p>
        </w:tc>
        <w:tc>
          <w:tcPr>
            <w:tcW w:type="dxa" w:w="936"/>
            <w:shd w:fill="1B365D"/>
          </w:tcPr>
          <w:p>
            <w:r/>
            <w:r>
              <w:rPr>
                <w:rFonts w:ascii="Inter" w:hAnsi="Inter" w:cs="Inter"/>
                <w:b/>
                <w:i w:val="0"/>
                <w:color w:val="FFFFFF"/>
                <w:sz w:val="19"/>
              </w:rPr>
              <w:t>Total Cost</w:t>
            </w:r>
          </w:p>
        </w:tc>
        <w:tc>
          <w:tcPr>
            <w:tcW w:type="dxa" w:w="936"/>
            <w:shd w:fill="1B365D"/>
          </w:tcPr>
          <w:p>
            <w:r/>
            <w:r>
              <w:rPr>
                <w:rFonts w:ascii="Inter" w:hAnsi="Inter" w:cs="Inter"/>
                <w:b/>
                <w:i w:val="0"/>
                <w:color w:val="FFFFFF"/>
                <w:sz w:val="19"/>
              </w:rPr>
              <w:t>Expense Class</w:t>
            </w:r>
          </w:p>
        </w:tc>
        <w:tc>
          <w:tcPr>
            <w:tcW w:type="dxa" w:w="936"/>
            <w:shd w:fill="1B365D"/>
          </w:tcPr>
          <w:p>
            <w:r/>
            <w:r>
              <w:rPr>
                <w:rFonts w:ascii="Inter" w:hAnsi="Inter" w:cs="Inter"/>
                <w:b/>
                <w:i w:val="0"/>
                <w:color w:val="FFFFFF"/>
                <w:sz w:val="19"/>
              </w:rPr>
              <w:t>Procurement Method</w:t>
            </w:r>
          </w:p>
        </w:tc>
        <w:tc>
          <w:tcPr>
            <w:tcW w:type="dxa" w:w="936"/>
            <w:shd w:fill="1B365D"/>
          </w:tcPr>
          <w:p>
            <w:r/>
            <w:r>
              <w:rPr>
                <w:rFonts w:ascii="Inter" w:hAnsi="Inter" w:cs="Inter"/>
                <w:b/>
                <w:i w:val="0"/>
                <w:color w:val="FFFFFF"/>
                <w:sz w:val="19"/>
              </w:rPr>
              <w:t>Schedule (Month)</w:t>
            </w:r>
          </w:p>
        </w:tc>
        <w:tc>
          <w:tcPr>
            <w:tcW w:type="dxa" w:w="936"/>
            <w:shd w:fill="1B365D"/>
          </w:tcPr>
          <w:p>
            <w:r/>
            <w:r>
              <w:rPr>
                <w:rFonts w:ascii="Inter" w:hAnsi="Inter" w:cs="Inter"/>
                <w:b/>
                <w:i w:val="0"/>
                <w:color w:val="FFFFFF"/>
                <w:sz w:val="19"/>
              </w:rPr>
              <w:t>End-User Unit</w:t>
            </w:r>
          </w:p>
        </w:tc>
      </w:tr>
    </w:tbl>
    <w:p/>
    <w:p>
      <w:pPr>
        <w:pStyle w:val="Heading3"/>
      </w:pPr>
      <w:r>
        <w:rPr>
          <w:rFonts w:ascii="Inter" w:hAnsi="Inter" w:cs="Inter"/>
          <w:b/>
          <w:i w:val="0"/>
          <w:color w:val="2C5F7C"/>
          <w:sz w:val="26"/>
        </w:rPr>
        <w:t>Template 14: M&amp;E Framework</w:t>
      </w:r>
    </w:p>
    <w:p>
      <w:pPr>
        <w:spacing w:after="120" w:line="276" w:lineRule="auto"/>
      </w:pPr>
      <w:r>
        <w:rPr>
          <w:rFonts w:ascii="Inter" w:hAnsi="Inter" w:cs="Inter"/>
          <w:b w:val="0"/>
          <w:i w:val="0"/>
          <w:color w:val="2D2D2D"/>
          <w:sz w:val="22"/>
        </w:rPr>
        <w:t>*Source: Chapter 11 (Point 10: Monitoring and Evaluation)*</w:t>
      </w:r>
    </w:p>
    <w:p>
      <w:pPr>
        <w:spacing w:after="120" w:line="276" w:lineRule="auto"/>
      </w:pPr>
      <w:r>
        <w:rPr>
          <w:rFonts w:ascii="Inter" w:hAnsi="Inter" w:cs="Inter"/>
          <w:b w:val="0"/>
          <w:i w:val="0"/>
          <w:color w:val="2D2D2D"/>
          <w:sz w:val="22"/>
        </w:rPr>
        <w:t>*Instructions: Map every result from your Theory of Change to an indicator with baselines, annual targets, data sources, and responsible officers.*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Results Level</w:t>
            </w:r>
          </w:p>
        </w:tc>
        <w:tc>
          <w:tcPr>
            <w:tcW w:type="dxa" w:w="936"/>
            <w:shd w:fill="1B365D"/>
          </w:tcPr>
          <w:p>
            <w:r/>
            <w:r>
              <w:rPr>
                <w:rFonts w:ascii="Inter" w:hAnsi="Inter" w:cs="Inter"/>
                <w:b/>
                <w:i w:val="0"/>
                <w:color w:val="FFFFFF"/>
                <w:sz w:val="19"/>
              </w:rPr>
              <w:t>Result Statement (from ToC)</w:t>
            </w:r>
          </w:p>
        </w:tc>
        <w:tc>
          <w:tcPr>
            <w:tcW w:type="dxa" w:w="936"/>
            <w:shd w:fill="1B365D"/>
          </w:tcPr>
          <w:p>
            <w:r/>
            <w:r>
              <w:rPr>
                <w:rFonts w:ascii="Inter" w:hAnsi="Inter" w:cs="Inter"/>
                <w:b/>
                <w:i w:val="0"/>
                <w:color w:val="FFFFFF"/>
                <w:sz w:val="19"/>
              </w:rPr>
              <w:t>Indicator</w:t>
            </w:r>
          </w:p>
        </w:tc>
        <w:tc>
          <w:tcPr>
            <w:tcW w:type="dxa" w:w="936"/>
            <w:shd w:fill="1B365D"/>
          </w:tcPr>
          <w:p>
            <w:r/>
            <w:r>
              <w:rPr>
                <w:rFonts w:ascii="Inter" w:hAnsi="Inter" w:cs="Inter"/>
                <w:b/>
                <w:i w:val="0"/>
                <w:color w:val="FFFFFF"/>
                <w:sz w:val="19"/>
              </w:rPr>
              <w:t>Baseline</w:t>
            </w:r>
          </w:p>
        </w:tc>
        <w:tc>
          <w:tcPr>
            <w:tcW w:type="dxa" w:w="936"/>
            <w:shd w:fill="1B365D"/>
          </w:tcPr>
          <w:p>
            <w:r/>
            <w:r>
              <w:rPr>
                <w:rFonts w:ascii="Inter" w:hAnsi="Inter" w:cs="Inter"/>
                <w:b/>
                <w:i w:val="0"/>
                <w:color w:val="FFFFFF"/>
                <w:sz w:val="19"/>
              </w:rPr>
              <w:t>Yr 1 Target</w:t>
            </w:r>
          </w:p>
        </w:tc>
        <w:tc>
          <w:tcPr>
            <w:tcW w:type="dxa" w:w="936"/>
            <w:shd w:fill="1B365D"/>
          </w:tcPr>
          <w:p>
            <w:r/>
            <w:r>
              <w:rPr>
                <w:rFonts w:ascii="Inter" w:hAnsi="Inter" w:cs="Inter"/>
                <w:b/>
                <w:i w:val="0"/>
                <w:color w:val="FFFFFF"/>
                <w:sz w:val="19"/>
              </w:rPr>
              <w:t>Yr 2 Target</w:t>
            </w:r>
          </w:p>
        </w:tc>
        <w:tc>
          <w:tcPr>
            <w:tcW w:type="dxa" w:w="936"/>
            <w:shd w:fill="1B365D"/>
          </w:tcPr>
          <w:p>
            <w:r/>
            <w:r>
              <w:rPr>
                <w:rFonts w:ascii="Inter" w:hAnsi="Inter" w:cs="Inter"/>
                <w:b/>
                <w:i w:val="0"/>
                <w:color w:val="FFFFFF"/>
                <w:sz w:val="19"/>
              </w:rPr>
              <w:t>Yr 3 Target</w:t>
            </w:r>
          </w:p>
        </w:tc>
        <w:tc>
          <w:tcPr>
            <w:tcW w:type="dxa" w:w="936"/>
            <w:shd w:fill="1B365D"/>
          </w:tcPr>
          <w:p>
            <w:r/>
            <w:r>
              <w:rPr>
                <w:rFonts w:ascii="Inter" w:hAnsi="Inter" w:cs="Inter"/>
                <w:b/>
                <w:i w:val="0"/>
                <w:color w:val="FFFFFF"/>
                <w:sz w:val="19"/>
              </w:rPr>
              <w:t>Data Source</w:t>
            </w:r>
          </w:p>
        </w:tc>
        <w:tc>
          <w:tcPr>
            <w:tcW w:type="dxa" w:w="936"/>
            <w:shd w:fill="1B365D"/>
          </w:tcPr>
          <w:p>
            <w:r/>
            <w:r>
              <w:rPr>
                <w:rFonts w:ascii="Inter" w:hAnsi="Inter" w:cs="Inter"/>
                <w:b/>
                <w:i w:val="0"/>
                <w:color w:val="FFFFFF"/>
                <w:sz w:val="19"/>
              </w:rPr>
              <w:t>Frequency</w:t>
            </w:r>
          </w:p>
        </w:tc>
        <w:tc>
          <w:tcPr>
            <w:tcW w:type="dxa" w:w="936"/>
            <w:shd w:fill="1B365D"/>
          </w:tcPr>
          <w:p>
            <w:r/>
            <w:r>
              <w:rPr>
                <w:rFonts w:ascii="Inter" w:hAnsi="Inter" w:cs="Inter"/>
                <w:b/>
                <w:i w:val="0"/>
                <w:color w:val="FFFFFF"/>
                <w:sz w:val="19"/>
              </w:rPr>
              <w:t>Responsible Officer</w:t>
            </w:r>
          </w:p>
        </w:tc>
      </w:tr>
      <w:tr>
        <w:tc>
          <w:tcPr>
            <w:tcW w:type="dxa" w:w="936"/>
          </w:tcPr>
          <w:p>
            <w:r/>
            <w:r>
              <w:rPr>
                <w:rFonts w:ascii="Inter" w:hAnsi="Inter" w:cs="Inter"/>
                <w:b w:val="0"/>
                <w:i w:val="0"/>
                <w:color w:val="2D2D2D"/>
                <w:sz w:val="19"/>
              </w:rPr>
              <w:t>**Impact**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shd w:fill="F0F3F6"/>
          </w:tcPr>
          <w:p>
            <w:r/>
            <w:r>
              <w:rPr>
                <w:rFonts w:ascii="Inter" w:hAnsi="Inter" w:cs="Inter"/>
                <w:b w:val="0"/>
                <w:i w:val="0"/>
                <w:color w:val="2D2D2D"/>
                <w:sz w:val="19"/>
              </w:rPr>
              <w:t>**Medium-Term Outcome**</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r/>
            <w:r>
              <w:rPr>
                <w:rFonts w:ascii="Inter" w:hAnsi="Inter" w:cs="Inter"/>
                <w:b w:val="0"/>
                <w:i w:val="0"/>
                <w:color w:val="2D2D2D"/>
                <w:sz w:val="19"/>
              </w:rPr>
              <w:t>**Short-Term Outcome**</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shd w:fill="F0F3F6"/>
          </w:tcPr>
          <w:p>
            <w:r/>
            <w:r>
              <w:rPr>
                <w:rFonts w:ascii="Inter" w:hAnsi="Inter" w:cs="Inter"/>
                <w:b w:val="0"/>
                <w:i w:val="0"/>
                <w:color w:val="2D2D2D"/>
                <w:sz w:val="19"/>
              </w:rPr>
              <w:t>**Output**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tcPr>
          <w:p>
            <w:r/>
            <w:r>
              <w:rPr>
                <w:rFonts w:ascii="Inter" w:hAnsi="Inter" w:cs="Inter"/>
                <w:b w:val="0"/>
                <w:i w:val="0"/>
                <w:color w:val="2D2D2D"/>
                <w:sz w:val="19"/>
              </w:rPr>
              <w:t>**Output**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r>
        <w:tc>
          <w:tcPr>
            <w:tcW w:type="dxa" w:w="936"/>
            <w:shd w:fill="F0F3F6"/>
          </w:tcPr>
          <w:p>
            <w:r/>
            <w:r>
              <w:rPr>
                <w:rFonts w:ascii="Inter" w:hAnsi="Inter" w:cs="Inter"/>
                <w:b w:val="0"/>
                <w:i w:val="0"/>
                <w:color w:val="2D2D2D"/>
                <w:sz w:val="19"/>
              </w:rPr>
              <w:t>**Output**</w:t>
            </w: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c>
          <w:tcPr>
            <w:tcW w:type="dxa" w:w="936"/>
          </w:tcPr>
          <w:p/>
        </w:tc>
      </w:tr>
    </w:tbl>
    <w:p/>
    <w:p>
      <w:pPr>
        <w:pStyle w:val="Heading3"/>
      </w:pPr>
      <w:r>
        <w:rPr>
          <w:rFonts w:ascii="Inter" w:hAnsi="Inter" w:cs="Inter"/>
          <w:b/>
          <w:i w:val="0"/>
          <w:color w:val="2C5F7C"/>
          <w:sz w:val="26"/>
        </w:rPr>
        <w:t>Template 15: Indicator Registry</w:t>
      </w:r>
    </w:p>
    <w:p>
      <w:pPr>
        <w:spacing w:after="120" w:line="276" w:lineRule="auto"/>
      </w:pPr>
      <w:r>
        <w:rPr>
          <w:rFonts w:ascii="Inter" w:hAnsi="Inter" w:cs="Inter"/>
          <w:b w:val="0"/>
          <w:i w:val="0"/>
          <w:color w:val="2D2D2D"/>
          <w:sz w:val="22"/>
        </w:rPr>
        <w:t>*Source: Chapter 11 (Point 10: Monitoring and Evaluation)*</w:t>
      </w:r>
    </w:p>
    <w:p>
      <w:pPr>
        <w:spacing w:after="120" w:line="276" w:lineRule="auto"/>
      </w:pPr>
      <w:r>
        <w:rPr>
          <w:rFonts w:ascii="Inter" w:hAnsi="Inter" w:cs="Inter"/>
          <w:b w:val="0"/>
          <w:i w:val="0"/>
          <w:color w:val="2D2D2D"/>
          <w:sz w:val="22"/>
        </w:rPr>
        <w:t>*Instructions: For each indicator in the M&amp;E Framework, provide a complete definition using the attributes below. One registry entry per indicator.*</w:t>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Attribute</w:t>
            </w:r>
          </w:p>
        </w:tc>
        <w:tc>
          <w:tcPr>
            <w:tcW w:type="dxa" w:w="4680"/>
            <w:shd w:fill="1B365D"/>
          </w:tcPr>
          <w:p>
            <w:r/>
            <w:r>
              <w:rPr>
                <w:rFonts w:ascii="Inter" w:hAnsi="Inter" w:cs="Inter"/>
                <w:b/>
                <w:i w:val="0"/>
                <w:color w:val="FFFFFF"/>
                <w:sz w:val="19"/>
              </w:rPr>
              <w:t>Value</w:t>
            </w:r>
          </w:p>
        </w:tc>
      </w:tr>
      <w:tr>
        <w:tc>
          <w:tcPr>
            <w:tcW w:type="dxa" w:w="4680"/>
          </w:tcPr>
          <w:p>
            <w:r/>
            <w:r>
              <w:rPr>
                <w:rFonts w:ascii="Inter" w:hAnsi="Inter" w:cs="Inter"/>
                <w:b w:val="0"/>
                <w:i w:val="0"/>
                <w:color w:val="2D2D2D"/>
                <w:sz w:val="19"/>
              </w:rPr>
              <w:t>**Indicator ID**</w:t>
            </w:r>
          </w:p>
        </w:tc>
        <w:tc>
          <w:tcPr>
            <w:tcW w:type="dxa" w:w="4680"/>
          </w:tcPr>
          <w:p/>
        </w:tc>
      </w:tr>
      <w:tr>
        <w:tc>
          <w:tcPr>
            <w:tcW w:type="dxa" w:w="4680"/>
            <w:shd w:fill="F0F3F6"/>
          </w:tcPr>
          <w:p>
            <w:r/>
            <w:r>
              <w:rPr>
                <w:rFonts w:ascii="Inter" w:hAnsi="Inter" w:cs="Inter"/>
                <w:b w:val="0"/>
                <w:i w:val="0"/>
                <w:color w:val="2D2D2D"/>
                <w:sz w:val="19"/>
              </w:rPr>
              <w:t>**Indicator Name**</w:t>
            </w:r>
          </w:p>
        </w:tc>
        <w:tc>
          <w:tcPr>
            <w:tcW w:type="dxa" w:w="4680"/>
          </w:tcPr>
          <w:p/>
        </w:tc>
      </w:tr>
      <w:tr>
        <w:tc>
          <w:tcPr>
            <w:tcW w:type="dxa" w:w="4680"/>
          </w:tcPr>
          <w:p>
            <w:r/>
            <w:r>
              <w:rPr>
                <w:rFonts w:ascii="Inter" w:hAnsi="Inter" w:cs="Inter"/>
                <w:b w:val="0"/>
                <w:i w:val="0"/>
                <w:color w:val="2D2D2D"/>
                <w:sz w:val="19"/>
              </w:rPr>
              <w:t>**Definition**</w:t>
            </w:r>
          </w:p>
        </w:tc>
        <w:tc>
          <w:tcPr>
            <w:tcW w:type="dxa" w:w="4680"/>
          </w:tcPr>
          <w:p/>
        </w:tc>
      </w:tr>
      <w:tr>
        <w:tc>
          <w:tcPr>
            <w:tcW w:type="dxa" w:w="4680"/>
            <w:shd w:fill="F0F3F6"/>
          </w:tcPr>
          <w:p>
            <w:r/>
            <w:r>
              <w:rPr>
                <w:rFonts w:ascii="Inter" w:hAnsi="Inter" w:cs="Inter"/>
                <w:b w:val="0"/>
                <w:i w:val="0"/>
                <w:color w:val="2D2D2D"/>
                <w:sz w:val="19"/>
              </w:rPr>
              <w:t>**Unit of Measure**</w:t>
            </w:r>
          </w:p>
        </w:tc>
        <w:tc>
          <w:tcPr>
            <w:tcW w:type="dxa" w:w="4680"/>
          </w:tcPr>
          <w:p/>
        </w:tc>
      </w:tr>
      <w:tr>
        <w:tc>
          <w:tcPr>
            <w:tcW w:type="dxa" w:w="4680"/>
          </w:tcPr>
          <w:p>
            <w:r/>
            <w:r>
              <w:rPr>
                <w:rFonts w:ascii="Inter" w:hAnsi="Inter" w:cs="Inter"/>
                <w:b w:val="0"/>
                <w:i w:val="0"/>
                <w:color w:val="2D2D2D"/>
                <w:sz w:val="19"/>
              </w:rPr>
              <w:t>**Baseline Value**</w:t>
            </w:r>
          </w:p>
        </w:tc>
        <w:tc>
          <w:tcPr>
            <w:tcW w:type="dxa" w:w="4680"/>
          </w:tcPr>
          <w:p/>
        </w:tc>
      </w:tr>
      <w:tr>
        <w:tc>
          <w:tcPr>
            <w:tcW w:type="dxa" w:w="4680"/>
            <w:shd w:fill="F0F3F6"/>
          </w:tcPr>
          <w:p>
            <w:r/>
            <w:r>
              <w:rPr>
                <w:rFonts w:ascii="Inter" w:hAnsi="Inter" w:cs="Inter"/>
                <w:b w:val="0"/>
                <w:i w:val="0"/>
                <w:color w:val="2D2D2D"/>
                <w:sz w:val="19"/>
              </w:rPr>
              <w:t>**Baseline Year/Source**</w:t>
            </w:r>
          </w:p>
        </w:tc>
        <w:tc>
          <w:tcPr>
            <w:tcW w:type="dxa" w:w="4680"/>
          </w:tcPr>
          <w:p/>
        </w:tc>
      </w:tr>
      <w:tr>
        <w:tc>
          <w:tcPr>
            <w:tcW w:type="dxa" w:w="4680"/>
          </w:tcPr>
          <w:p>
            <w:r/>
            <w:r>
              <w:rPr>
                <w:rFonts w:ascii="Inter" w:hAnsi="Inter" w:cs="Inter"/>
                <w:b w:val="0"/>
                <w:i w:val="0"/>
                <w:color w:val="2D2D2D"/>
                <w:sz w:val="19"/>
              </w:rPr>
              <w:t>**Year 1 Target**</w:t>
            </w:r>
          </w:p>
        </w:tc>
        <w:tc>
          <w:tcPr>
            <w:tcW w:type="dxa" w:w="4680"/>
          </w:tcPr>
          <w:p/>
        </w:tc>
      </w:tr>
      <w:tr>
        <w:tc>
          <w:tcPr>
            <w:tcW w:type="dxa" w:w="4680"/>
            <w:shd w:fill="F0F3F6"/>
          </w:tcPr>
          <w:p>
            <w:r/>
            <w:r>
              <w:rPr>
                <w:rFonts w:ascii="Inter" w:hAnsi="Inter" w:cs="Inter"/>
                <w:b w:val="0"/>
                <w:i w:val="0"/>
                <w:color w:val="2D2D2D"/>
                <w:sz w:val="19"/>
              </w:rPr>
              <w:t>**Year 2 Target**</w:t>
            </w:r>
          </w:p>
        </w:tc>
        <w:tc>
          <w:tcPr>
            <w:tcW w:type="dxa" w:w="4680"/>
          </w:tcPr>
          <w:p/>
        </w:tc>
      </w:tr>
      <w:tr>
        <w:tc>
          <w:tcPr>
            <w:tcW w:type="dxa" w:w="4680"/>
          </w:tcPr>
          <w:p>
            <w:r/>
            <w:r>
              <w:rPr>
                <w:rFonts w:ascii="Inter" w:hAnsi="Inter" w:cs="Inter"/>
                <w:b w:val="0"/>
                <w:i w:val="0"/>
                <w:color w:val="2D2D2D"/>
                <w:sz w:val="19"/>
              </w:rPr>
              <w:t>**Year 3 Target**</w:t>
            </w:r>
          </w:p>
        </w:tc>
        <w:tc>
          <w:tcPr>
            <w:tcW w:type="dxa" w:w="4680"/>
          </w:tcPr>
          <w:p/>
        </w:tc>
      </w:tr>
      <w:tr>
        <w:tc>
          <w:tcPr>
            <w:tcW w:type="dxa" w:w="4680"/>
            <w:shd w:fill="F0F3F6"/>
          </w:tcPr>
          <w:p>
            <w:r/>
            <w:r>
              <w:rPr>
                <w:rFonts w:ascii="Inter" w:hAnsi="Inter" w:cs="Inter"/>
                <w:b w:val="0"/>
                <w:i w:val="0"/>
                <w:color w:val="2D2D2D"/>
                <w:sz w:val="19"/>
              </w:rPr>
              <w:t>**Data Source**</w:t>
            </w:r>
          </w:p>
        </w:tc>
        <w:tc>
          <w:tcPr>
            <w:tcW w:type="dxa" w:w="4680"/>
          </w:tcPr>
          <w:p/>
        </w:tc>
      </w:tr>
      <w:tr>
        <w:tc>
          <w:tcPr>
            <w:tcW w:type="dxa" w:w="4680"/>
          </w:tcPr>
          <w:p>
            <w:r/>
            <w:r>
              <w:rPr>
                <w:rFonts w:ascii="Inter" w:hAnsi="Inter" w:cs="Inter"/>
                <w:b w:val="0"/>
                <w:i w:val="0"/>
                <w:color w:val="2D2D2D"/>
                <w:sz w:val="19"/>
              </w:rPr>
              <w:t>**Collection Method**</w:t>
            </w:r>
          </w:p>
        </w:tc>
        <w:tc>
          <w:tcPr>
            <w:tcW w:type="dxa" w:w="4680"/>
          </w:tcPr>
          <w:p/>
        </w:tc>
      </w:tr>
      <w:tr>
        <w:tc>
          <w:tcPr>
            <w:tcW w:type="dxa" w:w="4680"/>
            <w:shd w:fill="F0F3F6"/>
          </w:tcPr>
          <w:p>
            <w:r/>
            <w:r>
              <w:rPr>
                <w:rFonts w:ascii="Inter" w:hAnsi="Inter" w:cs="Inter"/>
                <w:b w:val="0"/>
                <w:i w:val="0"/>
                <w:color w:val="2D2D2D"/>
                <w:sz w:val="19"/>
              </w:rPr>
              <w:t>**Collection Frequency**</w:t>
            </w:r>
          </w:p>
        </w:tc>
        <w:tc>
          <w:tcPr>
            <w:tcW w:type="dxa" w:w="4680"/>
          </w:tcPr>
          <w:p/>
        </w:tc>
      </w:tr>
      <w:tr>
        <w:tc>
          <w:tcPr>
            <w:tcW w:type="dxa" w:w="4680"/>
          </w:tcPr>
          <w:p>
            <w:r/>
            <w:r>
              <w:rPr>
                <w:rFonts w:ascii="Inter" w:hAnsi="Inter" w:cs="Inter"/>
                <w:b w:val="0"/>
                <w:i w:val="0"/>
                <w:color w:val="2D2D2D"/>
                <w:sz w:val="19"/>
              </w:rPr>
              <w:t>**Responsible Officer**</w:t>
            </w:r>
          </w:p>
        </w:tc>
        <w:tc>
          <w:tcPr>
            <w:tcW w:type="dxa" w:w="4680"/>
          </w:tcPr>
          <w:p/>
        </w:tc>
      </w:tr>
      <w:tr>
        <w:tc>
          <w:tcPr>
            <w:tcW w:type="dxa" w:w="4680"/>
            <w:shd w:fill="F0F3F6"/>
          </w:tcPr>
          <w:p>
            <w:r/>
            <w:r>
              <w:rPr>
                <w:rFonts w:ascii="Inter" w:hAnsi="Inter" w:cs="Inter"/>
                <w:b w:val="0"/>
                <w:i w:val="0"/>
                <w:color w:val="2D2D2D"/>
                <w:sz w:val="19"/>
              </w:rPr>
              <w:t>**Reports To**</w:t>
            </w:r>
          </w:p>
        </w:tc>
        <w:tc>
          <w:tcPr>
            <w:tcW w:type="dxa" w:w="4680"/>
          </w:tcPr>
          <w:p/>
        </w:tc>
      </w:tr>
      <w:tr>
        <w:tc>
          <w:tcPr>
            <w:tcW w:type="dxa" w:w="4680"/>
          </w:tcPr>
          <w:p>
            <w:r/>
            <w:r>
              <w:rPr>
                <w:rFonts w:ascii="Inter" w:hAnsi="Inter" w:cs="Inter"/>
                <w:b w:val="0"/>
                <w:i w:val="0"/>
                <w:color w:val="2D2D2D"/>
                <w:sz w:val="19"/>
              </w:rPr>
              <w:t>**Disaggregation**</w:t>
            </w:r>
          </w:p>
        </w:tc>
        <w:tc>
          <w:tcPr>
            <w:tcW w:type="dxa" w:w="4680"/>
          </w:tcPr>
          <w:p/>
        </w:tc>
      </w:tr>
    </w:tbl>
    <w:p/>
    <w:p>
      <w:pPr>
        <w:spacing w:after="120" w:line="276" w:lineRule="auto"/>
      </w:pPr>
      <w:r>
        <w:rPr>
          <w:rFonts w:ascii="Inter" w:hAnsi="Inter" w:cs="Inter"/>
          <w:b w:val="0"/>
          <w:i w:val="0"/>
          <w:color w:val="2D2D2D"/>
          <w:sz w:val="22"/>
        </w:rPr>
        <w:t>*Repeat the table for each indicator in your M&amp;E Framework.*</w:t>
      </w:r>
    </w:p>
    <w:p>
      <w:pPr>
        <w:pStyle w:val="Heading3"/>
      </w:pPr>
      <w:r>
        <w:rPr>
          <w:rFonts w:ascii="Inter" w:hAnsi="Inter" w:cs="Inter"/>
          <w:b/>
          <w:i w:val="0"/>
          <w:color w:val="2C5F7C"/>
          <w:sz w:val="26"/>
        </w:rPr>
        <w:t>Template 16: Executive Summary Template</w:t>
      </w:r>
    </w:p>
    <w:p>
      <w:pPr>
        <w:spacing w:after="120" w:line="276" w:lineRule="auto"/>
      </w:pPr>
      <w:r>
        <w:rPr>
          <w:rFonts w:ascii="Inter" w:hAnsi="Inter" w:cs="Inter"/>
          <w:b w:val="0"/>
          <w:i w:val="0"/>
          <w:color w:val="2D2D2D"/>
          <w:sz w:val="22"/>
        </w:rPr>
        <w:t>*Source: Chapter 12 (Document Assembly and Submission)*</w:t>
      </w:r>
    </w:p>
    <w:p>
      <w:pPr>
        <w:spacing w:after="120" w:line="276" w:lineRule="auto"/>
      </w:pPr>
      <w:r>
        <w:rPr>
          <w:rFonts w:ascii="Inter" w:hAnsi="Inter" w:cs="Inter"/>
          <w:b w:val="0"/>
          <w:i w:val="0"/>
          <w:color w:val="2D2D2D"/>
          <w:sz w:val="22"/>
        </w:rPr>
        <w:t>*Instructions: Complete this template after all other sections of the plan are finalized. Maximum 3 pages. All figures must match the detailed sections exactly.*</w:t>
      </w:r>
    </w:p>
    <w:p>
      <w:pPr>
        <w:spacing w:after="120" w:line="276" w:lineRule="auto"/>
      </w:pPr>
      <w:r>
        <w:rPr>
          <w:rFonts w:ascii="Inter" w:hAnsi="Inter" w:cs="Inter"/>
          <w:b w:val="0"/>
          <w:i w:val="0"/>
          <w:color w:val="2D2D2D"/>
          <w:sz w:val="22"/>
        </w:rPr>
      </w:r>
      <w:r>
        <w:rPr>
          <w:rFonts w:ascii="Inter" w:hAnsi="Inter" w:cs="Inter"/>
          <w:b/>
          <w:i w:val="0"/>
          <w:color w:val="2D2D2D"/>
          <w:sz w:val="22"/>
        </w:rPr>
        <w:t>[MOA NAME]</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STRATEGIC PLAN FY [START YEAR]--[END YEAR]</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EXECUTIVE SUMMARY</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Mandate</w:t>
      </w:r>
      <w:r>
        <w:rPr>
          <w:rFonts w:ascii="Inter" w:hAnsi="Inter" w:cs="Inter"/>
          <w:b w:val="0"/>
          <w:i w:val="0"/>
          <w:color w:val="2D2D2D"/>
          <w:sz w:val="22"/>
        </w:rPr>
      </w:r>
    </w:p>
    <w:p>
      <w:pPr>
        <w:spacing w:after="120" w:line="276" w:lineRule="auto"/>
      </w:pPr>
      <w:r>
        <w:rPr>
          <w:rFonts w:ascii="Inter" w:hAnsi="Inter" w:cs="Inter"/>
          <w:b w:val="0"/>
          <w:i w:val="0"/>
          <w:color w:val="2D2D2D"/>
          <w:sz w:val="22"/>
        </w:rPr>
        <w:t>*[2-3 sentences. Name the creating law (BAA number or EO), cite the BOL provision granting substantive authority, describe scope of responsibility. State the plan period and identify the 2-3 priority concerns this plan addresses.]*</w:t>
      </w:r>
    </w:p>
    <w:p>
      <w:pPr>
        <w:spacing w:after="120" w:line="276" w:lineRule="auto"/>
      </w:pPr>
      <w:r>
        <w:rPr>
          <w:rFonts w:ascii="Inter" w:hAnsi="Inter" w:cs="Inter"/>
          <w:b w:val="0"/>
          <w:i w:val="0"/>
          <w:color w:val="2D2D2D"/>
          <w:sz w:val="22"/>
        </w:rPr>
      </w:r>
      <w:r>
        <w:rPr>
          <w:rFonts w:ascii="Inter" w:hAnsi="Inter" w:cs="Inter"/>
          <w:b/>
          <w:i w:val="0"/>
          <w:color w:val="2D2D2D"/>
          <w:sz w:val="22"/>
        </w:rPr>
        <w:t>Strategic Direction</w:t>
      </w:r>
      <w:r>
        <w:rPr>
          <w:rFonts w:ascii="Inter" w:hAnsi="Inter" w:cs="Inter"/>
          <w:b w:val="0"/>
          <w:i w:val="0"/>
          <w:color w:val="2D2D2D"/>
          <w:sz w:val="22"/>
        </w:rPr>
      </w:r>
    </w:p>
    <w:p>
      <w:pPr>
        <w:spacing w:after="120" w:line="276" w:lineRule="auto"/>
      </w:pPr>
      <w:r>
        <w:rPr>
          <w:rFonts w:ascii="Inter" w:hAnsi="Inter" w:cs="Inter"/>
          <w:b w:val="0"/>
          <w:i w:val="0"/>
          <w:color w:val="2D2D2D"/>
          <w:sz w:val="22"/>
        </w:rPr>
        <w:t>*Vision:* [Insert from Template 5]</w:t>
      </w:r>
    </w:p>
    <w:p>
      <w:pPr>
        <w:spacing w:after="120" w:line="276" w:lineRule="auto"/>
      </w:pPr>
      <w:r>
        <w:rPr>
          <w:rFonts w:ascii="Inter" w:hAnsi="Inter" w:cs="Inter"/>
          <w:b w:val="0"/>
          <w:i w:val="0"/>
          <w:color w:val="2D2D2D"/>
          <w:sz w:val="22"/>
        </w:rPr>
        <w:t>*Mission:* [Insert from Template 5]</w:t>
      </w:r>
    </w:p>
    <w:p>
      <w:pPr>
        <w:spacing w:after="120" w:line="276" w:lineRule="auto"/>
      </w:pPr>
      <w:r>
        <w:rPr>
          <w:rFonts w:ascii="Inter" w:hAnsi="Inter" w:cs="Inter"/>
          <w:b w:val="0"/>
          <w:i w:val="0"/>
          <w:color w:val="2D2D2D"/>
          <w:sz w:val="22"/>
        </w:rPr>
        <w:t>*Strategic Objectives:*</w:t>
      </w:r>
    </w:p>
    <w:p>
      <w:pPr>
        <w:pStyle w:val="ListNumber"/>
      </w:pPr>
      <w:r>
        <w:rPr>
          <w:rFonts w:ascii="Inter" w:hAnsi="Inter" w:cs="Inter"/>
          <w:b w:val="0"/>
          <w:i w:val="0"/>
          <w:color w:val="2D2D2D"/>
          <w:sz w:val="22"/>
        </w:rPr>
        <w:t>[SO-1 from Template 6, stated in full with measurable target and deadline]</w:t>
      </w:r>
    </w:p>
    <w:p>
      <w:pPr>
        <w:pStyle w:val="ListNumber"/>
      </w:pPr>
      <w:r>
        <w:rPr>
          <w:rFonts w:ascii="Inter" w:hAnsi="Inter" w:cs="Inter"/>
          <w:b w:val="0"/>
          <w:i w:val="0"/>
          <w:color w:val="2D2D2D"/>
          <w:sz w:val="22"/>
        </w:rPr>
        <w:t>[SO-2]</w:t>
      </w:r>
    </w:p>
    <w:p>
      <w:pPr>
        <w:pStyle w:val="ListNumber"/>
      </w:pPr>
      <w:r>
        <w:rPr>
          <w:rFonts w:ascii="Inter" w:hAnsi="Inter" w:cs="Inter"/>
          <w:b w:val="0"/>
          <w:i w:val="0"/>
          <w:color w:val="2D2D2D"/>
          <w:sz w:val="22"/>
        </w:rPr>
        <w:t>[SO-3]</w:t>
      </w:r>
    </w:p>
    <w:p>
      <w:pPr>
        <w:spacing w:after="120" w:line="276" w:lineRule="auto"/>
      </w:pPr>
      <w:r>
        <w:rPr>
          <w:rFonts w:ascii="Inter" w:hAnsi="Inter" w:cs="Inter"/>
          <w:b w:val="0"/>
          <w:i w:val="0"/>
          <w:color w:val="2D2D2D"/>
          <w:sz w:val="22"/>
        </w:rPr>
      </w:r>
      <w:r>
        <w:rPr>
          <w:rFonts w:ascii="Inter" w:hAnsi="Inter" w:cs="Inter"/>
          <w:b/>
          <w:i w:val="0"/>
          <w:color w:val="2D2D2D"/>
          <w:sz w:val="22"/>
        </w:rPr>
        <w:t>Alignment with National and Regional Development Priorities</w:t>
      </w:r>
      <w:r>
        <w:rPr>
          <w:rFonts w:ascii="Inter" w:hAnsi="Inter" w:cs="Inter"/>
          <w:b w:val="0"/>
          <w:i w:val="0"/>
          <w:color w:val="2D2D2D"/>
          <w:sz w:val="22"/>
        </w:rPr>
      </w:r>
    </w:p>
    <w:p>
      <w:pPr>
        <w:spacing w:after="120" w:line="276" w:lineRule="auto"/>
      </w:pPr>
      <w:r>
        <w:rPr>
          <w:rFonts w:ascii="Inter" w:hAnsi="Inter" w:cs="Inter"/>
          <w:b w:val="0"/>
          <w:i w:val="0"/>
          <w:color w:val="2D2D2D"/>
          <w:sz w:val="22"/>
        </w:rPr>
        <w:t>*[1 paragraph. Name the specific BDP goals, BDP strategies, and Priority Agenda points this plan advances. Explain the substantive link --- not just the reference, but why this MOA's work advances the stated goal or priority.]*</w:t>
      </w:r>
    </w:p>
    <w:p>
      <w:pPr>
        <w:spacing w:after="120" w:line="276" w:lineRule="auto"/>
      </w:pPr>
      <w:r>
        <w:rPr>
          <w:rFonts w:ascii="Inter" w:hAnsi="Inter" w:cs="Inter"/>
          <w:b w:val="0"/>
          <w:i w:val="0"/>
          <w:color w:val="2D2D2D"/>
          <w:sz w:val="22"/>
        </w:rPr>
      </w:r>
      <w:r>
        <w:rPr>
          <w:rFonts w:ascii="Inter" w:hAnsi="Inter" w:cs="Inter"/>
          <w:b/>
          <w:i w:val="0"/>
          <w:color w:val="2D2D2D"/>
          <w:sz w:val="22"/>
        </w:rPr>
        <w:t>PPA Portfolio</w:t>
      </w:r>
      <w:r>
        <w:rPr>
          <w:rFonts w:ascii="Inter" w:hAnsi="Inter" w:cs="Inter"/>
          <w:b w:val="0"/>
          <w:i w:val="0"/>
          <w:color w:val="2D2D2D"/>
          <w:sz w:val="22"/>
        </w:rPr>
      </w:r>
    </w:p>
    <w:p>
      <w:pPr>
        <w:spacing w:after="120" w:line="276" w:lineRule="auto"/>
      </w:pPr>
      <w:r>
        <w:rPr>
          <w:rFonts w:ascii="Inter" w:hAnsi="Inter" w:cs="Inter"/>
          <w:b w:val="0"/>
          <w:i w:val="0"/>
          <w:color w:val="2D2D2D"/>
          <w:sz w:val="22"/>
        </w:rPr>
        <w:t>*[1 paragraph. State total number of Programs, Projects, and Activities. Name 1-3 flagship programs. State total resource requirements and funding sources.]*</w:t>
      </w:r>
    </w:p>
    <w:p>
      <w:pPr>
        <w:spacing w:after="120" w:line="276" w:lineRule="auto"/>
      </w:pPr>
      <w:r>
        <w:rPr>
          <w:rFonts w:ascii="Inter" w:hAnsi="Inter" w:cs="Inter"/>
          <w:b w:val="0"/>
          <w:i w:val="0"/>
          <w:color w:val="2D2D2D"/>
          <w:sz w:val="22"/>
        </w:rPr>
      </w:r>
      <w:r>
        <w:rPr>
          <w:rFonts w:ascii="Inter" w:hAnsi="Inter" w:cs="Inter"/>
          <w:b/>
          <w:i w:val="0"/>
          <w:color w:val="2D2D2D"/>
          <w:sz w:val="22"/>
        </w:rPr>
        <w:t>Year [First Year] Priorities</w:t>
      </w:r>
      <w:r>
        <w:rPr>
          <w:rFonts w:ascii="Inter" w:hAnsi="Inter" w:cs="Inter"/>
          <w:b w:val="0"/>
          <w:i w:val="0"/>
          <w:color w:val="2D2D2D"/>
          <w:sz w:val="22"/>
        </w:rPr>
      </w:r>
    </w:p>
    <w:p>
      <w:pPr>
        <w:spacing w:after="120" w:line="276" w:lineRule="auto"/>
      </w:pPr>
      <w:r>
        <w:rPr>
          <w:rFonts w:ascii="Inter" w:hAnsi="Inter" w:cs="Inter"/>
          <w:b w:val="0"/>
          <w:i w:val="0"/>
          <w:color w:val="2D2D2D"/>
          <w:sz w:val="22"/>
        </w:rPr>
        <w:t>*[1 paragraph. Name 1-3 Year 1 priorities. State the Year 1 appropriation request. List 1-3 major Year 1 deliverables.]*</w:t>
      </w:r>
    </w:p>
    <w:p>
      <w:pPr>
        <w:spacing w:after="120" w:line="276" w:lineRule="auto"/>
      </w:pPr>
      <w:r>
        <w:rPr>
          <w:rFonts w:ascii="Inter" w:hAnsi="Inter" w:cs="Inter"/>
          <w:b w:val="0"/>
          <w:i w:val="0"/>
          <w:color w:val="2D2D2D"/>
          <w:sz w:val="22"/>
        </w:rPr>
      </w:r>
      <w:r>
        <w:rPr>
          <w:rFonts w:ascii="Inter" w:hAnsi="Inter" w:cs="Inter"/>
          <w:b/>
          <w:i w:val="0"/>
          <w:color w:val="2D2D2D"/>
          <w:sz w:val="22"/>
        </w:rPr>
        <w:t>Key Performance Targets, [Start Year]--[End Year]</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Strategic Objective</w:t>
            </w:r>
          </w:p>
        </w:tc>
        <w:tc>
          <w:tcPr>
            <w:tcW w:type="dxa" w:w="1872"/>
            <w:shd w:fill="1B365D"/>
          </w:tcPr>
          <w:p>
            <w:r/>
            <w:r>
              <w:rPr>
                <w:rFonts w:ascii="Inter" w:hAnsi="Inter" w:cs="Inter"/>
                <w:b/>
                <w:i w:val="0"/>
                <w:color w:val="FFFFFF"/>
                <w:sz w:val="19"/>
              </w:rPr>
              <w:t>Key Indicator</w:t>
            </w:r>
          </w:p>
        </w:tc>
        <w:tc>
          <w:tcPr>
            <w:tcW w:type="dxa" w:w="1872"/>
            <w:shd w:fill="1B365D"/>
          </w:tcPr>
          <w:p>
            <w:r/>
            <w:r>
              <w:rPr>
                <w:rFonts w:ascii="Inter" w:hAnsi="Inter" w:cs="Inter"/>
                <w:b/>
                <w:i w:val="0"/>
                <w:color w:val="FFFFFF"/>
                <w:sz w:val="19"/>
              </w:rPr>
              <w:t>Baseline</w:t>
            </w:r>
          </w:p>
        </w:tc>
        <w:tc>
          <w:tcPr>
            <w:tcW w:type="dxa" w:w="1872"/>
            <w:shd w:fill="1B365D"/>
          </w:tcPr>
          <w:p>
            <w:r/>
            <w:r>
              <w:rPr>
                <w:rFonts w:ascii="Inter" w:hAnsi="Inter" w:cs="Inter"/>
                <w:b/>
                <w:i w:val="0"/>
                <w:color w:val="FFFFFF"/>
                <w:sz w:val="19"/>
              </w:rPr>
              <w:t>End-of-Plan Target</w:t>
            </w:r>
          </w:p>
        </w:tc>
        <w:tc>
          <w:tcPr>
            <w:tcW w:type="dxa" w:w="1872"/>
            <w:shd w:fill="1B365D"/>
          </w:tcPr>
          <w:p>
            <w:r/>
            <w:r>
              <w:rPr>
                <w:rFonts w:ascii="Inter" w:hAnsi="Inter" w:cs="Inter"/>
                <w:b/>
                <w:i w:val="0"/>
                <w:color w:val="FFFFFF"/>
                <w:sz w:val="19"/>
              </w:rPr>
              <w:t>Target Year</w:t>
            </w:r>
          </w:p>
        </w:tc>
      </w:tr>
    </w:tbl>
    <w:p/>
    <w:p>
      <w:pPr>
        <w:spacing w:after="120" w:line="276" w:lineRule="auto"/>
      </w:pPr>
      <w:r>
        <w:rPr>
          <w:rFonts w:ascii="Inter" w:hAnsi="Inter" w:cs="Inter"/>
          <w:b w:val="0"/>
          <w:i w:val="0"/>
          <w:color w:val="2D2D2D"/>
          <w:sz w:val="22"/>
        </w:rPr>
        <w:t>*[MOA name] submits this Strategic Plan as a binding commitment to the Bangsamoro Government and to the communities it serves.*</w:t>
      </w:r>
    </w:p>
    <w:p>
      <w:pPr>
        <w:spacing w:after="120" w:line="276" w:lineRule="auto"/>
      </w:pPr>
      <w:r>
        <w:rPr>
          <w:rFonts w:ascii="Inter" w:hAnsi="Inter" w:cs="Inter"/>
          <w:b w:val="0"/>
          <w:i w:val="0"/>
          <w:color w:val="2D2D2D"/>
          <w:sz w:val="22"/>
        </w:rPr>
        <w:t>[Signature Block: Minister/Executive Director]      [Deputy/DG Planning]      [Planning Officer]</w:t>
      </w:r>
    </w:p>
    <w:p>
      <w:pPr>
        <w:spacing w:after="120" w:line="276" w:lineRule="auto"/>
      </w:pPr>
      <w:r>
        <w:rPr>
          <w:rFonts w:ascii="Inter" w:hAnsi="Inter" w:cs="Inter"/>
          <w:b w:val="0"/>
          <w:i w:val="0"/>
          <w:color w:val="2D2D2D"/>
          <w:sz w:val="22"/>
        </w:rPr>
        <w:t>Date of Submission: ___________________</w:t>
      </w:r>
    </w:p>
    <w:p>
      <w:pPr>
        <w:pStyle w:val="Heading2"/>
      </w:pPr>
      <w:r>
        <w:rPr>
          <w:rFonts w:ascii="Inter" w:hAnsi="Inter" w:cs="Inter"/>
          <w:b/>
          <w:i w:val="0"/>
          <w:color w:val="1B365D"/>
          <w:sz w:val="32"/>
        </w:rPr>
        <w:t>Appendix E: Worked Example --- A Complete MOA Strategic Plan (OOBC)</w:t>
      </w:r>
    </w:p>
    <w:p>
      <w:pPr>
        <w:spacing w:after="120" w:line="276" w:lineRule="auto"/>
        <w:ind w:left="850"/>
      </w:pPr>
      <w:r>
        <w:rPr>
          <w:rFonts w:ascii="Inter" w:hAnsi="Inter" w:cs="Inter"/>
          <w:b w:val="0"/>
          <w:i/>
          <w:color w:val="2D2D2D"/>
          <w:sz w:val="22"/>
        </w:rPr>
      </w:r>
      <w:r>
        <w:rPr>
          <w:rFonts w:ascii="Inter" w:hAnsi="Inter" w:cs="Inter"/>
          <w:b/>
          <w:i w:val="0"/>
          <w:color w:val="2D2D2D"/>
          <w:sz w:val="22"/>
        </w:rPr>
        <w:t>Note:</w:t>
      </w:r>
      <w:r>
        <w:rPr>
          <w:rFonts w:ascii="Inter" w:hAnsi="Inter" w:cs="Inter"/>
          <w:b w:val="0"/>
          <w:i/>
          <w:color w:val="2D2D2D"/>
          <w:sz w:val="22"/>
        </w:rPr>
        <w:t xml:space="preserve"> This is an illustrative example based on the Office for Other Bangsamoro Communities (OOBC). Data is drawn from actual OOBC planning outputs but simplified for instructional purposes. The purpose is to demonstrate what a completed strategic plan looks like when the worked examples from Chapters 2 through 12 are assembled into a single document following the structure prescribed in Chapter 12.</w:t>
      </w:r>
    </w:p>
    <w:p>
      <w:pPr>
        <w:spacing w:after="120" w:line="276" w:lineRule="auto"/>
      </w:pPr>
      <w:r>
        <w:rPr>
          <w:rFonts w:ascii="Inter" w:hAnsi="Inter" w:cs="Inter"/>
          <w:b w:val="0"/>
          <w:i w:val="0"/>
          <w:color w:val="2D2D2D"/>
          <w:sz w:val="22"/>
        </w:rPr>
      </w:r>
      <w:r>
        <w:rPr>
          <w:rFonts w:ascii="Inter" w:hAnsi="Inter" w:cs="Inter"/>
          <w:b/>
          <w:i w:val="0"/>
          <w:color w:val="2D2D2D"/>
          <w:sz w:val="22"/>
        </w:rPr>
        <w:t>BANGSAMORO AUTONOMOUS REGION IN MUSLIM MINDANAO</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OFFICE FOR OTHER BANGSAMORO COMMUNITIES (OOBC)</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STRATEGIC PLAN FY 2026--2028</w:t>
      </w:r>
      <w:r>
        <w:rPr>
          <w:rFonts w:ascii="Inter" w:hAnsi="Inter" w:cs="Inter"/>
          <w:b w:val="0"/>
          <w:i w:val="0"/>
          <w:color w:val="2D2D2D"/>
          <w:sz w:val="22"/>
        </w:rPr>
      </w:r>
    </w:p>
    <w:p>
      <w:pPr>
        <w:spacing w:after="120" w:line="276" w:lineRule="auto"/>
      </w:pPr>
      <w:r>
        <w:rPr>
          <w:rFonts w:ascii="Inter" w:hAnsi="Inter" w:cs="Inter"/>
          <w:b w:val="0"/>
          <w:i w:val="0"/>
          <w:color w:val="2D2D2D"/>
          <w:sz w:val="22"/>
        </w:rPr>
        <w:t>Prepared by: Planning and Programs Section, OOBC</w:t>
      </w:r>
    </w:p>
    <w:p>
      <w:pPr>
        <w:spacing w:after="120" w:line="276" w:lineRule="auto"/>
      </w:pPr>
      <w:r>
        <w:rPr>
          <w:rFonts w:ascii="Inter" w:hAnsi="Inter" w:cs="Inter"/>
          <w:b w:val="0"/>
          <w:i w:val="0"/>
          <w:color w:val="2D2D2D"/>
          <w:sz w:val="22"/>
        </w:rPr>
        <w:t>Date: [Submission Date]</w:t>
      </w:r>
    </w:p>
    <w:p>
      <w:pPr>
        <w:spacing w:after="120" w:line="276" w:lineRule="auto"/>
      </w:pPr>
      <w:r>
        <w:rPr>
          <w:rFonts w:ascii="Inter" w:hAnsi="Inter" w:cs="Inter"/>
          <w:b w:val="0"/>
          <w:i w:val="0"/>
          <w:color w:val="2D2D2D"/>
          <w:sz w:val="22"/>
        </w:rPr>
        <w:t>Version: 1.0</w:t>
      </w:r>
    </w:p>
    <w:p>
      <w:pPr>
        <w:pStyle w:val="Heading3"/>
      </w:pPr>
      <w:r>
        <w:rPr>
          <w:rFonts w:ascii="Inter" w:hAnsi="Inter" w:cs="Inter"/>
          <w:b/>
          <w:i w:val="0"/>
          <w:color w:val="2C5F7C"/>
          <w:sz w:val="26"/>
        </w:rPr>
        <w:t>EXECUTIVE SUMMARY</w:t>
      </w:r>
    </w:p>
    <w:p>
      <w:pPr>
        <w:spacing w:after="120" w:line="276" w:lineRule="auto"/>
      </w:pPr>
      <w:r>
        <w:rPr>
          <w:rFonts w:ascii="Inter" w:hAnsi="Inter" w:cs="Inter"/>
          <w:b w:val="0"/>
          <w:i w:val="0"/>
          <w:color w:val="2D2D2D"/>
          <w:sz w:val="22"/>
        </w:rPr>
      </w:r>
      <w:r>
        <w:rPr>
          <w:rFonts w:ascii="Inter" w:hAnsi="Inter" w:cs="Inter"/>
          <w:b/>
          <w:i w:val="0"/>
          <w:color w:val="2D2D2D"/>
          <w:sz w:val="22"/>
        </w:rPr>
        <w:t>Mandate</w:t>
      </w:r>
      <w:r>
        <w:rPr>
          <w:rFonts w:ascii="Inter" w:hAnsi="Inter" w:cs="Inter"/>
          <w:b w:val="0"/>
          <w:i w:val="0"/>
          <w:color w:val="2D2D2D"/>
          <w:sz w:val="22"/>
        </w:rPr>
      </w:r>
    </w:p>
    <w:p>
      <w:pPr>
        <w:spacing w:after="120" w:line="276" w:lineRule="auto"/>
      </w:pPr>
      <w:r>
        <w:rPr>
          <w:rFonts w:ascii="Inter" w:hAnsi="Inter" w:cs="Inter"/>
          <w:b w:val="0"/>
          <w:i w:val="0"/>
          <w:color w:val="2D2D2D"/>
          <w:sz w:val="22"/>
        </w:rPr>
        <w:t>The Office for Other Bangsamoro Communities (OOBC) is an office attached to the Office of the Chief Minister (OCM), mandated under Article VI, Section 12 of the Bangsamoro Organic Law (Republic Act No. 11054) to ensure equitable access to services, programs, and opportunities for Bangsamoro populations residing outside the core territory of the Bangsamoro Autonomous Region in Muslim Mindanao. Operating from its headquarters in Cotabato City with field offices in Davao, Sultan Kudarat, and Pagadian, OOBC serves approximately 25 staff who bridge service gaps between BARMM and Other Bangsamoro Communities (OBCs) dispersed across Mindanao and beyond. This Strategic Plan covers the period FY 2026--2028 and addresses three priority concerns: the absence of a comprehensive database of OBC populations, limited formal coordination mechanisms with LGUs and national government agencies hosting OBCs, and the persistent service access gap between Bangsamoro inside BARMM and those outside its geographic boundaries.</w:t>
      </w:r>
    </w:p>
    <w:p>
      <w:pPr>
        <w:spacing w:after="120" w:line="276" w:lineRule="auto"/>
      </w:pPr>
      <w:r>
        <w:rPr>
          <w:rFonts w:ascii="Inter" w:hAnsi="Inter" w:cs="Inter"/>
          <w:b w:val="0"/>
          <w:i w:val="0"/>
          <w:color w:val="2D2D2D"/>
          <w:sz w:val="22"/>
        </w:rPr>
      </w:r>
      <w:r>
        <w:rPr>
          <w:rFonts w:ascii="Inter" w:hAnsi="Inter" w:cs="Inter"/>
          <w:b/>
          <w:i w:val="0"/>
          <w:color w:val="2D2D2D"/>
          <w:sz w:val="22"/>
        </w:rPr>
        <w:t>Strategic Direction</w:t>
      </w:r>
      <w:r>
        <w:rPr>
          <w:rFonts w:ascii="Inter" w:hAnsi="Inter" w:cs="Inter"/>
          <w:b w:val="0"/>
          <w:i w:val="0"/>
          <w:color w:val="2D2D2D"/>
          <w:sz w:val="22"/>
        </w:rPr>
      </w:r>
    </w:p>
    <w:p>
      <w:pPr>
        <w:spacing w:after="120" w:line="276" w:lineRule="auto"/>
      </w:pPr>
      <w:r>
        <w:rPr>
          <w:rFonts w:ascii="Inter" w:hAnsi="Inter" w:cs="Inter"/>
          <w:b w:val="0"/>
          <w:i w:val="0"/>
          <w:color w:val="2D2D2D"/>
          <w:sz w:val="22"/>
        </w:rPr>
        <w:t>*Vision:* All Bangsamoro communities --- regardless of location --- are included, supported, and given equal opportunities for development.</w:t>
      </w:r>
    </w:p>
    <w:p>
      <w:pPr>
        <w:spacing w:after="120" w:line="276" w:lineRule="auto"/>
      </w:pPr>
      <w:r>
        <w:rPr>
          <w:rFonts w:ascii="Inter" w:hAnsi="Inter" w:cs="Inter"/>
          <w:b w:val="0"/>
          <w:i w:val="0"/>
          <w:color w:val="2D2D2D"/>
          <w:sz w:val="22"/>
        </w:rPr>
        <w:t>*Mission:* To bridge service gaps, strengthen engagement with local and national government partners, and promote inclusive development for Bangsamoro populations beyond BARMM, ensuring that no Bangsamoro community is left behind in the region's pursuit of self-governance and shared prosperity.</w:t>
      </w:r>
    </w:p>
    <w:p>
      <w:pPr>
        <w:spacing w:after="120" w:line="276" w:lineRule="auto"/>
      </w:pPr>
      <w:r>
        <w:rPr>
          <w:rFonts w:ascii="Inter" w:hAnsi="Inter" w:cs="Inter"/>
          <w:b w:val="0"/>
          <w:i w:val="0"/>
          <w:color w:val="2D2D2D"/>
          <w:sz w:val="22"/>
        </w:rPr>
        <w:t>*Strategic Objectives:*</w:t>
      </w:r>
    </w:p>
    <w:p>
      <w:pPr>
        <w:pStyle w:val="ListNumber"/>
      </w:pPr>
      <w:r>
        <w:rPr>
          <w:rFonts w:ascii="Inter" w:hAnsi="Inter" w:cs="Inter"/>
          <w:b w:val="0"/>
          <w:i w:val="0"/>
          <w:color w:val="2D2D2D"/>
          <w:sz w:val="22"/>
        </w:rPr>
        <w:t>Establish a comprehensive and verified database of Other Bangsamoro Communities across at least 15 provinces outside BARMM by December 2028, covering demographic, socioeconomic, and service access data for a minimum of 50,000 individuals.</w:t>
      </w:r>
    </w:p>
    <w:p>
      <w:pPr>
        <w:pStyle w:val="ListNumber"/>
      </w:pPr>
      <w:r>
        <w:rPr>
          <w:rFonts w:ascii="Inter" w:hAnsi="Inter" w:cs="Inter"/>
          <w:b w:val="0"/>
          <w:i w:val="0"/>
          <w:color w:val="2D2D2D"/>
          <w:sz w:val="22"/>
        </w:rPr>
        <w:t>Execute memoranda of understanding (MOUs) with at least 12 local government units and 5 national government agencies by December 2027, formalizing coordination mechanisms for OBC service delivery.</w:t>
      </w:r>
    </w:p>
    <w:p>
      <w:pPr>
        <w:pStyle w:val="ListNumber"/>
      </w:pPr>
      <w:r>
        <w:rPr>
          <w:rFonts w:ascii="Inter" w:hAnsi="Inter" w:cs="Inter"/>
          <w:b w:val="0"/>
          <w:i w:val="0"/>
          <w:color w:val="2D2D2D"/>
          <w:sz w:val="22"/>
        </w:rPr>
        <w:t>Increase OBC access to BARMM social services by 40% from the 2025 baseline by December 2028, measured by the number of OBC individuals enrolled in BARMM health, education, livelihood, and social protection programs.</w:t>
      </w:r>
    </w:p>
    <w:p>
      <w:pPr>
        <w:spacing w:after="120" w:line="276" w:lineRule="auto"/>
      </w:pPr>
      <w:r>
        <w:rPr>
          <w:rFonts w:ascii="Inter" w:hAnsi="Inter" w:cs="Inter"/>
          <w:b w:val="0"/>
          <w:i w:val="0"/>
          <w:color w:val="2D2D2D"/>
          <w:sz w:val="22"/>
        </w:rPr>
      </w:r>
      <w:r>
        <w:rPr>
          <w:rFonts w:ascii="Inter" w:hAnsi="Inter" w:cs="Inter"/>
          <w:b/>
          <w:i w:val="0"/>
          <w:color w:val="2D2D2D"/>
          <w:sz w:val="22"/>
        </w:rPr>
        <w:t>Alignment with National and Regional Development Priorities</w:t>
      </w:r>
      <w:r>
        <w:rPr>
          <w:rFonts w:ascii="Inter" w:hAnsi="Inter" w:cs="Inter"/>
          <w:b w:val="0"/>
          <w:i w:val="0"/>
          <w:color w:val="2D2D2D"/>
          <w:sz w:val="22"/>
        </w:rPr>
      </w:r>
    </w:p>
    <w:p>
      <w:pPr>
        <w:spacing w:after="120" w:line="276" w:lineRule="auto"/>
      </w:pPr>
      <w:r>
        <w:rPr>
          <w:rFonts w:ascii="Inter" w:hAnsi="Inter" w:cs="Inter"/>
          <w:b w:val="0"/>
          <w:i w:val="0"/>
          <w:color w:val="2D2D2D"/>
          <w:sz w:val="22"/>
        </w:rPr>
        <w:t>OOBC's plan directly advances BDP Goal 1 (Stable, Just, and Accountable Government) through institutional development of inter-governmental coordination mechanisms, BDP Goal 3 (Peaceful, Safe, and Resilient Bangsamoro Communities) through strengthened engagement with displaced and vulnerable Bangsamoro populations, and BDP Goal 4 (Inclusive, Responsive, and Quality Social Services) through expanded service access for excluded communities, via Strategies S1 (Improve governance mechanisms), S5 (Enhance peace and security for inclusive development), and S6 (Ensure inclusive and equitable access to quality services). The plan implements Priority Agenda Points 3 (Good Governance and Institutional Development) and 5 (Social Services) as primary mandate areas, and supports Priority Agenda Points 1 (Moral Governance), 10 (Youth Development), 11 (Women Empowerment), and 12 (Inter-governmental Relations).</w:t>
      </w:r>
    </w:p>
    <w:p>
      <w:pPr>
        <w:spacing w:after="120" w:line="276" w:lineRule="auto"/>
      </w:pPr>
      <w:r>
        <w:rPr>
          <w:rFonts w:ascii="Inter" w:hAnsi="Inter" w:cs="Inter"/>
          <w:b w:val="0"/>
          <w:i w:val="0"/>
          <w:color w:val="2D2D2D"/>
          <w:sz w:val="22"/>
        </w:rPr>
      </w:r>
      <w:r>
        <w:rPr>
          <w:rFonts w:ascii="Inter" w:hAnsi="Inter" w:cs="Inter"/>
          <w:b/>
          <w:i w:val="0"/>
          <w:color w:val="2D2D2D"/>
          <w:sz w:val="22"/>
        </w:rPr>
        <w:t>PPA Portfolio</w:t>
      </w:r>
      <w:r>
        <w:rPr>
          <w:rFonts w:ascii="Inter" w:hAnsi="Inter" w:cs="Inter"/>
          <w:b w:val="0"/>
          <w:i w:val="0"/>
          <w:color w:val="2D2D2D"/>
          <w:sz w:val="22"/>
        </w:rPr>
      </w:r>
    </w:p>
    <w:p>
      <w:pPr>
        <w:spacing w:after="120" w:line="276" w:lineRule="auto"/>
      </w:pPr>
      <w:r>
        <w:rPr>
          <w:rFonts w:ascii="Inter" w:hAnsi="Inter" w:cs="Inter"/>
          <w:b w:val="0"/>
          <w:i w:val="0"/>
          <w:color w:val="2D2D2D"/>
          <w:sz w:val="22"/>
        </w:rPr>
        <w:t>The plan includes 3 Programs, 5 Projects, and 4 Activities organized around three strategic objectives. Flagship programs include: (1) the OBC Community Profiling and Social Registry Program (OBC-P-001), targeting comprehensive profiling of Bangsamoro communities in 15 provinces; (2) the Inter-governmental Coordination and Partnership Program (OBC-P-002), establishing formal MOUs and coordination desks with LGUs and NGAs; and (3) the OBC Service Access and Capacity-Building Program (OBC-P-003), delivering direct capacity-building, advocacy, and service referral for vulnerable OBC populations. Total resource requirements for the plan period: approximately PhP 60,000,000 from OOBC's Bangsamoro General Fund appropriation, supplemented by PhP 3,500,000 in development partner technical assistance and PhP 1,200,000 in LGU in-kind contributions.</w:t>
      </w:r>
    </w:p>
    <w:p>
      <w:pPr>
        <w:spacing w:after="120" w:line="276" w:lineRule="auto"/>
      </w:pPr>
      <w:r>
        <w:rPr>
          <w:rFonts w:ascii="Inter" w:hAnsi="Inter" w:cs="Inter"/>
          <w:b w:val="0"/>
          <w:i w:val="0"/>
          <w:color w:val="2D2D2D"/>
          <w:sz w:val="22"/>
        </w:rPr>
      </w:r>
      <w:r>
        <w:rPr>
          <w:rFonts w:ascii="Inter" w:hAnsi="Inter" w:cs="Inter"/>
          <w:b/>
          <w:i w:val="0"/>
          <w:color w:val="2D2D2D"/>
          <w:sz w:val="22"/>
        </w:rPr>
        <w:t>FY 2026 Priorities</w:t>
      </w:r>
      <w:r>
        <w:rPr>
          <w:rFonts w:ascii="Inter" w:hAnsi="Inter" w:cs="Inter"/>
          <w:b w:val="0"/>
          <w:i w:val="0"/>
          <w:color w:val="2D2D2D"/>
          <w:sz w:val="22"/>
        </w:rPr>
      </w:r>
    </w:p>
    <w:p>
      <w:pPr>
        <w:spacing w:after="120" w:line="276" w:lineRule="auto"/>
      </w:pPr>
      <w:r>
        <w:rPr>
          <w:rFonts w:ascii="Inter" w:hAnsi="Inter" w:cs="Inter"/>
          <w:b w:val="0"/>
          <w:i w:val="0"/>
          <w:color w:val="2D2D2D"/>
          <w:sz w:val="22"/>
        </w:rPr>
        <w:t>In FY 2026, OOBC will focus on: launching the community profiling initiative in 5 priority provinces (Davao del Sur, Sultan Kudarat, Zamboanga del Sur, North Cotabato, and South Cotabato); executing 4 MOUs with LGUs and 2 with NGAs; and enrolling 2,000 OBC individuals in BARMM social service programs through referral and coordination. Total FY 2026 appropriation request: PhP 22,000,000.</w:t>
      </w:r>
    </w:p>
    <w:p>
      <w:pPr>
        <w:spacing w:after="120" w:line="276" w:lineRule="auto"/>
      </w:pPr>
      <w:r>
        <w:rPr>
          <w:rFonts w:ascii="Inter" w:hAnsi="Inter" w:cs="Inter"/>
          <w:b w:val="0"/>
          <w:i w:val="0"/>
          <w:color w:val="2D2D2D"/>
          <w:sz w:val="22"/>
        </w:rPr>
      </w:r>
      <w:r>
        <w:rPr>
          <w:rFonts w:ascii="Inter" w:hAnsi="Inter" w:cs="Inter"/>
          <w:b/>
          <w:i w:val="0"/>
          <w:color w:val="2D2D2D"/>
          <w:sz w:val="22"/>
        </w:rPr>
        <w:t>Key Performance Targets, FY 2026--2028</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Strategic Objective</w:t>
            </w:r>
          </w:p>
        </w:tc>
        <w:tc>
          <w:tcPr>
            <w:tcW w:type="dxa" w:w="1872"/>
            <w:shd w:fill="1B365D"/>
          </w:tcPr>
          <w:p>
            <w:r/>
            <w:r>
              <w:rPr>
                <w:rFonts w:ascii="Inter" w:hAnsi="Inter" w:cs="Inter"/>
                <w:b/>
                <w:i w:val="0"/>
                <w:color w:val="FFFFFF"/>
                <w:sz w:val="19"/>
              </w:rPr>
              <w:t>Key Indicator</w:t>
            </w:r>
          </w:p>
        </w:tc>
        <w:tc>
          <w:tcPr>
            <w:tcW w:type="dxa" w:w="1872"/>
            <w:shd w:fill="1B365D"/>
          </w:tcPr>
          <w:p>
            <w:r/>
            <w:r>
              <w:rPr>
                <w:rFonts w:ascii="Inter" w:hAnsi="Inter" w:cs="Inter"/>
                <w:b/>
                <w:i w:val="0"/>
                <w:color w:val="FFFFFF"/>
                <w:sz w:val="19"/>
              </w:rPr>
              <w:t>Baseline</w:t>
            </w:r>
          </w:p>
        </w:tc>
        <w:tc>
          <w:tcPr>
            <w:tcW w:type="dxa" w:w="1872"/>
            <w:shd w:fill="1B365D"/>
          </w:tcPr>
          <w:p>
            <w:r/>
            <w:r>
              <w:rPr>
                <w:rFonts w:ascii="Inter" w:hAnsi="Inter" w:cs="Inter"/>
                <w:b/>
                <w:i w:val="0"/>
                <w:color w:val="FFFFFF"/>
                <w:sz w:val="19"/>
              </w:rPr>
              <w:t>End-of-Plan Target</w:t>
            </w:r>
          </w:p>
        </w:tc>
        <w:tc>
          <w:tcPr>
            <w:tcW w:type="dxa" w:w="1872"/>
            <w:shd w:fill="1B365D"/>
          </w:tcPr>
          <w:p>
            <w:r/>
            <w:r>
              <w:rPr>
                <w:rFonts w:ascii="Inter" w:hAnsi="Inter" w:cs="Inter"/>
                <w:b/>
                <w:i w:val="0"/>
                <w:color w:val="FFFFFF"/>
                <w:sz w:val="19"/>
              </w:rPr>
              <w:t>Target Year</w:t>
            </w:r>
          </w:p>
        </w:tc>
      </w:tr>
      <w:tr>
        <w:tc>
          <w:tcPr>
            <w:tcW w:type="dxa" w:w="1872"/>
          </w:tcPr>
          <w:p>
            <w:r/>
            <w:r>
              <w:rPr>
                <w:rFonts w:ascii="Inter" w:hAnsi="Inter" w:cs="Inter"/>
                <w:b w:val="0"/>
                <w:i w:val="0"/>
                <w:color w:val="2D2D2D"/>
                <w:sz w:val="19"/>
              </w:rPr>
              <w:t>SO-1: OBC Database</w:t>
            </w:r>
          </w:p>
        </w:tc>
        <w:tc>
          <w:tcPr>
            <w:tcW w:type="dxa" w:w="1872"/>
          </w:tcPr>
          <w:p>
            <w:r/>
            <w:r>
              <w:rPr>
                <w:rFonts w:ascii="Inter" w:hAnsi="Inter" w:cs="Inter"/>
                <w:b w:val="0"/>
                <w:i w:val="0"/>
                <w:color w:val="2D2D2D"/>
                <w:sz w:val="19"/>
              </w:rPr>
              <w:t>Provinces with completed community profiles</w:t>
            </w:r>
          </w:p>
        </w:tc>
        <w:tc>
          <w:tcPr>
            <w:tcW w:type="dxa" w:w="1872"/>
          </w:tcPr>
          <w:p>
            <w:r/>
            <w:r>
              <w:rPr>
                <w:rFonts w:ascii="Inter" w:hAnsi="Inter" w:cs="Inter"/>
                <w:b w:val="0"/>
                <w:i w:val="0"/>
                <w:color w:val="2D2D2D"/>
                <w:sz w:val="19"/>
              </w:rPr>
              <w:t>0</w:t>
            </w:r>
          </w:p>
        </w:tc>
        <w:tc>
          <w:tcPr>
            <w:tcW w:type="dxa" w:w="1872"/>
          </w:tcPr>
          <w:p>
            <w:r/>
            <w:r>
              <w:rPr>
                <w:rFonts w:ascii="Inter" w:hAnsi="Inter" w:cs="Inter"/>
                <w:b w:val="0"/>
                <w:i w:val="0"/>
                <w:color w:val="2D2D2D"/>
                <w:sz w:val="19"/>
              </w:rPr>
              <w:t>15 provinces</w:t>
            </w:r>
          </w:p>
        </w:tc>
        <w:tc>
          <w:tcPr>
            <w:tcW w:type="dxa" w:w="1872"/>
          </w:tcPr>
          <w:p>
            <w:r/>
            <w:r>
              <w:rPr>
                <w:rFonts w:ascii="Inter" w:hAnsi="Inter" w:cs="Inter"/>
                <w:b w:val="0"/>
                <w:i w:val="0"/>
                <w:color w:val="2D2D2D"/>
                <w:sz w:val="19"/>
              </w:rPr>
              <w:t>Dec 2028</w:t>
            </w:r>
          </w:p>
        </w:tc>
      </w:tr>
      <w:tr>
        <w:tc>
          <w:tcPr>
            <w:tcW w:type="dxa" w:w="1872"/>
            <w:shd w:fill="F0F3F6"/>
          </w:tcPr>
          <w:p>
            <w:r/>
            <w:r>
              <w:rPr>
                <w:rFonts w:ascii="Inter" w:hAnsi="Inter" w:cs="Inter"/>
                <w:b w:val="0"/>
                <w:i w:val="0"/>
                <w:color w:val="2D2D2D"/>
                <w:sz w:val="19"/>
              </w:rPr>
              <w:t>SO-1: OBC Database</w:t>
            </w:r>
          </w:p>
        </w:tc>
        <w:tc>
          <w:tcPr>
            <w:tcW w:type="dxa" w:w="1872"/>
            <w:shd w:fill="F0F3F6"/>
          </w:tcPr>
          <w:p>
            <w:r/>
            <w:r>
              <w:rPr>
                <w:rFonts w:ascii="Inter" w:hAnsi="Inter" w:cs="Inter"/>
                <w:b w:val="0"/>
                <w:i w:val="0"/>
                <w:color w:val="2D2D2D"/>
                <w:sz w:val="19"/>
              </w:rPr>
              <w:t>Individuals in verified OBC database</w:t>
            </w:r>
          </w:p>
        </w:tc>
        <w:tc>
          <w:tcPr>
            <w:tcW w:type="dxa" w:w="1872"/>
            <w:shd w:fill="F0F3F6"/>
          </w:tcPr>
          <w:p>
            <w:r/>
            <w:r>
              <w:rPr>
                <w:rFonts w:ascii="Inter" w:hAnsi="Inter" w:cs="Inter"/>
                <w:b w:val="0"/>
                <w:i w:val="0"/>
                <w:color w:val="2D2D2D"/>
                <w:sz w:val="19"/>
              </w:rPr>
              <w:t>0</w:t>
            </w:r>
          </w:p>
        </w:tc>
        <w:tc>
          <w:tcPr>
            <w:tcW w:type="dxa" w:w="1872"/>
            <w:shd w:fill="F0F3F6"/>
          </w:tcPr>
          <w:p>
            <w:r/>
            <w:r>
              <w:rPr>
                <w:rFonts w:ascii="Inter" w:hAnsi="Inter" w:cs="Inter"/>
                <w:b w:val="0"/>
                <w:i w:val="0"/>
                <w:color w:val="2D2D2D"/>
                <w:sz w:val="19"/>
              </w:rPr>
              <w:t>50,000 individuals</w:t>
            </w:r>
          </w:p>
        </w:tc>
        <w:tc>
          <w:tcPr>
            <w:tcW w:type="dxa" w:w="1872"/>
            <w:shd w:fill="F0F3F6"/>
          </w:tcPr>
          <w:p>
            <w:r/>
            <w:r>
              <w:rPr>
                <w:rFonts w:ascii="Inter" w:hAnsi="Inter" w:cs="Inter"/>
                <w:b w:val="0"/>
                <w:i w:val="0"/>
                <w:color w:val="2D2D2D"/>
                <w:sz w:val="19"/>
              </w:rPr>
              <w:t>Dec 2028</w:t>
            </w:r>
          </w:p>
        </w:tc>
      </w:tr>
      <w:tr>
        <w:tc>
          <w:tcPr>
            <w:tcW w:type="dxa" w:w="1872"/>
          </w:tcPr>
          <w:p>
            <w:r/>
            <w:r>
              <w:rPr>
                <w:rFonts w:ascii="Inter" w:hAnsi="Inter" w:cs="Inter"/>
                <w:b w:val="0"/>
                <w:i w:val="0"/>
                <w:color w:val="2D2D2D"/>
                <w:sz w:val="19"/>
              </w:rPr>
              <w:t>SO-2: MOUs</w:t>
            </w:r>
          </w:p>
        </w:tc>
        <w:tc>
          <w:tcPr>
            <w:tcW w:type="dxa" w:w="1872"/>
          </w:tcPr>
          <w:p>
            <w:r/>
            <w:r>
              <w:rPr>
                <w:rFonts w:ascii="Inter" w:hAnsi="Inter" w:cs="Inter"/>
                <w:b w:val="0"/>
                <w:i w:val="0"/>
                <w:color w:val="2D2D2D"/>
                <w:sz w:val="19"/>
              </w:rPr>
              <w:t>Active MOUs with LGUs and NGAs</w:t>
            </w:r>
          </w:p>
        </w:tc>
        <w:tc>
          <w:tcPr>
            <w:tcW w:type="dxa" w:w="1872"/>
          </w:tcPr>
          <w:p>
            <w:r/>
            <w:r>
              <w:rPr>
                <w:rFonts w:ascii="Inter" w:hAnsi="Inter" w:cs="Inter"/>
                <w:b w:val="0"/>
                <w:i w:val="0"/>
                <w:color w:val="2D2D2D"/>
                <w:sz w:val="19"/>
              </w:rPr>
              <w:t>2 (informal, 2024)</w:t>
            </w:r>
          </w:p>
        </w:tc>
        <w:tc>
          <w:tcPr>
            <w:tcW w:type="dxa" w:w="1872"/>
          </w:tcPr>
          <w:p>
            <w:r/>
            <w:r>
              <w:rPr>
                <w:rFonts w:ascii="Inter" w:hAnsi="Inter" w:cs="Inter"/>
                <w:b w:val="0"/>
                <w:i w:val="0"/>
                <w:color w:val="2D2D2D"/>
                <w:sz w:val="19"/>
              </w:rPr>
              <w:t>17 MOUs (12 LGU + 5 NGA)</w:t>
            </w:r>
          </w:p>
        </w:tc>
        <w:tc>
          <w:tcPr>
            <w:tcW w:type="dxa" w:w="1872"/>
          </w:tcPr>
          <w:p>
            <w:r/>
            <w:r>
              <w:rPr>
                <w:rFonts w:ascii="Inter" w:hAnsi="Inter" w:cs="Inter"/>
                <w:b w:val="0"/>
                <w:i w:val="0"/>
                <w:color w:val="2D2D2D"/>
                <w:sz w:val="19"/>
              </w:rPr>
              <w:t>Dec 2027</w:t>
            </w:r>
          </w:p>
        </w:tc>
      </w:tr>
      <w:tr>
        <w:tc>
          <w:tcPr>
            <w:tcW w:type="dxa" w:w="1872"/>
            <w:shd w:fill="F0F3F6"/>
          </w:tcPr>
          <w:p>
            <w:r/>
            <w:r>
              <w:rPr>
                <w:rFonts w:ascii="Inter" w:hAnsi="Inter" w:cs="Inter"/>
                <w:b w:val="0"/>
                <w:i w:val="0"/>
                <w:color w:val="2D2D2D"/>
                <w:sz w:val="19"/>
              </w:rPr>
              <w:t>SO-2: Coordination</w:t>
            </w:r>
          </w:p>
        </w:tc>
        <w:tc>
          <w:tcPr>
            <w:tcW w:type="dxa" w:w="1872"/>
            <w:shd w:fill="F0F3F6"/>
          </w:tcPr>
          <w:p>
            <w:r/>
            <w:r>
              <w:rPr>
                <w:rFonts w:ascii="Inter" w:hAnsi="Inter" w:cs="Inter"/>
                <w:b w:val="0"/>
                <w:i w:val="0"/>
                <w:color w:val="2D2D2D"/>
                <w:sz w:val="19"/>
              </w:rPr>
              <w:t>OBC coordination desks operational in partner LGUs</w:t>
            </w:r>
          </w:p>
        </w:tc>
        <w:tc>
          <w:tcPr>
            <w:tcW w:type="dxa" w:w="1872"/>
            <w:shd w:fill="F0F3F6"/>
          </w:tcPr>
          <w:p>
            <w:r/>
            <w:r>
              <w:rPr>
                <w:rFonts w:ascii="Inter" w:hAnsi="Inter" w:cs="Inter"/>
                <w:b w:val="0"/>
                <w:i w:val="0"/>
                <w:color w:val="2D2D2D"/>
                <w:sz w:val="19"/>
              </w:rPr>
              <w:t>0</w:t>
            </w:r>
          </w:p>
        </w:tc>
        <w:tc>
          <w:tcPr>
            <w:tcW w:type="dxa" w:w="1872"/>
            <w:shd w:fill="F0F3F6"/>
          </w:tcPr>
          <w:p>
            <w:r/>
            <w:r>
              <w:rPr>
                <w:rFonts w:ascii="Inter" w:hAnsi="Inter" w:cs="Inter"/>
                <w:b w:val="0"/>
                <w:i w:val="0"/>
                <w:color w:val="2D2D2D"/>
                <w:sz w:val="19"/>
              </w:rPr>
              <w:t>8 desks</w:t>
            </w:r>
          </w:p>
        </w:tc>
        <w:tc>
          <w:tcPr>
            <w:tcW w:type="dxa" w:w="1872"/>
            <w:shd w:fill="F0F3F6"/>
          </w:tcPr>
          <w:p>
            <w:r/>
            <w:r>
              <w:rPr>
                <w:rFonts w:ascii="Inter" w:hAnsi="Inter" w:cs="Inter"/>
                <w:b w:val="0"/>
                <w:i w:val="0"/>
                <w:color w:val="2D2D2D"/>
                <w:sz w:val="19"/>
              </w:rPr>
              <w:t>Dec 2028</w:t>
            </w:r>
          </w:p>
        </w:tc>
      </w:tr>
      <w:tr>
        <w:tc>
          <w:tcPr>
            <w:tcW w:type="dxa" w:w="1872"/>
          </w:tcPr>
          <w:p>
            <w:r/>
            <w:r>
              <w:rPr>
                <w:rFonts w:ascii="Inter" w:hAnsi="Inter" w:cs="Inter"/>
                <w:b w:val="0"/>
                <w:i w:val="0"/>
                <w:color w:val="2D2D2D"/>
                <w:sz w:val="19"/>
              </w:rPr>
              <w:t>SO-3: Service Access</w:t>
            </w:r>
          </w:p>
        </w:tc>
        <w:tc>
          <w:tcPr>
            <w:tcW w:type="dxa" w:w="1872"/>
          </w:tcPr>
          <w:p>
            <w:r/>
            <w:r>
              <w:rPr>
                <w:rFonts w:ascii="Inter" w:hAnsi="Inter" w:cs="Inter"/>
                <w:b w:val="0"/>
                <w:i w:val="0"/>
                <w:color w:val="2D2D2D"/>
                <w:sz w:val="19"/>
              </w:rPr>
              <w:t>OBC individuals enrolled in BARMM social service programs (cumulative)</w:t>
            </w:r>
          </w:p>
        </w:tc>
        <w:tc>
          <w:tcPr>
            <w:tcW w:type="dxa" w:w="1872"/>
          </w:tcPr>
          <w:p>
            <w:r/>
            <w:r>
              <w:rPr>
                <w:rFonts w:ascii="Inter" w:hAnsi="Inter" w:cs="Inter"/>
                <w:b w:val="0"/>
                <w:i w:val="0"/>
                <w:color w:val="2D2D2D"/>
                <w:sz w:val="19"/>
              </w:rPr>
              <w:t>1,200 (2025 est.)</w:t>
            </w:r>
          </w:p>
        </w:tc>
        <w:tc>
          <w:tcPr>
            <w:tcW w:type="dxa" w:w="1872"/>
          </w:tcPr>
          <w:p>
            <w:r/>
            <w:r>
              <w:rPr>
                <w:rFonts w:ascii="Inter" w:hAnsi="Inter" w:cs="Inter"/>
                <w:b w:val="0"/>
                <w:i w:val="0"/>
                <w:color w:val="2D2D2D"/>
                <w:sz w:val="19"/>
              </w:rPr>
              <w:t>5,000 individuals</w:t>
            </w:r>
          </w:p>
        </w:tc>
        <w:tc>
          <w:tcPr>
            <w:tcW w:type="dxa" w:w="1872"/>
          </w:tcPr>
          <w:p>
            <w:r/>
            <w:r>
              <w:rPr>
                <w:rFonts w:ascii="Inter" w:hAnsi="Inter" w:cs="Inter"/>
                <w:b w:val="0"/>
                <w:i w:val="0"/>
                <w:color w:val="2D2D2D"/>
                <w:sz w:val="19"/>
              </w:rPr>
              <w:t>Dec 2028</w:t>
            </w:r>
          </w:p>
        </w:tc>
      </w:tr>
      <w:tr>
        <w:tc>
          <w:tcPr>
            <w:tcW w:type="dxa" w:w="1872"/>
            <w:shd w:fill="F0F3F6"/>
          </w:tcPr>
          <w:p>
            <w:r/>
            <w:r>
              <w:rPr>
                <w:rFonts w:ascii="Inter" w:hAnsi="Inter" w:cs="Inter"/>
                <w:b w:val="0"/>
                <w:i w:val="0"/>
                <w:color w:val="2D2D2D"/>
                <w:sz w:val="19"/>
              </w:rPr>
              <w:t>Cross-cutting</w:t>
            </w:r>
          </w:p>
        </w:tc>
        <w:tc>
          <w:tcPr>
            <w:tcW w:type="dxa" w:w="1872"/>
            <w:shd w:fill="F0F3F6"/>
          </w:tcPr>
          <w:p>
            <w:r/>
            <w:r>
              <w:rPr>
                <w:rFonts w:ascii="Inter" w:hAnsi="Inter" w:cs="Inter"/>
                <w:b w:val="0"/>
                <w:i w:val="0"/>
                <w:color w:val="2D2D2D"/>
                <w:sz w:val="19"/>
              </w:rPr>
              <w:t>OBC concerns raised and resolved through coordination mechanisms (%)</w:t>
            </w:r>
          </w:p>
        </w:tc>
        <w:tc>
          <w:tcPr>
            <w:tcW w:type="dxa" w:w="1872"/>
            <w:shd w:fill="F0F3F6"/>
          </w:tcPr>
          <w:p>
            <w:r/>
            <w:r>
              <w:rPr>
                <w:rFonts w:ascii="Inter" w:hAnsi="Inter" w:cs="Inter"/>
                <w:b w:val="0"/>
                <w:i w:val="0"/>
                <w:color w:val="2D2D2D"/>
                <w:sz w:val="19"/>
              </w:rPr>
              <w:t>15% (FY 2024 est.)</w:t>
            </w:r>
          </w:p>
        </w:tc>
        <w:tc>
          <w:tcPr>
            <w:tcW w:type="dxa" w:w="1872"/>
            <w:shd w:fill="F0F3F6"/>
          </w:tcPr>
          <w:p>
            <w:r/>
            <w:r>
              <w:rPr>
                <w:rFonts w:ascii="Inter" w:hAnsi="Inter" w:cs="Inter"/>
                <w:b w:val="0"/>
                <w:i w:val="0"/>
                <w:color w:val="2D2D2D"/>
                <w:sz w:val="19"/>
              </w:rPr>
              <w:t>60%</w:t>
            </w:r>
          </w:p>
        </w:tc>
        <w:tc>
          <w:tcPr>
            <w:tcW w:type="dxa" w:w="1872"/>
            <w:shd w:fill="F0F3F6"/>
          </w:tcPr>
          <w:p>
            <w:r/>
            <w:r>
              <w:rPr>
                <w:rFonts w:ascii="Inter" w:hAnsi="Inter" w:cs="Inter"/>
                <w:b w:val="0"/>
                <w:i w:val="0"/>
                <w:color w:val="2D2D2D"/>
                <w:sz w:val="19"/>
              </w:rPr>
              <w:t>Dec 2028</w:t>
            </w:r>
          </w:p>
        </w:tc>
      </w:tr>
    </w:tbl>
    <w:p/>
    <w:p>
      <w:pPr>
        <w:spacing w:after="120" w:line="276" w:lineRule="auto"/>
      </w:pPr>
      <w:r>
        <w:rPr>
          <w:rFonts w:ascii="Inter" w:hAnsi="Inter" w:cs="Inter"/>
          <w:b w:val="0"/>
          <w:i w:val="0"/>
          <w:color w:val="2D2D2D"/>
          <w:sz w:val="22"/>
        </w:rPr>
        <w:t>OOBC submits this Strategic Plan as a binding institutional commitment to the Bangsamoro Government and to the Bangsamoro communities it serves, wherever they may be.</w:t>
      </w:r>
    </w:p>
    <w:p>
      <w:pPr>
        <w:spacing w:after="120" w:line="276" w:lineRule="auto"/>
      </w:pPr>
      <w:r>
        <w:rPr>
          <w:rFonts w:ascii="Inter" w:hAnsi="Inter" w:cs="Inter"/>
          <w:b w:val="0"/>
          <w:i w:val="0"/>
          <w:color w:val="2D2D2D"/>
          <w:sz w:val="22"/>
        </w:rPr>
        <w:t>[Executive Director, OOBC]          [Deputy Executive Director]          [Planning Officer]</w:t>
      </w:r>
    </w:p>
    <w:p>
      <w:pPr>
        <w:spacing w:after="120" w:line="276" w:lineRule="auto"/>
      </w:pPr>
      <w:r>
        <w:rPr>
          <w:rFonts w:ascii="Inter" w:hAnsi="Inter" w:cs="Inter"/>
          <w:b w:val="0"/>
          <w:i w:val="0"/>
          <w:color w:val="2D2D2D"/>
          <w:sz w:val="22"/>
        </w:rPr>
        <w:t>Date of Submission: ___________________</w:t>
      </w:r>
    </w:p>
    <w:p>
      <w:pPr>
        <w:pStyle w:val="Heading3"/>
      </w:pPr>
      <w:r>
        <w:rPr>
          <w:rFonts w:ascii="Inter" w:hAnsi="Inter" w:cs="Inter"/>
          <w:b/>
          <w:i w:val="0"/>
          <w:color w:val="2C5F7C"/>
          <w:sz w:val="26"/>
        </w:rPr>
        <w:t>PART I: FOUNDATION</w:t>
      </w:r>
    </w:p>
    <w:p>
      <w:pPr>
        <w:pStyle w:val="Heading4"/>
      </w:pPr>
      <w:r>
        <w:rPr>
          <w:rFonts w:ascii="Inter" w:hAnsi="Inter" w:cs="Inter"/>
          <w:b/>
          <w:i/>
          <w:color w:val="2C5F7C"/>
          <w:sz w:val="23"/>
        </w:rPr>
        <w:t>Section 1.1: Legal Mandate Matrix (from Chapter 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Legal Source</w:t>
            </w:r>
          </w:p>
        </w:tc>
        <w:tc>
          <w:tcPr>
            <w:tcW w:type="dxa" w:w="1560"/>
            <w:shd w:fill="1B365D"/>
          </w:tcPr>
          <w:p>
            <w:r/>
            <w:r>
              <w:rPr>
                <w:rFonts w:ascii="Inter" w:hAnsi="Inter" w:cs="Inter"/>
                <w:b/>
                <w:i w:val="0"/>
                <w:color w:val="FFFFFF"/>
                <w:sz w:val="19"/>
              </w:rPr>
              <w:t>Tier</w:t>
            </w:r>
          </w:p>
        </w:tc>
        <w:tc>
          <w:tcPr>
            <w:tcW w:type="dxa" w:w="1560"/>
            <w:shd w:fill="1B365D"/>
          </w:tcPr>
          <w:p>
            <w:r/>
            <w:r>
              <w:rPr>
                <w:rFonts w:ascii="Inter" w:hAnsi="Inter" w:cs="Inter"/>
                <w:b/>
                <w:i w:val="0"/>
                <w:color w:val="FFFFFF"/>
                <w:sz w:val="19"/>
              </w:rPr>
              <w:t>Provision</w:t>
            </w:r>
          </w:p>
        </w:tc>
        <w:tc>
          <w:tcPr>
            <w:tcW w:type="dxa" w:w="1560"/>
            <w:shd w:fill="1B365D"/>
          </w:tcPr>
          <w:p>
            <w:r/>
            <w:r>
              <w:rPr>
                <w:rFonts w:ascii="Inter" w:hAnsi="Inter" w:cs="Inter"/>
                <w:b/>
                <w:i w:val="0"/>
                <w:color w:val="FFFFFF"/>
                <w:sz w:val="19"/>
              </w:rPr>
              <w:t>Mandate/Authority</w:t>
            </w:r>
          </w:p>
        </w:tc>
        <w:tc>
          <w:tcPr>
            <w:tcW w:type="dxa" w:w="1560"/>
            <w:shd w:fill="1B365D"/>
          </w:tcPr>
          <w:p>
            <w:r/>
            <w:r>
              <w:rPr>
                <w:rFonts w:ascii="Inter" w:hAnsi="Inter" w:cs="Inter"/>
                <w:b/>
                <w:i w:val="0"/>
                <w:color w:val="FFFFFF"/>
                <w:sz w:val="19"/>
              </w:rPr>
              <w:t>Planning Domain</w:t>
            </w:r>
          </w:p>
        </w:tc>
        <w:tc>
          <w:tcPr>
            <w:tcW w:type="dxa" w:w="1560"/>
            <w:shd w:fill="1B365D"/>
          </w:tcPr>
          <w:p>
            <w:r/>
            <w:r>
              <w:rPr>
                <w:rFonts w:ascii="Inter" w:hAnsi="Inter" w:cs="Inter"/>
                <w:b/>
                <w:i w:val="0"/>
                <w:color w:val="FFFFFF"/>
                <w:sz w:val="19"/>
              </w:rPr>
              <w:t>Status</w:t>
            </w:r>
          </w:p>
        </w:tc>
      </w:tr>
      <w:tr>
        <w:tc>
          <w:tcPr>
            <w:tcW w:type="dxa" w:w="1560"/>
          </w:tcPr>
          <w:p>
            <w:r/>
            <w:r>
              <w:rPr>
                <w:rFonts w:ascii="Inter" w:hAnsi="Inter" w:cs="Inter"/>
                <w:b w:val="0"/>
                <w:i w:val="0"/>
                <w:color w:val="2D2D2D"/>
                <w:sz w:val="19"/>
              </w:rPr>
              <w:t>RA 11054 (BOL)</w:t>
            </w:r>
          </w:p>
        </w:tc>
        <w:tc>
          <w:tcPr>
            <w:tcW w:type="dxa" w:w="1560"/>
          </w:tcPr>
          <w:p>
            <w:r/>
            <w:r>
              <w:rPr>
                <w:rFonts w:ascii="Inter" w:hAnsi="Inter" w:cs="Inter"/>
                <w:b w:val="0"/>
                <w:i w:val="0"/>
                <w:color w:val="2D2D2D"/>
                <w:sz w:val="19"/>
              </w:rPr>
              <w:t>2</w:t>
            </w:r>
          </w:p>
        </w:tc>
        <w:tc>
          <w:tcPr>
            <w:tcW w:type="dxa" w:w="1560"/>
          </w:tcPr>
          <w:p>
            <w:r/>
            <w:r>
              <w:rPr>
                <w:rFonts w:ascii="Inter" w:hAnsi="Inter" w:cs="Inter"/>
                <w:b w:val="0"/>
                <w:i w:val="0"/>
                <w:color w:val="2D2D2D"/>
                <w:sz w:val="19"/>
              </w:rPr>
              <w:t>Art. VI, Sec. 12</w:t>
            </w:r>
          </w:p>
        </w:tc>
        <w:tc>
          <w:tcPr>
            <w:tcW w:type="dxa" w:w="1560"/>
          </w:tcPr>
          <w:p>
            <w:r/>
            <w:r>
              <w:rPr>
                <w:rFonts w:ascii="Inter" w:hAnsi="Inter" w:cs="Inter"/>
                <w:b w:val="0"/>
                <w:i w:val="0"/>
                <w:color w:val="2D2D2D"/>
                <w:sz w:val="19"/>
              </w:rPr>
              <w:t>"The Bangsamoro Government shall ensure that the rights and welfare of its people living outside the Bangsamoro Autonomous Region are protected and that they have equitable access to public services and benefits"</w:t>
            </w:r>
          </w:p>
        </w:tc>
        <w:tc>
          <w:tcPr>
            <w:tcW w:type="dxa" w:w="1560"/>
          </w:tcPr>
          <w:p>
            <w:r/>
            <w:r>
              <w:rPr>
                <w:rFonts w:ascii="Inter" w:hAnsi="Inter" w:cs="Inter"/>
                <w:b w:val="0"/>
                <w:i w:val="0"/>
                <w:color w:val="2D2D2D"/>
                <w:sz w:val="19"/>
              </w:rPr>
              <w:t>Core mandate: OBC service access and welfare</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RA 11054 (BOL)</w:t>
            </w:r>
          </w:p>
        </w:tc>
        <w:tc>
          <w:tcPr>
            <w:tcW w:type="dxa" w:w="1560"/>
            <w:shd w:fill="F0F3F6"/>
          </w:tcPr>
          <w:p>
            <w:r/>
            <w:r>
              <w:rPr>
                <w:rFonts w:ascii="Inter" w:hAnsi="Inter" w:cs="Inter"/>
                <w:b w:val="0"/>
                <w:i w:val="0"/>
                <w:color w:val="2D2D2D"/>
                <w:sz w:val="19"/>
              </w:rPr>
              <w:t>2</w:t>
            </w:r>
          </w:p>
        </w:tc>
        <w:tc>
          <w:tcPr>
            <w:tcW w:type="dxa" w:w="1560"/>
            <w:shd w:fill="F0F3F6"/>
          </w:tcPr>
          <w:p>
            <w:r/>
            <w:r>
              <w:rPr>
                <w:rFonts w:ascii="Inter" w:hAnsi="Inter" w:cs="Inter"/>
                <w:b w:val="0"/>
                <w:i w:val="0"/>
                <w:color w:val="2D2D2D"/>
                <w:sz w:val="19"/>
              </w:rPr>
              <w:t>Art. V, Sec. 2(a)</w:t>
            </w:r>
          </w:p>
        </w:tc>
        <w:tc>
          <w:tcPr>
            <w:tcW w:type="dxa" w:w="1560"/>
            <w:shd w:fill="F0F3F6"/>
          </w:tcPr>
          <w:p>
            <w:r/>
            <w:r>
              <w:rPr>
                <w:rFonts w:ascii="Inter" w:hAnsi="Inter" w:cs="Inter"/>
                <w:b w:val="0"/>
                <w:i w:val="0"/>
                <w:color w:val="2D2D2D"/>
                <w:sz w:val="19"/>
              </w:rPr>
              <w:t>Administrative governance, including coordination with external government units</w:t>
            </w:r>
          </w:p>
        </w:tc>
        <w:tc>
          <w:tcPr>
            <w:tcW w:type="dxa" w:w="1560"/>
            <w:shd w:fill="F0F3F6"/>
          </w:tcPr>
          <w:p>
            <w:r/>
            <w:r>
              <w:rPr>
                <w:rFonts w:ascii="Inter" w:hAnsi="Inter" w:cs="Inter"/>
                <w:b w:val="0"/>
                <w:i w:val="0"/>
                <w:color w:val="2D2D2D"/>
                <w:sz w:val="19"/>
              </w:rPr>
              <w:t>Inter-governmental coordination for OBC populations</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RA 11054 (BOL)</w:t>
            </w:r>
          </w:p>
        </w:tc>
        <w:tc>
          <w:tcPr>
            <w:tcW w:type="dxa" w:w="1560"/>
          </w:tcPr>
          <w:p>
            <w:r/>
            <w:r>
              <w:rPr>
                <w:rFonts w:ascii="Inter" w:hAnsi="Inter" w:cs="Inter"/>
                <w:b w:val="0"/>
                <w:i w:val="0"/>
                <w:color w:val="2D2D2D"/>
                <w:sz w:val="19"/>
              </w:rPr>
              <w:t>2</w:t>
            </w:r>
          </w:p>
        </w:tc>
        <w:tc>
          <w:tcPr>
            <w:tcW w:type="dxa" w:w="1560"/>
          </w:tcPr>
          <w:p>
            <w:r/>
            <w:r>
              <w:rPr>
                <w:rFonts w:ascii="Inter" w:hAnsi="Inter" w:cs="Inter"/>
                <w:b w:val="0"/>
                <w:i w:val="0"/>
                <w:color w:val="2D2D2D"/>
                <w:sz w:val="19"/>
              </w:rPr>
              <w:t>Art. IV, Sec. 2</w:t>
            </w:r>
          </w:p>
        </w:tc>
        <w:tc>
          <w:tcPr>
            <w:tcW w:type="dxa" w:w="1560"/>
          </w:tcPr>
          <w:p>
            <w:r/>
            <w:r>
              <w:rPr>
                <w:rFonts w:ascii="Inter" w:hAnsi="Inter" w:cs="Inter"/>
                <w:b w:val="0"/>
                <w:i w:val="0"/>
                <w:color w:val="2D2D2D"/>
                <w:sz w:val="19"/>
              </w:rPr>
              <w:t>The BARMM "is free to pursue its political, economic, social, and cultural development"</w:t>
            </w:r>
          </w:p>
        </w:tc>
        <w:tc>
          <w:tcPr>
            <w:tcW w:type="dxa" w:w="1560"/>
          </w:tcPr>
          <w:p>
            <w:r/>
            <w:r>
              <w:rPr>
                <w:rFonts w:ascii="Inter" w:hAnsi="Inter" w:cs="Inter"/>
                <w:b w:val="0"/>
                <w:i w:val="0"/>
                <w:color w:val="2D2D2D"/>
                <w:sz w:val="19"/>
              </w:rPr>
              <w:t>Autonomous planning for OBC engagement and development</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Phil. Const. (1987)</w:t>
            </w:r>
          </w:p>
        </w:tc>
        <w:tc>
          <w:tcPr>
            <w:tcW w:type="dxa" w:w="1560"/>
            <w:shd w:fill="F0F3F6"/>
          </w:tcPr>
          <w:p>
            <w:r/>
            <w:r>
              <w:rPr>
                <w:rFonts w:ascii="Inter" w:hAnsi="Inter" w:cs="Inter"/>
                <w:b w:val="0"/>
                <w:i w:val="0"/>
                <w:color w:val="2D2D2D"/>
                <w:sz w:val="19"/>
              </w:rPr>
              <w:t>1</w:t>
            </w:r>
          </w:p>
        </w:tc>
        <w:tc>
          <w:tcPr>
            <w:tcW w:type="dxa" w:w="1560"/>
            <w:shd w:fill="F0F3F6"/>
          </w:tcPr>
          <w:p>
            <w:r/>
            <w:r>
              <w:rPr>
                <w:rFonts w:ascii="Inter" w:hAnsi="Inter" w:cs="Inter"/>
                <w:b w:val="0"/>
                <w:i w:val="0"/>
                <w:color w:val="2D2D2D"/>
                <w:sz w:val="19"/>
              </w:rPr>
              <w:t>Art. XIII, Secs. 1-2</w:t>
            </w:r>
          </w:p>
        </w:tc>
        <w:tc>
          <w:tcPr>
            <w:tcW w:type="dxa" w:w="1560"/>
            <w:shd w:fill="F0F3F6"/>
          </w:tcPr>
          <w:p>
            <w:r/>
            <w:r>
              <w:rPr>
                <w:rFonts w:ascii="Inter" w:hAnsi="Inter" w:cs="Inter"/>
                <w:b w:val="0"/>
                <w:i w:val="0"/>
                <w:color w:val="2D2D2D"/>
                <w:sz w:val="19"/>
              </w:rPr>
              <w:t>Social justice: the State shall promote social justice in all phases of national development</w:t>
            </w:r>
          </w:p>
        </w:tc>
        <w:tc>
          <w:tcPr>
            <w:tcW w:type="dxa" w:w="1560"/>
            <w:shd w:fill="F0F3F6"/>
          </w:tcPr>
          <w:p>
            <w:r/>
            <w:r>
              <w:rPr>
                <w:rFonts w:ascii="Inter" w:hAnsi="Inter" w:cs="Inter"/>
                <w:b w:val="0"/>
                <w:i w:val="0"/>
                <w:color w:val="2D2D2D"/>
                <w:sz w:val="19"/>
              </w:rPr>
              <w:t>Constitutional basis for inclusive development covering OBCs</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Phil. Const. (1987)</w:t>
            </w:r>
          </w:p>
        </w:tc>
        <w:tc>
          <w:tcPr>
            <w:tcW w:type="dxa" w:w="1560"/>
          </w:tcPr>
          <w:p>
            <w:r/>
            <w:r>
              <w:rPr>
                <w:rFonts w:ascii="Inter" w:hAnsi="Inter" w:cs="Inter"/>
                <w:b w:val="0"/>
                <w:i w:val="0"/>
                <w:color w:val="2D2D2D"/>
                <w:sz w:val="19"/>
              </w:rPr>
              <w:t>1</w:t>
            </w:r>
          </w:p>
        </w:tc>
        <w:tc>
          <w:tcPr>
            <w:tcW w:type="dxa" w:w="1560"/>
          </w:tcPr>
          <w:p>
            <w:r/>
            <w:r>
              <w:rPr>
                <w:rFonts w:ascii="Inter" w:hAnsi="Inter" w:cs="Inter"/>
                <w:b w:val="0"/>
                <w:i w:val="0"/>
                <w:color w:val="2D2D2D"/>
                <w:sz w:val="19"/>
              </w:rPr>
              <w:t>Art. X, Sec. 15</w:t>
            </w:r>
          </w:p>
        </w:tc>
        <w:tc>
          <w:tcPr>
            <w:tcW w:type="dxa" w:w="1560"/>
          </w:tcPr>
          <w:p>
            <w:r/>
            <w:r>
              <w:rPr>
                <w:rFonts w:ascii="Inter" w:hAnsi="Inter" w:cs="Inter"/>
                <w:b w:val="0"/>
                <w:i w:val="0"/>
                <w:color w:val="2D2D2D"/>
                <w:sz w:val="19"/>
              </w:rPr>
              <w:t>Autonomous regions in Muslim Mindanao</w:t>
            </w:r>
          </w:p>
        </w:tc>
        <w:tc>
          <w:tcPr>
            <w:tcW w:type="dxa" w:w="1560"/>
          </w:tcPr>
          <w:p>
            <w:r/>
            <w:r>
              <w:rPr>
                <w:rFonts w:ascii="Inter" w:hAnsi="Inter" w:cs="Inter"/>
                <w:b w:val="0"/>
                <w:i w:val="0"/>
                <w:color w:val="2D2D2D"/>
                <w:sz w:val="19"/>
              </w:rPr>
              <w:t>Constitutional basis for BARMM's authority extending to its people regardless of location</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BAA No. 13</w:t>
            </w:r>
          </w:p>
        </w:tc>
        <w:tc>
          <w:tcPr>
            <w:tcW w:type="dxa" w:w="1560"/>
            <w:shd w:fill="F0F3F6"/>
          </w:tcPr>
          <w:p>
            <w:r/>
            <w:r>
              <w:rPr>
                <w:rFonts w:ascii="Inter" w:hAnsi="Inter" w:cs="Inter"/>
                <w:b w:val="0"/>
                <w:i w:val="0"/>
                <w:color w:val="2D2D2D"/>
                <w:sz w:val="19"/>
              </w:rPr>
              <w:t>3</w:t>
            </w:r>
          </w:p>
        </w:tc>
        <w:tc>
          <w:tcPr>
            <w:tcW w:type="dxa" w:w="1560"/>
            <w:shd w:fill="F0F3F6"/>
          </w:tcPr>
          <w:p>
            <w:r/>
            <w:r>
              <w:rPr>
                <w:rFonts w:ascii="Inter" w:hAnsi="Inter" w:cs="Inter"/>
                <w:b w:val="0"/>
                <w:i w:val="0"/>
                <w:color w:val="2D2D2D"/>
                <w:sz w:val="19"/>
              </w:rPr>
              <w:t>Book II, Title V</w:t>
            </w:r>
          </w:p>
        </w:tc>
        <w:tc>
          <w:tcPr>
            <w:tcW w:type="dxa" w:w="1560"/>
            <w:shd w:fill="F0F3F6"/>
          </w:tcPr>
          <w:p>
            <w:r/>
            <w:r>
              <w:rPr>
                <w:rFonts w:ascii="Inter" w:hAnsi="Inter" w:cs="Inter"/>
                <w:b w:val="0"/>
                <w:i w:val="0"/>
                <w:color w:val="2D2D2D"/>
                <w:sz w:val="19"/>
              </w:rPr>
              <w:t>Offices attached to the OCM and their mandates</w:t>
            </w:r>
          </w:p>
        </w:tc>
        <w:tc>
          <w:tcPr>
            <w:tcW w:type="dxa" w:w="1560"/>
            <w:shd w:fill="F0F3F6"/>
          </w:tcPr>
          <w:p>
            <w:r/>
            <w:r>
              <w:rPr>
                <w:rFonts w:ascii="Inter" w:hAnsi="Inter" w:cs="Inter"/>
                <w:b w:val="0"/>
                <w:i w:val="0"/>
                <w:color w:val="2D2D2D"/>
                <w:sz w:val="19"/>
              </w:rPr>
              <w:t>Organizational basis for OOBC as attached office under OCM</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BAA No. 13</w:t>
            </w:r>
          </w:p>
        </w:tc>
        <w:tc>
          <w:tcPr>
            <w:tcW w:type="dxa" w:w="1560"/>
          </w:tcPr>
          <w:p>
            <w:r/>
            <w:r>
              <w:rPr>
                <w:rFonts w:ascii="Inter" w:hAnsi="Inter" w:cs="Inter"/>
                <w:b w:val="0"/>
                <w:i w:val="0"/>
                <w:color w:val="2D2D2D"/>
                <w:sz w:val="19"/>
              </w:rPr>
              <w:t>3</w:t>
            </w:r>
          </w:p>
        </w:tc>
        <w:tc>
          <w:tcPr>
            <w:tcW w:type="dxa" w:w="1560"/>
          </w:tcPr>
          <w:p>
            <w:r/>
            <w:r>
              <w:rPr>
                <w:rFonts w:ascii="Inter" w:hAnsi="Inter" w:cs="Inter"/>
                <w:b w:val="0"/>
                <w:i w:val="0"/>
                <w:color w:val="2D2D2D"/>
                <w:sz w:val="19"/>
              </w:rPr>
              <w:t>Sections 12-15</w:t>
            </w:r>
          </w:p>
        </w:tc>
        <w:tc>
          <w:tcPr>
            <w:tcW w:type="dxa" w:w="1560"/>
          </w:tcPr>
          <w:p>
            <w:r/>
            <w:r>
              <w:rPr>
                <w:rFonts w:ascii="Inter" w:hAnsi="Inter" w:cs="Inter"/>
                <w:b w:val="0"/>
                <w:i w:val="0"/>
                <w:color w:val="2D2D2D"/>
                <w:sz w:val="19"/>
              </w:rPr>
              <w:t>BEDC policy and functions --- all offices must participate in plan formulation</w:t>
            </w:r>
          </w:p>
        </w:tc>
        <w:tc>
          <w:tcPr>
            <w:tcW w:type="dxa" w:w="1560"/>
          </w:tcPr>
          <w:p>
            <w:r/>
            <w:r>
              <w:rPr>
                <w:rFonts w:ascii="Inter" w:hAnsi="Inter" w:cs="Inter"/>
                <w:b w:val="0"/>
                <w:i w:val="0"/>
                <w:color w:val="2D2D2D"/>
                <w:sz w:val="19"/>
              </w:rPr>
              <w:t>Planning participation obligation</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BAA No. 84</w:t>
            </w:r>
          </w:p>
        </w:tc>
        <w:tc>
          <w:tcPr>
            <w:tcW w:type="dxa" w:w="1560"/>
            <w:shd w:fill="F0F3F6"/>
          </w:tcPr>
          <w:p>
            <w:r/>
            <w:r>
              <w:rPr>
                <w:rFonts w:ascii="Inter" w:hAnsi="Inter" w:cs="Inter"/>
                <w:b w:val="0"/>
                <w:i w:val="0"/>
                <w:color w:val="2D2D2D"/>
                <w:sz w:val="19"/>
              </w:rPr>
              <w:t>4</w:t>
            </w:r>
          </w:p>
        </w:tc>
        <w:tc>
          <w:tcPr>
            <w:tcW w:type="dxa" w:w="1560"/>
            <w:shd w:fill="F0F3F6"/>
          </w:tcPr>
          <w:p>
            <w:r/>
            <w:r>
              <w:rPr>
                <w:rFonts w:ascii="Inter" w:hAnsi="Inter" w:cs="Inter"/>
                <w:b w:val="0"/>
                <w:i w:val="0"/>
                <w:color w:val="2D2D2D"/>
                <w:sz w:val="19"/>
              </w:rPr>
              <w:t>Bangsamoro Budget System Act</w:t>
            </w:r>
          </w:p>
        </w:tc>
        <w:tc>
          <w:tcPr>
            <w:tcW w:type="dxa" w:w="1560"/>
            <w:shd w:fill="F0F3F6"/>
          </w:tcPr>
          <w:p>
            <w:r/>
            <w:r>
              <w:rPr>
                <w:rFonts w:ascii="Inter" w:hAnsi="Inter" w:cs="Inter"/>
                <w:b w:val="0"/>
                <w:i w:val="0"/>
                <w:color w:val="2D2D2D"/>
                <w:sz w:val="19"/>
              </w:rPr>
              <w:t>Budget preparation, execution, accountability</w:t>
            </w:r>
          </w:p>
        </w:tc>
        <w:tc>
          <w:tcPr>
            <w:tcW w:type="dxa" w:w="1560"/>
            <w:shd w:fill="F0F3F6"/>
          </w:tcPr>
          <w:p>
            <w:r/>
            <w:r>
              <w:rPr>
                <w:rFonts w:ascii="Inter" w:hAnsi="Inter" w:cs="Inter"/>
                <w:b w:val="0"/>
                <w:i w:val="0"/>
                <w:color w:val="2D2D2D"/>
                <w:sz w:val="19"/>
              </w:rPr>
              <w:t>Budget preparation and management</w:t>
            </w:r>
          </w:p>
        </w:tc>
        <w:tc>
          <w:tcPr>
            <w:tcW w:type="dxa" w:w="1560"/>
            <w:shd w:fill="F0F3F6"/>
          </w:tcPr>
          <w:p>
            <w:r/>
            <w:r>
              <w:rPr>
                <w:rFonts w:ascii="Inter" w:hAnsi="Inter" w:cs="Inter"/>
                <w:b w:val="0"/>
                <w:i w:val="0"/>
                <w:color w:val="2D2D2D"/>
                <w:sz w:val="19"/>
              </w:rPr>
              <w:t>Active</w:t>
            </w:r>
          </w:p>
        </w:tc>
      </w:tr>
      <w:tr>
        <w:tc>
          <w:tcPr>
            <w:tcW w:type="dxa" w:w="1560"/>
          </w:tcPr>
          <w:p>
            <w:r/>
            <w:r>
              <w:rPr>
                <w:rFonts w:ascii="Inter" w:hAnsi="Inter" w:cs="Inter"/>
                <w:b w:val="0"/>
                <w:i w:val="0"/>
                <w:color w:val="2D2D2D"/>
                <w:sz w:val="19"/>
              </w:rPr>
              <w:t>BAA No. 38</w:t>
            </w:r>
          </w:p>
        </w:tc>
        <w:tc>
          <w:tcPr>
            <w:tcW w:type="dxa" w:w="1560"/>
          </w:tcPr>
          <w:p>
            <w:r/>
            <w:r>
              <w:rPr>
                <w:rFonts w:ascii="Inter" w:hAnsi="Inter" w:cs="Inter"/>
                <w:b w:val="0"/>
                <w:i w:val="0"/>
                <w:color w:val="2D2D2D"/>
                <w:sz w:val="19"/>
              </w:rPr>
              <w:t>4</w:t>
            </w:r>
          </w:p>
        </w:tc>
        <w:tc>
          <w:tcPr>
            <w:tcW w:type="dxa" w:w="1560"/>
          </w:tcPr>
          <w:p>
            <w:r/>
            <w:r>
              <w:rPr>
                <w:rFonts w:ascii="Inter" w:hAnsi="Inter" w:cs="Inter"/>
                <w:b w:val="0"/>
                <w:i w:val="0"/>
                <w:color w:val="2D2D2D"/>
                <w:sz w:val="19"/>
              </w:rPr>
              <w:t>Procurement Code</w:t>
            </w:r>
          </w:p>
        </w:tc>
        <w:tc>
          <w:tcPr>
            <w:tcW w:type="dxa" w:w="1560"/>
          </w:tcPr>
          <w:p>
            <w:r/>
            <w:r>
              <w:rPr>
                <w:rFonts w:ascii="Inter" w:hAnsi="Inter" w:cs="Inter"/>
                <w:b w:val="0"/>
                <w:i w:val="0"/>
                <w:color w:val="2D2D2D"/>
                <w:sz w:val="19"/>
              </w:rPr>
              <w:t>Procurement of goods, services</w:t>
            </w:r>
          </w:p>
        </w:tc>
        <w:tc>
          <w:tcPr>
            <w:tcW w:type="dxa" w:w="1560"/>
          </w:tcPr>
          <w:p>
            <w:r/>
            <w:r>
              <w:rPr>
                <w:rFonts w:ascii="Inter" w:hAnsi="Inter" w:cs="Inter"/>
                <w:b w:val="0"/>
                <w:i w:val="0"/>
                <w:color w:val="2D2D2D"/>
                <w:sz w:val="19"/>
              </w:rPr>
              <w:t>Procurement management</w:t>
            </w:r>
          </w:p>
        </w:tc>
        <w:tc>
          <w:tcPr>
            <w:tcW w:type="dxa" w:w="1560"/>
          </w:tcPr>
          <w:p>
            <w:r/>
            <w:r>
              <w:rPr>
                <w:rFonts w:ascii="Inter" w:hAnsi="Inter" w:cs="Inter"/>
                <w:b w:val="0"/>
                <w:i w:val="0"/>
                <w:color w:val="2D2D2D"/>
                <w:sz w:val="19"/>
              </w:rPr>
              <w:t>Active</w:t>
            </w:r>
          </w:p>
        </w:tc>
      </w:tr>
      <w:tr>
        <w:tc>
          <w:tcPr>
            <w:tcW w:type="dxa" w:w="1560"/>
            <w:shd w:fill="F0F3F6"/>
          </w:tcPr>
          <w:p>
            <w:r/>
            <w:r>
              <w:rPr>
                <w:rFonts w:ascii="Inter" w:hAnsi="Inter" w:cs="Inter"/>
                <w:b w:val="0"/>
                <w:i w:val="0"/>
                <w:color w:val="2D2D2D"/>
                <w:sz w:val="19"/>
              </w:rPr>
              <w:t>RA 10173</w:t>
            </w:r>
          </w:p>
        </w:tc>
        <w:tc>
          <w:tcPr>
            <w:tcW w:type="dxa" w:w="1560"/>
            <w:shd w:fill="F0F3F6"/>
          </w:tcPr>
          <w:p>
            <w:r/>
            <w:r>
              <w:rPr>
                <w:rFonts w:ascii="Inter" w:hAnsi="Inter" w:cs="Inter"/>
                <w:b w:val="0"/>
                <w:i w:val="0"/>
                <w:color w:val="2D2D2D"/>
                <w:sz w:val="19"/>
              </w:rPr>
              <w:t>5</w:t>
            </w:r>
          </w:p>
        </w:tc>
        <w:tc>
          <w:tcPr>
            <w:tcW w:type="dxa" w:w="1560"/>
            <w:shd w:fill="F0F3F6"/>
          </w:tcPr>
          <w:p>
            <w:r/>
            <w:r>
              <w:rPr>
                <w:rFonts w:ascii="Inter" w:hAnsi="Inter" w:cs="Inter"/>
                <w:b w:val="0"/>
                <w:i w:val="0"/>
                <w:color w:val="2D2D2D"/>
                <w:sz w:val="19"/>
              </w:rPr>
              <w:t>Data Privacy Act</w:t>
            </w:r>
          </w:p>
        </w:tc>
        <w:tc>
          <w:tcPr>
            <w:tcW w:type="dxa" w:w="1560"/>
            <w:shd w:fill="F0F3F6"/>
          </w:tcPr>
          <w:p>
            <w:r/>
            <w:r>
              <w:rPr>
                <w:rFonts w:ascii="Inter" w:hAnsi="Inter" w:cs="Inter"/>
                <w:b w:val="0"/>
                <w:i w:val="0"/>
                <w:color w:val="2D2D2D"/>
                <w:sz w:val="19"/>
              </w:rPr>
              <w:t>Governs collection and use of personal data</w:t>
            </w:r>
          </w:p>
        </w:tc>
        <w:tc>
          <w:tcPr>
            <w:tcW w:type="dxa" w:w="1560"/>
            <w:shd w:fill="F0F3F6"/>
          </w:tcPr>
          <w:p>
            <w:r/>
            <w:r>
              <w:rPr>
                <w:rFonts w:ascii="Inter" w:hAnsi="Inter" w:cs="Inter"/>
                <w:b w:val="0"/>
                <w:i w:val="0"/>
                <w:color w:val="2D2D2D"/>
                <w:sz w:val="19"/>
              </w:rPr>
              <w:t>OBC database privacy compliance</w:t>
            </w:r>
          </w:p>
        </w:tc>
        <w:tc>
          <w:tcPr>
            <w:tcW w:type="dxa" w:w="1560"/>
            <w:shd w:fill="F0F3F6"/>
          </w:tcPr>
          <w:p>
            <w:r/>
            <w:r>
              <w:rPr>
                <w:rFonts w:ascii="Inter" w:hAnsi="Inter" w:cs="Inter"/>
                <w:b w:val="0"/>
                <w:i w:val="0"/>
                <w:color w:val="2D2D2D"/>
                <w:sz w:val="19"/>
              </w:rPr>
              <w:t>Active --- national law</w:t>
            </w:r>
          </w:p>
        </w:tc>
      </w:tr>
      <w:tr>
        <w:tc>
          <w:tcPr>
            <w:tcW w:type="dxa" w:w="1560"/>
          </w:tcPr>
          <w:p>
            <w:r/>
            <w:r>
              <w:rPr>
                <w:rFonts w:ascii="Inter" w:hAnsi="Inter" w:cs="Inter"/>
                <w:b w:val="0"/>
                <w:i w:val="0"/>
                <w:color w:val="2D2D2D"/>
                <w:sz w:val="19"/>
              </w:rPr>
              <w:t>RA 11032</w:t>
            </w:r>
          </w:p>
        </w:tc>
        <w:tc>
          <w:tcPr>
            <w:tcW w:type="dxa" w:w="1560"/>
          </w:tcPr>
          <w:p>
            <w:r/>
            <w:r>
              <w:rPr>
                <w:rFonts w:ascii="Inter" w:hAnsi="Inter" w:cs="Inter"/>
                <w:b w:val="0"/>
                <w:i w:val="0"/>
                <w:color w:val="2D2D2D"/>
                <w:sz w:val="19"/>
              </w:rPr>
              <w:t>5</w:t>
            </w:r>
          </w:p>
        </w:tc>
        <w:tc>
          <w:tcPr>
            <w:tcW w:type="dxa" w:w="1560"/>
          </w:tcPr>
          <w:p>
            <w:r/>
            <w:r>
              <w:rPr>
                <w:rFonts w:ascii="Inter" w:hAnsi="Inter" w:cs="Inter"/>
                <w:b w:val="0"/>
                <w:i w:val="0"/>
                <w:color w:val="2D2D2D"/>
                <w:sz w:val="19"/>
              </w:rPr>
              <w:t>Ease of Doing Business Act</w:t>
            </w:r>
          </w:p>
        </w:tc>
        <w:tc>
          <w:tcPr>
            <w:tcW w:type="dxa" w:w="1560"/>
          </w:tcPr>
          <w:p>
            <w:r/>
            <w:r>
              <w:rPr>
                <w:rFonts w:ascii="Inter" w:hAnsi="Inter" w:cs="Inter"/>
                <w:b w:val="0"/>
                <w:i w:val="0"/>
                <w:color w:val="2D2D2D"/>
                <w:sz w:val="19"/>
              </w:rPr>
              <w:t>Service delivery standards for government transactions</w:t>
            </w:r>
          </w:p>
        </w:tc>
        <w:tc>
          <w:tcPr>
            <w:tcW w:type="dxa" w:w="1560"/>
          </w:tcPr>
          <w:p>
            <w:r/>
            <w:r>
              <w:rPr>
                <w:rFonts w:ascii="Inter" w:hAnsi="Inter" w:cs="Inter"/>
                <w:b w:val="0"/>
                <w:i w:val="0"/>
                <w:color w:val="2D2D2D"/>
                <w:sz w:val="19"/>
              </w:rPr>
              <w:t>Service access standards for OBC clients</w:t>
            </w:r>
          </w:p>
        </w:tc>
        <w:tc>
          <w:tcPr>
            <w:tcW w:type="dxa" w:w="1560"/>
          </w:tcPr>
          <w:p>
            <w:r/>
            <w:r>
              <w:rPr>
                <w:rFonts w:ascii="Inter" w:hAnsi="Inter" w:cs="Inter"/>
                <w:b w:val="0"/>
                <w:i w:val="0"/>
                <w:color w:val="2D2D2D"/>
                <w:sz w:val="19"/>
              </w:rPr>
              <w:t>Active --- national law, suppletory</w:t>
            </w:r>
          </w:p>
        </w:tc>
      </w:tr>
      <w:tr>
        <w:tc>
          <w:tcPr>
            <w:tcW w:type="dxa" w:w="1560"/>
            <w:shd w:fill="F0F3F6"/>
          </w:tcPr>
          <w:p>
            <w:r/>
            <w:r>
              <w:rPr>
                <w:rFonts w:ascii="Inter" w:hAnsi="Inter" w:cs="Inter"/>
                <w:b w:val="0"/>
                <w:i w:val="0"/>
                <w:color w:val="2D2D2D"/>
                <w:sz w:val="19"/>
              </w:rPr>
              <w:t>EO No. 001</w:t>
            </w:r>
          </w:p>
        </w:tc>
        <w:tc>
          <w:tcPr>
            <w:tcW w:type="dxa" w:w="1560"/>
            <w:shd w:fill="F0F3F6"/>
          </w:tcPr>
          <w:p>
            <w:r/>
            <w:r>
              <w:rPr>
                <w:rFonts w:ascii="Inter" w:hAnsi="Inter" w:cs="Inter"/>
                <w:b w:val="0"/>
                <w:i w:val="0"/>
                <w:color w:val="2D2D2D"/>
                <w:sz w:val="19"/>
              </w:rPr>
              <w:t>6</w:t>
            </w:r>
          </w:p>
        </w:tc>
        <w:tc>
          <w:tcPr>
            <w:tcW w:type="dxa" w:w="1560"/>
            <w:shd w:fill="F0F3F6"/>
          </w:tcPr>
          <w:p>
            <w:r/>
            <w:r>
              <w:rPr>
                <w:rFonts w:ascii="Inter" w:hAnsi="Inter" w:cs="Inter"/>
                <w:b w:val="0"/>
                <w:i w:val="0"/>
                <w:color w:val="2D2D2D"/>
                <w:sz w:val="19"/>
              </w:rPr>
              <w:t>Organization of the Bangsamoro Government</w:t>
            </w:r>
          </w:p>
        </w:tc>
        <w:tc>
          <w:tcPr>
            <w:tcW w:type="dxa" w:w="1560"/>
            <w:shd w:fill="F0F3F6"/>
          </w:tcPr>
          <w:p>
            <w:r/>
            <w:r>
              <w:rPr>
                <w:rFonts w:ascii="Inter" w:hAnsi="Inter" w:cs="Inter"/>
                <w:b w:val="0"/>
                <w:i w:val="0"/>
                <w:color w:val="2D2D2D"/>
                <w:sz w:val="19"/>
              </w:rPr>
              <w:t>Initial government structure, including attached offices</w:t>
            </w:r>
          </w:p>
        </w:tc>
        <w:tc>
          <w:tcPr>
            <w:tcW w:type="dxa" w:w="1560"/>
            <w:shd w:fill="F0F3F6"/>
          </w:tcPr>
          <w:p>
            <w:r/>
            <w:r>
              <w:rPr>
                <w:rFonts w:ascii="Inter" w:hAnsi="Inter" w:cs="Inter"/>
                <w:b w:val="0"/>
                <w:i w:val="0"/>
                <w:color w:val="2D2D2D"/>
                <w:sz w:val="19"/>
              </w:rPr>
              <w:t>Organizational structure</w:t>
            </w:r>
          </w:p>
        </w:tc>
        <w:tc>
          <w:tcPr>
            <w:tcW w:type="dxa" w:w="1560"/>
            <w:shd w:fill="F0F3F6"/>
          </w:tcPr>
          <w:p>
            <w:r/>
            <w:r>
              <w:rPr>
                <w:rFonts w:ascii="Inter" w:hAnsi="Inter" w:cs="Inter"/>
                <w:b w:val="0"/>
                <w:i w:val="0"/>
                <w:color w:val="2D2D2D"/>
                <w:sz w:val="19"/>
              </w:rPr>
              <w:t>Active</w:t>
            </w:r>
          </w:p>
        </w:tc>
      </w:tr>
    </w:tbl>
    <w:p/>
    <w:p>
      <w:pPr>
        <w:pStyle w:val="Heading4"/>
      </w:pPr>
      <w:r>
        <w:rPr>
          <w:rFonts w:ascii="Inter" w:hAnsi="Inter" w:cs="Inter"/>
          <w:b/>
          <w:i/>
          <w:color w:val="2C5F7C"/>
          <w:sz w:val="23"/>
        </w:rPr>
        <w:t>Section 1.2: BDP Alignment Map (from Chapter 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Legal Mandate</w:t>
            </w:r>
          </w:p>
        </w:tc>
        <w:tc>
          <w:tcPr>
            <w:tcW w:type="dxa" w:w="1560"/>
            <w:shd w:fill="1B365D"/>
          </w:tcPr>
          <w:p>
            <w:r/>
            <w:r>
              <w:rPr>
                <w:rFonts w:ascii="Inter" w:hAnsi="Inter" w:cs="Inter"/>
                <w:b/>
                <w:i w:val="0"/>
                <w:color w:val="FFFFFF"/>
                <w:sz w:val="19"/>
              </w:rPr>
              <w:t>BDP Goal</w:t>
            </w:r>
          </w:p>
        </w:tc>
        <w:tc>
          <w:tcPr>
            <w:tcW w:type="dxa" w:w="1560"/>
            <w:shd w:fill="1B365D"/>
          </w:tcPr>
          <w:p>
            <w:r/>
            <w:r>
              <w:rPr>
                <w:rFonts w:ascii="Inter" w:hAnsi="Inter" w:cs="Inter"/>
                <w:b/>
                <w:i w:val="0"/>
                <w:color w:val="FFFFFF"/>
                <w:sz w:val="19"/>
              </w:rPr>
              <w:t>BDP Strategy</w:t>
            </w:r>
          </w:p>
        </w:tc>
        <w:tc>
          <w:tcPr>
            <w:tcW w:type="dxa" w:w="1560"/>
            <w:shd w:fill="1B365D"/>
          </w:tcPr>
          <w:p>
            <w:r/>
            <w:r>
              <w:rPr>
                <w:rFonts w:ascii="Inter" w:hAnsi="Inter" w:cs="Inter"/>
                <w:b/>
                <w:i w:val="0"/>
                <w:color w:val="FFFFFF"/>
                <w:sz w:val="19"/>
              </w:rPr>
              <w:t>Contribution Statement</w:t>
            </w:r>
          </w:p>
        </w:tc>
        <w:tc>
          <w:tcPr>
            <w:tcW w:type="dxa" w:w="1560"/>
            <w:shd w:fill="1B365D"/>
          </w:tcPr>
          <w:p>
            <w:r/>
            <w:r>
              <w:rPr>
                <w:rFonts w:ascii="Inter" w:hAnsi="Inter" w:cs="Inter"/>
                <w:b/>
                <w:i w:val="0"/>
                <w:color w:val="FFFFFF"/>
                <w:sz w:val="19"/>
              </w:rPr>
              <w:t>Alignment Type</w:t>
            </w:r>
          </w:p>
        </w:tc>
        <w:tc>
          <w:tcPr>
            <w:tcW w:type="dxa" w:w="1560"/>
            <w:shd w:fill="1B365D"/>
          </w:tcPr>
          <w:p>
            <w:r/>
            <w:r>
              <w:rPr>
                <w:rFonts w:ascii="Inter" w:hAnsi="Inter" w:cs="Inter"/>
                <w:b/>
                <w:i w:val="0"/>
                <w:color w:val="FFFFFF"/>
                <w:sz w:val="19"/>
              </w:rPr>
              <w:t>Cross-Cutting Themes</w:t>
            </w:r>
          </w:p>
        </w:tc>
      </w:tr>
      <w:tr>
        <w:tc>
          <w:tcPr>
            <w:tcW w:type="dxa" w:w="1560"/>
          </w:tcPr>
          <w:p>
            <w:r/>
            <w:r>
              <w:rPr>
                <w:rFonts w:ascii="Inter" w:hAnsi="Inter" w:cs="Inter"/>
                <w:b w:val="0"/>
                <w:i w:val="0"/>
                <w:color w:val="2D2D2D"/>
                <w:sz w:val="19"/>
              </w:rPr>
              <w:t>Ensure equitable access to public services for Bangsamoro outside BARMM (BOL Art. VI, Sec. 12)</w:t>
            </w:r>
          </w:p>
        </w:tc>
        <w:tc>
          <w:tcPr>
            <w:tcW w:type="dxa" w:w="1560"/>
          </w:tcPr>
          <w:p>
            <w:r/>
            <w:r>
              <w:rPr>
                <w:rFonts w:ascii="Inter" w:hAnsi="Inter" w:cs="Inter"/>
                <w:b w:val="0"/>
                <w:i w:val="0"/>
                <w:color w:val="2D2D2D"/>
                <w:sz w:val="19"/>
              </w:rPr>
              <w:t>G4: Inclusive, Responsive, and Quality Social Services</w:t>
            </w:r>
          </w:p>
        </w:tc>
        <w:tc>
          <w:tcPr>
            <w:tcW w:type="dxa" w:w="1560"/>
          </w:tcPr>
          <w:p>
            <w:r/>
            <w:r>
              <w:rPr>
                <w:rFonts w:ascii="Inter" w:hAnsi="Inter" w:cs="Inter"/>
                <w:b w:val="0"/>
                <w:i w:val="0"/>
                <w:color w:val="2D2D2D"/>
                <w:sz w:val="19"/>
              </w:rPr>
              <w:t>S6: Ensure inclusive and equitable access to quality services</w:t>
            </w:r>
          </w:p>
        </w:tc>
        <w:tc>
          <w:tcPr>
            <w:tcW w:type="dxa" w:w="1560"/>
          </w:tcPr>
          <w:p>
            <w:r/>
            <w:r>
              <w:rPr>
                <w:rFonts w:ascii="Inter" w:hAnsi="Inter" w:cs="Inter"/>
                <w:b w:val="0"/>
                <w:i w:val="0"/>
                <w:color w:val="2D2D2D"/>
                <w:sz w:val="19"/>
              </w:rPr>
              <w:t>Bridges the service access gap for Bangsamoro populations excluded by geography, ensuring BARMM social programs reach communities outside the core territory</w:t>
            </w:r>
          </w:p>
        </w:tc>
        <w:tc>
          <w:tcPr>
            <w:tcW w:type="dxa" w:w="1560"/>
          </w:tcPr>
          <w:p>
            <w:r/>
            <w:r>
              <w:rPr>
                <w:rFonts w:ascii="Inter" w:hAnsi="Inter" w:cs="Inter"/>
                <w:b w:val="0"/>
                <w:i w:val="0"/>
                <w:color w:val="2D2D2D"/>
                <w:sz w:val="19"/>
              </w:rPr>
              <w:t>Primary</w:t>
            </w:r>
          </w:p>
        </w:tc>
        <w:tc>
          <w:tcPr>
            <w:tcW w:type="dxa" w:w="1560"/>
          </w:tcPr>
          <w:p>
            <w:r/>
            <w:r>
              <w:rPr>
                <w:rFonts w:ascii="Inter" w:hAnsi="Inter" w:cs="Inter"/>
                <w:b w:val="0"/>
                <w:i w:val="0"/>
                <w:color w:val="2D2D2D"/>
                <w:sz w:val="19"/>
              </w:rPr>
              <w:t>Gender and Inclusivity, Peace and Security</w:t>
            </w:r>
          </w:p>
        </w:tc>
      </w:tr>
      <w:tr>
        <w:tc>
          <w:tcPr>
            <w:tcW w:type="dxa" w:w="1560"/>
            <w:shd w:fill="F0F3F6"/>
          </w:tcPr>
          <w:p>
            <w:r/>
            <w:r>
              <w:rPr>
                <w:rFonts w:ascii="Inter" w:hAnsi="Inter" w:cs="Inter"/>
                <w:b w:val="0"/>
                <w:i w:val="0"/>
                <w:color w:val="2D2D2D"/>
                <w:sz w:val="19"/>
              </w:rPr>
              <w:t>Protect rights and welfare of Bangsamoro living outside BARMM (BOL Art. VI, Sec. 12)</w:t>
            </w:r>
          </w:p>
        </w:tc>
        <w:tc>
          <w:tcPr>
            <w:tcW w:type="dxa" w:w="1560"/>
            <w:shd w:fill="F0F3F6"/>
          </w:tcPr>
          <w:p>
            <w:r/>
            <w:r>
              <w:rPr>
                <w:rFonts w:ascii="Inter" w:hAnsi="Inter" w:cs="Inter"/>
                <w:b w:val="0"/>
                <w:i w:val="0"/>
                <w:color w:val="2D2D2D"/>
                <w:sz w:val="19"/>
              </w:rPr>
              <w:t>G3: Peaceful, Safe, and Resilient Communities</w:t>
            </w:r>
          </w:p>
        </w:tc>
        <w:tc>
          <w:tcPr>
            <w:tcW w:type="dxa" w:w="1560"/>
            <w:shd w:fill="F0F3F6"/>
          </w:tcPr>
          <w:p>
            <w:r/>
            <w:r>
              <w:rPr>
                <w:rFonts w:ascii="Inter" w:hAnsi="Inter" w:cs="Inter"/>
                <w:b w:val="0"/>
                <w:i w:val="0"/>
                <w:color w:val="2D2D2D"/>
                <w:sz w:val="19"/>
              </w:rPr>
              <w:t>S5: Enhance peace, public order, safety and uphold human rights</w:t>
            </w:r>
          </w:p>
        </w:tc>
        <w:tc>
          <w:tcPr>
            <w:tcW w:type="dxa" w:w="1560"/>
            <w:shd w:fill="F0F3F6"/>
          </w:tcPr>
          <w:p>
            <w:r/>
            <w:r>
              <w:rPr>
                <w:rFonts w:ascii="Inter" w:hAnsi="Inter" w:cs="Inter"/>
                <w:b w:val="0"/>
                <w:i w:val="0"/>
                <w:color w:val="2D2D2D"/>
                <w:sz w:val="19"/>
              </w:rPr>
              <w:t>Strengthens engagement with displaced and vulnerable Bangsamoro communities, reducing isolation and building resilience through formal government support channels</w:t>
            </w:r>
          </w:p>
        </w:tc>
        <w:tc>
          <w:tcPr>
            <w:tcW w:type="dxa" w:w="1560"/>
            <w:shd w:fill="F0F3F6"/>
          </w:tcPr>
          <w:p>
            <w:r/>
            <w:r>
              <w:rPr>
                <w:rFonts w:ascii="Inter" w:hAnsi="Inter" w:cs="Inter"/>
                <w:b w:val="0"/>
                <w:i w:val="0"/>
                <w:color w:val="2D2D2D"/>
                <w:sz w:val="19"/>
              </w:rPr>
              <w:t>Primary</w:t>
            </w:r>
          </w:p>
        </w:tc>
        <w:tc>
          <w:tcPr>
            <w:tcW w:type="dxa" w:w="1560"/>
            <w:shd w:fill="F0F3F6"/>
          </w:tcPr>
          <w:p>
            <w:r/>
            <w:r>
              <w:rPr>
                <w:rFonts w:ascii="Inter" w:hAnsi="Inter" w:cs="Inter"/>
                <w:b w:val="0"/>
                <w:i w:val="0"/>
                <w:color w:val="2D2D2D"/>
                <w:sz w:val="19"/>
              </w:rPr>
              <w:t>Peace and Security, Gender and Inclusivity</w:t>
            </w:r>
          </w:p>
        </w:tc>
      </w:tr>
      <w:tr>
        <w:tc>
          <w:tcPr>
            <w:tcW w:type="dxa" w:w="1560"/>
          </w:tcPr>
          <w:p>
            <w:r/>
            <w:r>
              <w:rPr>
                <w:rFonts w:ascii="Inter" w:hAnsi="Inter" w:cs="Inter"/>
                <w:b w:val="0"/>
                <w:i w:val="0"/>
                <w:color w:val="2D2D2D"/>
                <w:sz w:val="19"/>
              </w:rPr>
              <w:t>Administrative governance and inter-governmental coordination (BOL Art. V, Sec. 2(a))</w:t>
            </w:r>
          </w:p>
        </w:tc>
        <w:tc>
          <w:tcPr>
            <w:tcW w:type="dxa" w:w="1560"/>
          </w:tcPr>
          <w:p>
            <w:r/>
            <w:r>
              <w:rPr>
                <w:rFonts w:ascii="Inter" w:hAnsi="Inter" w:cs="Inter"/>
                <w:b w:val="0"/>
                <w:i w:val="0"/>
                <w:color w:val="2D2D2D"/>
                <w:sz w:val="19"/>
              </w:rPr>
              <w:t>G1: Stable, Just, and Accountable Government</w:t>
            </w:r>
          </w:p>
        </w:tc>
        <w:tc>
          <w:tcPr>
            <w:tcW w:type="dxa" w:w="1560"/>
          </w:tcPr>
          <w:p>
            <w:r/>
            <w:r>
              <w:rPr>
                <w:rFonts w:ascii="Inter" w:hAnsi="Inter" w:cs="Inter"/>
                <w:b w:val="0"/>
                <w:i w:val="0"/>
                <w:color w:val="2D2D2D"/>
                <w:sz w:val="19"/>
              </w:rPr>
              <w:t>S1: Improve and strengthen governance mechanisms</w:t>
            </w:r>
          </w:p>
        </w:tc>
        <w:tc>
          <w:tcPr>
            <w:tcW w:type="dxa" w:w="1560"/>
          </w:tcPr>
          <w:p>
            <w:r/>
            <w:r>
              <w:rPr>
                <w:rFonts w:ascii="Inter" w:hAnsi="Inter" w:cs="Inter"/>
                <w:b w:val="0"/>
                <w:i w:val="0"/>
                <w:color w:val="2D2D2D"/>
                <w:sz w:val="19"/>
              </w:rPr>
              <w:t>Develops formal coordination mechanisms with LGUs and NGAs hosting OBC populations, strengthening BARMM's institutional reach and accountability beyond its geographic boundaries</w:t>
            </w:r>
          </w:p>
        </w:tc>
        <w:tc>
          <w:tcPr>
            <w:tcW w:type="dxa" w:w="1560"/>
          </w:tcPr>
          <w:p>
            <w:r/>
            <w:r>
              <w:rPr>
                <w:rFonts w:ascii="Inter" w:hAnsi="Inter" w:cs="Inter"/>
                <w:b w:val="0"/>
                <w:i w:val="0"/>
                <w:color w:val="2D2D2D"/>
                <w:sz w:val="19"/>
              </w:rPr>
              <w:t>Primary</w:t>
            </w:r>
          </w:p>
        </w:tc>
        <w:tc>
          <w:tcPr>
            <w:tcW w:type="dxa" w:w="1560"/>
          </w:tcPr>
          <w:p>
            <w:r/>
            <w:r>
              <w:rPr>
                <w:rFonts w:ascii="Inter" w:hAnsi="Inter" w:cs="Inter"/>
                <w:b w:val="0"/>
                <w:i w:val="0"/>
                <w:color w:val="2D2D2D"/>
                <w:sz w:val="19"/>
              </w:rPr>
              <w:t>Moral Governance (accountability, transparency)</w:t>
            </w:r>
          </w:p>
        </w:tc>
      </w:tr>
      <w:tr>
        <w:tc>
          <w:tcPr>
            <w:tcW w:type="dxa" w:w="1560"/>
            <w:shd w:fill="F0F3F6"/>
          </w:tcPr>
          <w:p>
            <w:r/>
            <w:r>
              <w:rPr>
                <w:rFonts w:ascii="Inter" w:hAnsi="Inter" w:cs="Inter"/>
                <w:b w:val="0"/>
                <w:i w:val="0"/>
                <w:color w:val="2D2D2D"/>
                <w:sz w:val="19"/>
              </w:rPr>
              <w:t>Social justice in all phases of development (Phil. Const. Art. XIII)</w:t>
            </w:r>
          </w:p>
        </w:tc>
        <w:tc>
          <w:tcPr>
            <w:tcW w:type="dxa" w:w="1560"/>
            <w:shd w:fill="F0F3F6"/>
          </w:tcPr>
          <w:p>
            <w:r/>
            <w:r>
              <w:rPr>
                <w:rFonts w:ascii="Inter" w:hAnsi="Inter" w:cs="Inter"/>
                <w:b w:val="0"/>
                <w:i w:val="0"/>
                <w:color w:val="2D2D2D"/>
                <w:sz w:val="19"/>
              </w:rPr>
              <w:t>G4: Inclusive, Responsive, and Quality Social Services</w:t>
            </w:r>
          </w:p>
        </w:tc>
        <w:tc>
          <w:tcPr>
            <w:tcW w:type="dxa" w:w="1560"/>
            <w:shd w:fill="F0F3F6"/>
          </w:tcPr>
          <w:p>
            <w:r/>
            <w:r>
              <w:rPr>
                <w:rFonts w:ascii="Inter" w:hAnsi="Inter" w:cs="Inter"/>
                <w:b w:val="0"/>
                <w:i w:val="0"/>
                <w:color w:val="2D2D2D"/>
                <w:sz w:val="19"/>
              </w:rPr>
              <w:t>S6: Ensure inclusive and equitable access</w:t>
            </w:r>
          </w:p>
        </w:tc>
        <w:tc>
          <w:tcPr>
            <w:tcW w:type="dxa" w:w="1560"/>
            <w:shd w:fill="F0F3F6"/>
          </w:tcPr>
          <w:p>
            <w:r/>
            <w:r>
              <w:rPr>
                <w:rFonts w:ascii="Inter" w:hAnsi="Inter" w:cs="Inter"/>
                <w:b w:val="0"/>
                <w:i w:val="0"/>
                <w:color w:val="2D2D2D"/>
                <w:sz w:val="19"/>
              </w:rPr>
              <w:t>Advocates for OBC inclusion in national and local government programs, ensuring constitutional social justice commitments extend to all Bangsamoro regardless of residence</w:t>
            </w:r>
          </w:p>
        </w:tc>
        <w:tc>
          <w:tcPr>
            <w:tcW w:type="dxa" w:w="1560"/>
            <w:shd w:fill="F0F3F6"/>
          </w:tcPr>
          <w:p>
            <w:r/>
            <w:r>
              <w:rPr>
                <w:rFonts w:ascii="Inter" w:hAnsi="Inter" w:cs="Inter"/>
                <w:b w:val="0"/>
                <w:i w:val="0"/>
                <w:color w:val="2D2D2D"/>
                <w:sz w:val="19"/>
              </w:rPr>
              <w:t>Contributory</w:t>
            </w:r>
          </w:p>
        </w:tc>
        <w:tc>
          <w:tcPr>
            <w:tcW w:type="dxa" w:w="1560"/>
            <w:shd w:fill="F0F3F6"/>
          </w:tcPr>
          <w:p>
            <w:r/>
            <w:r>
              <w:rPr>
                <w:rFonts w:ascii="Inter" w:hAnsi="Inter" w:cs="Inter"/>
                <w:b w:val="0"/>
                <w:i w:val="0"/>
                <w:color w:val="2D2D2D"/>
                <w:sz w:val="19"/>
              </w:rPr>
              <w:t>Gender and Inclusivity</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Cross-Cutting Theme Analysis: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4680"/>
        <w:gridCol w:w="4680"/>
      </w:tblGrid>
      <w:tr>
        <w:tc>
          <w:tcPr>
            <w:tcW w:type="dxa" w:w="4680"/>
            <w:shd w:fill="1B365D"/>
          </w:tcPr>
          <w:p>
            <w:r/>
            <w:r>
              <w:rPr>
                <w:rFonts w:ascii="Inter" w:hAnsi="Inter" w:cs="Inter"/>
                <w:b/>
                <w:i w:val="0"/>
                <w:color w:val="FFFFFF"/>
                <w:sz w:val="19"/>
              </w:rPr>
              <w:t>Theme</w:t>
            </w:r>
          </w:p>
        </w:tc>
        <w:tc>
          <w:tcPr>
            <w:tcW w:type="dxa" w:w="4680"/>
            <w:shd w:fill="1B365D"/>
          </w:tcPr>
          <w:p>
            <w:r/>
            <w:r>
              <w:rPr>
                <w:rFonts w:ascii="Inter" w:hAnsi="Inter" w:cs="Inter"/>
                <w:b/>
                <w:i w:val="0"/>
                <w:color w:val="FFFFFF"/>
                <w:sz w:val="19"/>
              </w:rPr>
              <w:t>OOBC Relevance</w:t>
            </w:r>
          </w:p>
        </w:tc>
      </w:tr>
      <w:tr>
        <w:tc>
          <w:tcPr>
            <w:tcW w:type="dxa" w:w="4680"/>
          </w:tcPr>
          <w:p>
            <w:r/>
            <w:r>
              <w:rPr>
                <w:rFonts w:ascii="Inter" w:hAnsi="Inter" w:cs="Inter"/>
                <w:b w:val="0"/>
                <w:i w:val="0"/>
                <w:color w:val="2D2D2D"/>
                <w:sz w:val="19"/>
              </w:rPr>
              <w:t>Moral Governance</w:t>
            </w:r>
          </w:p>
        </w:tc>
        <w:tc>
          <w:tcPr>
            <w:tcW w:type="dxa" w:w="4680"/>
          </w:tcPr>
          <w:p>
            <w:r/>
            <w:r>
              <w:rPr>
                <w:rFonts w:ascii="Inter" w:hAnsi="Inter" w:cs="Inter"/>
                <w:b w:val="0"/>
                <w:i w:val="0"/>
                <w:color w:val="2D2D2D"/>
                <w:sz w:val="19"/>
              </w:rPr>
              <w:t>Transparent and accountable coordination with external government partners; integrity in OBC data management and service referral</w:t>
            </w:r>
          </w:p>
        </w:tc>
      </w:tr>
      <w:tr>
        <w:tc>
          <w:tcPr>
            <w:tcW w:type="dxa" w:w="4680"/>
            <w:shd w:fill="F0F3F6"/>
          </w:tcPr>
          <w:p>
            <w:r/>
            <w:r>
              <w:rPr>
                <w:rFonts w:ascii="Inter" w:hAnsi="Inter" w:cs="Inter"/>
                <w:b w:val="0"/>
                <w:i w:val="0"/>
                <w:color w:val="2D2D2D"/>
                <w:sz w:val="19"/>
              </w:rPr>
              <w:t>Peace and Security</w:t>
            </w:r>
          </w:p>
        </w:tc>
        <w:tc>
          <w:tcPr>
            <w:tcW w:type="dxa" w:w="4680"/>
            <w:shd w:fill="F0F3F6"/>
          </w:tcPr>
          <w:p>
            <w:r/>
            <w:r>
              <w:rPr>
                <w:rFonts w:ascii="Inter" w:hAnsi="Inter" w:cs="Inter"/>
                <w:b w:val="0"/>
                <w:i w:val="0"/>
                <w:color w:val="2D2D2D"/>
                <w:sz w:val="19"/>
              </w:rPr>
              <w:t>OBC populations include conflict-displaced Bangsamoro; service access contributes to peace-building and reduces marginalization-driven tensions</w:t>
            </w:r>
          </w:p>
        </w:tc>
      </w:tr>
      <w:tr>
        <w:tc>
          <w:tcPr>
            <w:tcW w:type="dxa" w:w="4680"/>
          </w:tcPr>
          <w:p>
            <w:r/>
            <w:r>
              <w:rPr>
                <w:rFonts w:ascii="Inter" w:hAnsi="Inter" w:cs="Inter"/>
                <w:b w:val="0"/>
                <w:i w:val="0"/>
                <w:color w:val="2D2D2D"/>
                <w:sz w:val="19"/>
              </w:rPr>
              <w:t>Gender and Inclusivity</w:t>
            </w:r>
          </w:p>
        </w:tc>
        <w:tc>
          <w:tcPr>
            <w:tcW w:type="dxa" w:w="4680"/>
          </w:tcPr>
          <w:p>
            <w:r/>
            <w:r>
              <w:rPr>
                <w:rFonts w:ascii="Inter" w:hAnsi="Inter" w:cs="Inter"/>
                <w:b w:val="0"/>
                <w:i w:val="0"/>
                <w:color w:val="2D2D2D"/>
                <w:sz w:val="19"/>
              </w:rPr>
              <w:t>OBC women, youth, and persons with disabilities face compounded exclusion (geographic + demographic); OOBC programs must prioritize vulnerable sectors</w:t>
            </w:r>
          </w:p>
        </w:tc>
      </w:tr>
      <w:tr>
        <w:tc>
          <w:tcPr>
            <w:tcW w:type="dxa" w:w="4680"/>
            <w:shd w:fill="F0F3F6"/>
          </w:tcPr>
          <w:p>
            <w:r/>
            <w:r>
              <w:rPr>
                <w:rFonts w:ascii="Inter" w:hAnsi="Inter" w:cs="Inter"/>
                <w:b w:val="0"/>
                <w:i w:val="0"/>
                <w:color w:val="2D2D2D"/>
                <w:sz w:val="19"/>
              </w:rPr>
              <w:t>Environmental Sustainability</w:t>
            </w:r>
          </w:p>
        </w:tc>
        <w:tc>
          <w:tcPr>
            <w:tcW w:type="dxa" w:w="4680"/>
            <w:shd w:fill="F0F3F6"/>
          </w:tcPr>
          <w:p>
            <w:r/>
            <w:r>
              <w:rPr>
                <w:rFonts w:ascii="Inter" w:hAnsi="Inter" w:cs="Inter"/>
                <w:b w:val="0"/>
                <w:i w:val="0"/>
                <w:color w:val="2D2D2D"/>
                <w:sz w:val="19"/>
              </w:rPr>
              <w:t>Limited direct relevance; OOBC supports environmental awareness in OBC communities as cross-cutting activity</w:t>
            </w:r>
          </w:p>
        </w:tc>
      </w:tr>
      <w:tr>
        <w:tc>
          <w:tcPr>
            <w:tcW w:type="dxa" w:w="4680"/>
          </w:tcPr>
          <w:p>
            <w:r/>
            <w:r>
              <w:rPr>
                <w:rFonts w:ascii="Inter" w:hAnsi="Inter" w:cs="Inter"/>
                <w:b w:val="0"/>
                <w:i w:val="0"/>
                <w:color w:val="2D2D2D"/>
                <w:sz w:val="19"/>
              </w:rPr>
              <w:t>Technology and Innovation</w:t>
            </w:r>
          </w:p>
        </w:tc>
        <w:tc>
          <w:tcPr>
            <w:tcW w:type="dxa" w:w="4680"/>
          </w:tcPr>
          <w:p>
            <w:r/>
            <w:r>
              <w:rPr>
                <w:rFonts w:ascii="Inter" w:hAnsi="Inter" w:cs="Inter"/>
                <w:b w:val="0"/>
                <w:i w:val="0"/>
                <w:color w:val="2D2D2D"/>
                <w:sz w:val="19"/>
              </w:rPr>
              <w:t>Digital community profiling tools, OBC database management systems, remote coordination platforms for field offices</w:t>
            </w:r>
          </w:p>
        </w:tc>
      </w:tr>
    </w:tbl>
    <w:p/>
    <w:p>
      <w:pPr>
        <w:pStyle w:val="Heading4"/>
      </w:pPr>
      <w:r>
        <w:rPr>
          <w:rFonts w:ascii="Inter" w:hAnsi="Inter" w:cs="Inter"/>
          <w:b/>
          <w:i/>
          <w:color w:val="2C5F7C"/>
          <w:sz w:val="23"/>
        </w:rPr>
        <w:t>Section 1.3: Priority Agenda Alignment (from Chapter 4)</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Priority #</w:t>
            </w:r>
          </w:p>
        </w:tc>
        <w:tc>
          <w:tcPr>
            <w:tcW w:type="dxa" w:w="2340"/>
            <w:shd w:fill="1B365D"/>
          </w:tcPr>
          <w:p>
            <w:r/>
            <w:r>
              <w:rPr>
                <w:rFonts w:ascii="Inter" w:hAnsi="Inter" w:cs="Inter"/>
                <w:b/>
                <w:i w:val="0"/>
                <w:color w:val="FFFFFF"/>
                <w:sz w:val="19"/>
              </w:rPr>
              <w:t>Priority Title</w:t>
            </w:r>
          </w:p>
        </w:tc>
        <w:tc>
          <w:tcPr>
            <w:tcW w:type="dxa" w:w="2340"/>
            <w:shd w:fill="1B365D"/>
          </w:tcPr>
          <w:p>
            <w:r/>
            <w:r>
              <w:rPr>
                <w:rFonts w:ascii="Inter" w:hAnsi="Inter" w:cs="Inter"/>
                <w:b/>
                <w:i w:val="0"/>
                <w:color w:val="FFFFFF"/>
                <w:sz w:val="19"/>
              </w:rPr>
              <w:t>OOBC Role</w:t>
            </w:r>
          </w:p>
        </w:tc>
        <w:tc>
          <w:tcPr>
            <w:tcW w:type="dxa" w:w="2340"/>
            <w:shd w:fill="1B365D"/>
          </w:tcPr>
          <w:p>
            <w:r/>
            <w:r>
              <w:rPr>
                <w:rFonts w:ascii="Inter" w:hAnsi="Inter" w:cs="Inter"/>
                <w:b/>
                <w:i w:val="0"/>
                <w:color w:val="FFFFFF"/>
                <w:sz w:val="19"/>
              </w:rPr>
              <w:t>Mechanism</w:t>
            </w:r>
          </w:p>
        </w:tc>
      </w:tr>
      <w:tr>
        <w:tc>
          <w:tcPr>
            <w:tcW w:type="dxa" w:w="2340"/>
          </w:tcPr>
          <w:p>
            <w:r/>
            <w:r>
              <w:rPr>
                <w:rFonts w:ascii="Inter" w:hAnsi="Inter" w:cs="Inter"/>
                <w:b w:val="0"/>
                <w:i w:val="0"/>
                <w:color w:val="2D2D2D"/>
                <w:sz w:val="19"/>
              </w:rPr>
              <w:t>3</w:t>
            </w:r>
          </w:p>
        </w:tc>
        <w:tc>
          <w:tcPr>
            <w:tcW w:type="dxa" w:w="2340"/>
          </w:tcPr>
          <w:p>
            <w:r/>
            <w:r>
              <w:rPr>
                <w:rFonts w:ascii="Inter" w:hAnsi="Inter" w:cs="Inter"/>
                <w:b w:val="0"/>
                <w:i w:val="0"/>
                <w:color w:val="2D2D2D"/>
                <w:sz w:val="19"/>
              </w:rPr>
              <w:t>Good Governance and Institutional Development</w:t>
            </w:r>
          </w:p>
        </w:tc>
        <w:tc>
          <w:tcPr>
            <w:tcW w:type="dxa" w:w="2340"/>
          </w:tcPr>
          <w:p>
            <w:r/>
            <w:r>
              <w:rPr>
                <w:rFonts w:ascii="Inter" w:hAnsi="Inter" w:cs="Inter"/>
                <w:b w:val="0"/>
                <w:i w:val="0"/>
                <w:color w:val="2D2D2D"/>
                <w:sz w:val="19"/>
              </w:rPr>
              <w:t>Primary</w:t>
            </w:r>
          </w:p>
        </w:tc>
        <w:tc>
          <w:tcPr>
            <w:tcW w:type="dxa" w:w="2340"/>
          </w:tcPr>
          <w:p>
            <w:r/>
            <w:r>
              <w:rPr>
                <w:rFonts w:ascii="Inter" w:hAnsi="Inter" w:cs="Inter"/>
                <w:b w:val="0"/>
                <w:i w:val="0"/>
                <w:color w:val="2D2D2D"/>
                <w:sz w:val="19"/>
              </w:rPr>
              <w:t>Building formal inter-governmental coordination systems for OBC service delivery</w:t>
            </w:r>
          </w:p>
        </w:tc>
      </w:tr>
      <w:tr>
        <w:tc>
          <w:tcPr>
            <w:tcW w:type="dxa" w:w="2340"/>
            <w:shd w:fill="F0F3F6"/>
          </w:tcPr>
          <w:p>
            <w:r/>
            <w:r>
              <w:rPr>
                <w:rFonts w:ascii="Inter" w:hAnsi="Inter" w:cs="Inter"/>
                <w:b w:val="0"/>
                <w:i w:val="0"/>
                <w:color w:val="2D2D2D"/>
                <w:sz w:val="19"/>
              </w:rPr>
              <w:t>5</w:t>
            </w:r>
          </w:p>
        </w:tc>
        <w:tc>
          <w:tcPr>
            <w:tcW w:type="dxa" w:w="2340"/>
            <w:shd w:fill="F0F3F6"/>
          </w:tcPr>
          <w:p>
            <w:r/>
            <w:r>
              <w:rPr>
                <w:rFonts w:ascii="Inter" w:hAnsi="Inter" w:cs="Inter"/>
                <w:b w:val="0"/>
                <w:i w:val="0"/>
                <w:color w:val="2D2D2D"/>
                <w:sz w:val="19"/>
              </w:rPr>
              <w:t>Social Services</w:t>
            </w:r>
          </w:p>
        </w:tc>
        <w:tc>
          <w:tcPr>
            <w:tcW w:type="dxa" w:w="2340"/>
            <w:shd w:fill="F0F3F6"/>
          </w:tcPr>
          <w:p>
            <w:r/>
            <w:r>
              <w:rPr>
                <w:rFonts w:ascii="Inter" w:hAnsi="Inter" w:cs="Inter"/>
                <w:b w:val="0"/>
                <w:i w:val="0"/>
                <w:color w:val="2D2D2D"/>
                <w:sz w:val="19"/>
              </w:rPr>
              <w:t>Primary</w:t>
            </w:r>
          </w:p>
        </w:tc>
        <w:tc>
          <w:tcPr>
            <w:tcW w:type="dxa" w:w="2340"/>
            <w:shd w:fill="F0F3F6"/>
          </w:tcPr>
          <w:p>
            <w:r/>
            <w:r>
              <w:rPr>
                <w:rFonts w:ascii="Inter" w:hAnsi="Inter" w:cs="Inter"/>
                <w:b w:val="0"/>
                <w:i w:val="0"/>
                <w:color w:val="2D2D2D"/>
                <w:sz w:val="19"/>
              </w:rPr>
              <w:t>Expanding OBC access to BARMM health, education, livelihood, and social protection programs</w:t>
            </w:r>
          </w:p>
        </w:tc>
      </w:tr>
      <w:tr>
        <w:tc>
          <w:tcPr>
            <w:tcW w:type="dxa" w:w="2340"/>
          </w:tcPr>
          <w:p>
            <w:r/>
            <w:r>
              <w:rPr>
                <w:rFonts w:ascii="Inter" w:hAnsi="Inter" w:cs="Inter"/>
                <w:b w:val="0"/>
                <w:i w:val="0"/>
                <w:color w:val="2D2D2D"/>
                <w:sz w:val="19"/>
              </w:rPr>
              <w:t>1</w:t>
            </w:r>
          </w:p>
        </w:tc>
        <w:tc>
          <w:tcPr>
            <w:tcW w:type="dxa" w:w="2340"/>
          </w:tcPr>
          <w:p>
            <w:r/>
            <w:r>
              <w:rPr>
                <w:rFonts w:ascii="Inter" w:hAnsi="Inter" w:cs="Inter"/>
                <w:b w:val="0"/>
                <w:i w:val="0"/>
                <w:color w:val="2D2D2D"/>
                <w:sz w:val="19"/>
              </w:rPr>
              <w:t>Moral Governance</w:t>
            </w:r>
          </w:p>
        </w:tc>
        <w:tc>
          <w:tcPr>
            <w:tcW w:type="dxa" w:w="2340"/>
          </w:tcPr>
          <w:p>
            <w:r/>
            <w:r>
              <w:rPr>
                <w:rFonts w:ascii="Inter" w:hAnsi="Inter" w:cs="Inter"/>
                <w:b w:val="0"/>
                <w:i w:val="0"/>
                <w:color w:val="2D2D2D"/>
                <w:sz w:val="19"/>
              </w:rPr>
              <w:t>Contributory</w:t>
            </w:r>
          </w:p>
        </w:tc>
        <w:tc>
          <w:tcPr>
            <w:tcW w:type="dxa" w:w="2340"/>
          </w:tcPr>
          <w:p>
            <w:r/>
            <w:r>
              <w:rPr>
                <w:rFonts w:ascii="Inter" w:hAnsi="Inter" w:cs="Inter"/>
                <w:b w:val="0"/>
                <w:i w:val="0"/>
                <w:color w:val="2D2D2D"/>
                <w:sz w:val="19"/>
              </w:rPr>
              <w:t>Transparent OBC data management, accountable service referral processes</w:t>
            </w:r>
          </w:p>
        </w:tc>
      </w:tr>
      <w:tr>
        <w:tc>
          <w:tcPr>
            <w:tcW w:type="dxa" w:w="2340"/>
            <w:shd w:fill="F0F3F6"/>
          </w:tcPr>
          <w:p>
            <w:r/>
            <w:r>
              <w:rPr>
                <w:rFonts w:ascii="Inter" w:hAnsi="Inter" w:cs="Inter"/>
                <w:b w:val="0"/>
                <w:i w:val="0"/>
                <w:color w:val="2D2D2D"/>
                <w:sz w:val="19"/>
              </w:rPr>
              <w:t>10</w:t>
            </w:r>
          </w:p>
        </w:tc>
        <w:tc>
          <w:tcPr>
            <w:tcW w:type="dxa" w:w="2340"/>
            <w:shd w:fill="F0F3F6"/>
          </w:tcPr>
          <w:p>
            <w:r/>
            <w:r>
              <w:rPr>
                <w:rFonts w:ascii="Inter" w:hAnsi="Inter" w:cs="Inter"/>
                <w:b w:val="0"/>
                <w:i w:val="0"/>
                <w:color w:val="2D2D2D"/>
                <w:sz w:val="19"/>
              </w:rPr>
              <w:t>Youth Development</w:t>
            </w:r>
          </w:p>
        </w:tc>
        <w:tc>
          <w:tcPr>
            <w:tcW w:type="dxa" w:w="2340"/>
            <w:shd w:fill="F0F3F6"/>
          </w:tcPr>
          <w:p>
            <w:r/>
            <w:r>
              <w:rPr>
                <w:rFonts w:ascii="Inter" w:hAnsi="Inter" w:cs="Inter"/>
                <w:b w:val="0"/>
                <w:i w:val="0"/>
                <w:color w:val="2D2D2D"/>
                <w:sz w:val="19"/>
              </w:rPr>
              <w:t>Contributory</w:t>
            </w:r>
          </w:p>
        </w:tc>
        <w:tc>
          <w:tcPr>
            <w:tcW w:type="dxa" w:w="2340"/>
            <w:shd w:fill="F0F3F6"/>
          </w:tcPr>
          <w:p>
            <w:r/>
            <w:r>
              <w:rPr>
                <w:rFonts w:ascii="Inter" w:hAnsi="Inter" w:cs="Inter"/>
                <w:b w:val="0"/>
                <w:i w:val="0"/>
                <w:color w:val="2D2D2D"/>
                <w:sz w:val="19"/>
              </w:rPr>
              <w:t>Youth-specific capacity-building and scholarship referral for OBC youth</w:t>
            </w:r>
          </w:p>
        </w:tc>
      </w:tr>
      <w:tr>
        <w:tc>
          <w:tcPr>
            <w:tcW w:type="dxa" w:w="2340"/>
          </w:tcPr>
          <w:p>
            <w:r/>
            <w:r>
              <w:rPr>
                <w:rFonts w:ascii="Inter" w:hAnsi="Inter" w:cs="Inter"/>
                <w:b w:val="0"/>
                <w:i w:val="0"/>
                <w:color w:val="2D2D2D"/>
                <w:sz w:val="19"/>
              </w:rPr>
              <w:t>11</w:t>
            </w:r>
          </w:p>
        </w:tc>
        <w:tc>
          <w:tcPr>
            <w:tcW w:type="dxa" w:w="2340"/>
          </w:tcPr>
          <w:p>
            <w:r/>
            <w:r>
              <w:rPr>
                <w:rFonts w:ascii="Inter" w:hAnsi="Inter" w:cs="Inter"/>
                <w:b w:val="0"/>
                <w:i w:val="0"/>
                <w:color w:val="2D2D2D"/>
                <w:sz w:val="19"/>
              </w:rPr>
              <w:t>Women Empowerment</w:t>
            </w:r>
          </w:p>
        </w:tc>
        <w:tc>
          <w:tcPr>
            <w:tcW w:type="dxa" w:w="2340"/>
          </w:tcPr>
          <w:p>
            <w:r/>
            <w:r>
              <w:rPr>
                <w:rFonts w:ascii="Inter" w:hAnsi="Inter" w:cs="Inter"/>
                <w:b w:val="0"/>
                <w:i w:val="0"/>
                <w:color w:val="2D2D2D"/>
                <w:sz w:val="19"/>
              </w:rPr>
              <w:t>Contributory</w:t>
            </w:r>
          </w:p>
        </w:tc>
        <w:tc>
          <w:tcPr>
            <w:tcW w:type="dxa" w:w="2340"/>
          </w:tcPr>
          <w:p>
            <w:r/>
            <w:r>
              <w:rPr>
                <w:rFonts w:ascii="Inter" w:hAnsi="Inter" w:cs="Inter"/>
                <w:b w:val="0"/>
                <w:i w:val="0"/>
                <w:color w:val="2D2D2D"/>
                <w:sz w:val="19"/>
              </w:rPr>
              <w:t>Women-specific livelihood and protection programs for OBC women</w:t>
            </w:r>
          </w:p>
        </w:tc>
      </w:tr>
      <w:tr>
        <w:tc>
          <w:tcPr>
            <w:tcW w:type="dxa" w:w="2340"/>
            <w:shd w:fill="F0F3F6"/>
          </w:tcPr>
          <w:p>
            <w:r/>
            <w:r>
              <w:rPr>
                <w:rFonts w:ascii="Inter" w:hAnsi="Inter" w:cs="Inter"/>
                <w:b w:val="0"/>
                <w:i w:val="0"/>
                <w:color w:val="2D2D2D"/>
                <w:sz w:val="19"/>
              </w:rPr>
              <w:t>12</w:t>
            </w:r>
          </w:p>
        </w:tc>
        <w:tc>
          <w:tcPr>
            <w:tcW w:type="dxa" w:w="2340"/>
            <w:shd w:fill="F0F3F6"/>
          </w:tcPr>
          <w:p>
            <w:r/>
            <w:r>
              <w:rPr>
                <w:rFonts w:ascii="Inter" w:hAnsi="Inter" w:cs="Inter"/>
                <w:b w:val="0"/>
                <w:i w:val="0"/>
                <w:color w:val="2D2D2D"/>
                <w:sz w:val="19"/>
              </w:rPr>
              <w:t>Inter-governmental Relations</w:t>
            </w:r>
          </w:p>
        </w:tc>
        <w:tc>
          <w:tcPr>
            <w:tcW w:type="dxa" w:w="2340"/>
            <w:shd w:fill="F0F3F6"/>
          </w:tcPr>
          <w:p>
            <w:r/>
            <w:r>
              <w:rPr>
                <w:rFonts w:ascii="Inter" w:hAnsi="Inter" w:cs="Inter"/>
                <w:b w:val="0"/>
                <w:i w:val="0"/>
                <w:color w:val="2D2D2D"/>
                <w:sz w:val="19"/>
              </w:rPr>
              <w:t>Contributory</w:t>
            </w:r>
          </w:p>
        </w:tc>
        <w:tc>
          <w:tcPr>
            <w:tcW w:type="dxa" w:w="2340"/>
            <w:shd w:fill="F0F3F6"/>
          </w:tcPr>
          <w:p>
            <w:r/>
            <w:r>
              <w:rPr>
                <w:rFonts w:ascii="Inter" w:hAnsi="Inter" w:cs="Inter"/>
                <w:b w:val="0"/>
                <w:i w:val="0"/>
                <w:color w:val="2D2D2D"/>
                <w:sz w:val="19"/>
              </w:rPr>
              <w:t>LGU and NGA coordination for OBC populations as a dimension of BARMM's external relations</w:t>
            </w:r>
          </w:p>
        </w:tc>
      </w:tr>
    </w:tbl>
    <w:p/>
    <w:p>
      <w:pPr>
        <w:pStyle w:val="Heading3"/>
      </w:pPr>
      <w:r>
        <w:rPr>
          <w:rFonts w:ascii="Inter" w:hAnsi="Inter" w:cs="Inter"/>
          <w:b/>
          <w:i w:val="0"/>
          <w:color w:val="2C5F7C"/>
          <w:sz w:val="26"/>
        </w:rPr>
        <w:t>PART II: STRATEGY</w:t>
      </w:r>
    </w:p>
    <w:p>
      <w:pPr>
        <w:pStyle w:val="Heading4"/>
      </w:pPr>
      <w:r>
        <w:rPr>
          <w:rFonts w:ascii="Inter" w:hAnsi="Inter" w:cs="Inter"/>
          <w:b/>
          <w:i/>
          <w:color w:val="2C5F7C"/>
          <w:sz w:val="23"/>
        </w:rPr>
        <w:t>Section 2.1: Stakeholder Highlights (from Chapter 5)</w:t>
      </w:r>
    </w:p>
    <w:p>
      <w:pPr>
        <w:spacing w:after="120" w:line="276" w:lineRule="auto"/>
      </w:pPr>
      <w:r>
        <w:rPr>
          <w:rFonts w:ascii="Inter" w:hAnsi="Inter" w:cs="Inter"/>
          <w:b w:val="0"/>
          <w:i w:val="0"/>
          <w:color w:val="2D2D2D"/>
          <w:sz w:val="22"/>
        </w:rPr>
      </w:r>
      <w:r>
        <w:rPr>
          <w:rFonts w:ascii="Inter" w:hAnsi="Inter" w:cs="Inter"/>
          <w:b/>
          <w:i w:val="0"/>
          <w:color w:val="2D2D2D"/>
          <w:sz w:val="22"/>
        </w:rPr>
        <w:t>Key Stakeholders (Manage Closely --- High Power, High Interest):</w:t>
      </w:r>
      <w:r>
        <w:rPr>
          <w:rFonts w:ascii="Inter" w:hAnsi="Inter" w:cs="Inter"/>
          <w:b w:val="0"/>
          <w:i w:val="0"/>
          <w:color w:val="2D2D2D"/>
          <w:sz w:val="22"/>
        </w:rPr>
      </w:r>
    </w:p>
    <w:p>
      <w:pPr>
        <w:pStyle w:val="ListBullet"/>
      </w:pPr>
      <w:r>
        <w:rPr>
          <w:rFonts w:ascii="Inter" w:hAnsi="Inter" w:cs="Inter"/>
          <w:b w:val="0"/>
          <w:i w:val="0"/>
          <w:color w:val="2D2D2D"/>
          <w:sz w:val="22"/>
        </w:rPr>
        <w:t>Office of the Chief Minister --- parent office; budget and policy authority over OOBC</w:t>
      </w:r>
    </w:p>
    <w:p>
      <w:pPr>
        <w:pStyle w:val="ListBullet"/>
      </w:pPr>
      <w:r>
        <w:rPr>
          <w:rFonts w:ascii="Inter" w:hAnsi="Inter" w:cs="Inter"/>
          <w:b w:val="0"/>
          <w:i w:val="0"/>
          <w:color w:val="2D2D2D"/>
          <w:sz w:val="22"/>
        </w:rPr>
        <w:t>BPDA --- reviews and evaluates OOBC's strategic plan for BDP alignment</w:t>
      </w:r>
    </w:p>
    <w:p>
      <w:pPr>
        <w:pStyle w:val="ListBullet"/>
      </w:pPr>
      <w:r>
        <w:rPr>
          <w:rFonts w:ascii="Inter" w:hAnsi="Inter" w:cs="Inter"/>
          <w:b w:val="0"/>
          <w:i w:val="0"/>
          <w:color w:val="2D2D2D"/>
          <w:sz w:val="22"/>
        </w:rPr>
        <w:t>LGUs hosting significant OBC populations (Davao City, General Santos, Zamboanga City) --- implementation partners for service delivery coordination</w:t>
      </w:r>
    </w:p>
    <w:p>
      <w:pPr>
        <w:spacing w:after="120" w:line="276" w:lineRule="auto"/>
      </w:pPr>
      <w:r>
        <w:rPr>
          <w:rFonts w:ascii="Inter" w:hAnsi="Inter" w:cs="Inter"/>
          <w:b w:val="0"/>
          <w:i w:val="0"/>
          <w:color w:val="2D2D2D"/>
          <w:sz w:val="22"/>
        </w:rPr>
      </w:r>
      <w:r>
        <w:rPr>
          <w:rFonts w:ascii="Inter" w:hAnsi="Inter" w:cs="Inter"/>
          <w:b/>
          <w:i w:val="0"/>
          <w:color w:val="2D2D2D"/>
          <w:sz w:val="22"/>
        </w:rPr>
        <w:t>Key Stakeholders (Keep Satisfied --- High Power, Low Interest):</w:t>
      </w:r>
      <w:r>
        <w:rPr>
          <w:rFonts w:ascii="Inter" w:hAnsi="Inter" w:cs="Inter"/>
          <w:b w:val="0"/>
          <w:i w:val="0"/>
          <w:color w:val="2D2D2D"/>
          <w:sz w:val="22"/>
        </w:rPr>
      </w:r>
    </w:p>
    <w:p>
      <w:pPr>
        <w:pStyle w:val="ListBullet"/>
      </w:pPr>
      <w:r>
        <w:rPr>
          <w:rFonts w:ascii="Inter" w:hAnsi="Inter" w:cs="Inter"/>
          <w:b w:val="0"/>
          <w:i w:val="0"/>
          <w:color w:val="2D2D2D"/>
          <w:sz w:val="22"/>
        </w:rPr>
        <w:t>MFBM --- controls OOBC budget ceiling; limited direct engagement with OBC mandate</w:t>
      </w:r>
    </w:p>
    <w:p>
      <w:pPr>
        <w:pStyle w:val="ListBullet"/>
      </w:pPr>
      <w:r>
        <w:rPr>
          <w:rFonts w:ascii="Inter" w:hAnsi="Inter" w:cs="Inter"/>
          <w:b w:val="0"/>
          <w:i w:val="0"/>
          <w:color w:val="2D2D2D"/>
          <w:sz w:val="22"/>
        </w:rPr>
        <w:t>BTA Committee on Peace, Reconciliation, and Unity --- legislative oversight on inter-community matters</w:t>
      </w:r>
    </w:p>
    <w:p>
      <w:pPr>
        <w:spacing w:after="120" w:line="276" w:lineRule="auto"/>
      </w:pPr>
      <w:r>
        <w:rPr>
          <w:rFonts w:ascii="Inter" w:hAnsi="Inter" w:cs="Inter"/>
          <w:b w:val="0"/>
          <w:i w:val="0"/>
          <w:color w:val="2D2D2D"/>
          <w:sz w:val="22"/>
        </w:rPr>
      </w:r>
      <w:r>
        <w:rPr>
          <w:rFonts w:ascii="Inter" w:hAnsi="Inter" w:cs="Inter"/>
          <w:b/>
          <w:i w:val="0"/>
          <w:color w:val="2D2D2D"/>
          <w:sz w:val="22"/>
        </w:rPr>
        <w:t>Key Stakeholders (Keep Informed --- Low Power, High Interest):</w:t>
      </w:r>
      <w:r>
        <w:rPr>
          <w:rFonts w:ascii="Inter" w:hAnsi="Inter" w:cs="Inter"/>
          <w:b w:val="0"/>
          <w:i w:val="0"/>
          <w:color w:val="2D2D2D"/>
          <w:sz w:val="22"/>
        </w:rPr>
      </w:r>
    </w:p>
    <w:p>
      <w:pPr>
        <w:pStyle w:val="ListBullet"/>
      </w:pPr>
      <w:r>
        <w:rPr>
          <w:rFonts w:ascii="Inter" w:hAnsi="Inter" w:cs="Inter"/>
          <w:b w:val="0"/>
          <w:i w:val="0"/>
          <w:color w:val="2D2D2D"/>
          <w:sz w:val="22"/>
        </w:rPr>
        <w:t>OBC community leaders and traditional leaders (sultans, datus) --- community mobilizers and trust brokers</w:t>
      </w:r>
    </w:p>
    <w:p>
      <w:pPr>
        <w:pStyle w:val="ListBullet"/>
      </w:pPr>
      <w:r>
        <w:rPr>
          <w:rFonts w:ascii="Inter" w:hAnsi="Inter" w:cs="Inter"/>
          <w:b w:val="0"/>
          <w:i w:val="0"/>
          <w:color w:val="2D2D2D"/>
          <w:sz w:val="22"/>
        </w:rPr>
        <w:t>NGOs working with Bangsamoro diaspora and displaced communities</w:t>
      </w:r>
    </w:p>
    <w:p>
      <w:pPr>
        <w:pStyle w:val="ListBullet"/>
      </w:pPr>
      <w:r>
        <w:rPr>
          <w:rFonts w:ascii="Inter" w:hAnsi="Inter" w:cs="Inter"/>
          <w:b w:val="0"/>
          <w:i w:val="0"/>
          <w:color w:val="2D2D2D"/>
          <w:sz w:val="22"/>
        </w:rPr>
        <w:t>MSSD --- potential partner for social protection program referrals</w:t>
      </w:r>
    </w:p>
    <w:p>
      <w:pPr>
        <w:pStyle w:val="ListBullet"/>
      </w:pPr>
      <w:r>
        <w:rPr>
          <w:rFonts w:ascii="Inter" w:hAnsi="Inter" w:cs="Inter"/>
          <w:b w:val="0"/>
          <w:i w:val="0"/>
          <w:color w:val="2D2D2D"/>
          <w:sz w:val="22"/>
        </w:rPr>
        <w:t>MBHTE --- partner for education program access and scholarship coordination</w:t>
      </w:r>
    </w:p>
    <w:p>
      <w:pPr>
        <w:pStyle w:val="ListBullet"/>
      </w:pPr>
      <w:r>
        <w:rPr>
          <w:rFonts w:ascii="Inter" w:hAnsi="Inter" w:cs="Inter"/>
          <w:b w:val="0"/>
          <w:i w:val="0"/>
          <w:color w:val="2D2D2D"/>
          <w:sz w:val="22"/>
        </w:rPr>
        <w:t>MOH --- partner for health service referrals</w:t>
      </w:r>
    </w:p>
    <w:p>
      <w:pPr>
        <w:spacing w:after="120" w:line="276" w:lineRule="auto"/>
      </w:pPr>
      <w:r>
        <w:rPr>
          <w:rFonts w:ascii="Inter" w:hAnsi="Inter" w:cs="Inter"/>
          <w:b w:val="0"/>
          <w:i w:val="0"/>
          <w:color w:val="2D2D2D"/>
          <w:sz w:val="22"/>
        </w:rPr>
      </w:r>
      <w:r>
        <w:rPr>
          <w:rFonts w:ascii="Inter" w:hAnsi="Inter" w:cs="Inter"/>
          <w:b/>
          <w:i w:val="0"/>
          <w:color w:val="2D2D2D"/>
          <w:sz w:val="22"/>
        </w:rPr>
        <w:t>Key Stakeholders (Monitor --- Low Power, Low Interest):</w:t>
      </w:r>
      <w:r>
        <w:rPr>
          <w:rFonts w:ascii="Inter" w:hAnsi="Inter" w:cs="Inter"/>
          <w:b w:val="0"/>
          <w:i w:val="0"/>
          <w:color w:val="2D2D2D"/>
          <w:sz w:val="22"/>
        </w:rPr>
      </w:r>
    </w:p>
    <w:p>
      <w:pPr>
        <w:pStyle w:val="ListBullet"/>
      </w:pPr>
      <w:r>
        <w:rPr>
          <w:rFonts w:ascii="Inter" w:hAnsi="Inter" w:cs="Inter"/>
          <w:b w:val="0"/>
          <w:i w:val="0"/>
          <w:color w:val="2D2D2D"/>
          <w:sz w:val="22"/>
        </w:rPr>
        <w:t>National government agencies with Bangsamoro-specific mandates (NCMF, NCIP)</w:t>
      </w:r>
    </w:p>
    <w:p>
      <w:pPr>
        <w:pStyle w:val="ListBullet"/>
      </w:pPr>
      <w:r>
        <w:rPr>
          <w:rFonts w:ascii="Inter" w:hAnsi="Inter" w:cs="Inter"/>
          <w:b w:val="0"/>
          <w:i w:val="0"/>
          <w:color w:val="2D2D2D"/>
          <w:sz w:val="22"/>
        </w:rPr>
        <w:t>Academic institutions conducting research on Bangsamoro communities</w:t>
      </w:r>
    </w:p>
    <w:p>
      <w:pPr>
        <w:pStyle w:val="Heading4"/>
      </w:pPr>
      <w:r>
        <w:rPr>
          <w:rFonts w:ascii="Inter" w:hAnsi="Inter" w:cs="Inter"/>
          <w:b/>
          <w:i/>
          <w:color w:val="2C5F7C"/>
          <w:sz w:val="23"/>
        </w:rPr>
        <w:t>Section 2.2: Vision, Mission, and Core Values (from Chapter 6)</w:t>
      </w:r>
    </w:p>
    <w:p>
      <w:pPr>
        <w:spacing w:after="120" w:line="276" w:lineRule="auto"/>
      </w:pPr>
      <w:r>
        <w:rPr>
          <w:rFonts w:ascii="Inter" w:hAnsi="Inter" w:cs="Inter"/>
          <w:b w:val="0"/>
          <w:i w:val="0"/>
          <w:color w:val="2D2D2D"/>
          <w:sz w:val="22"/>
        </w:rPr>
      </w:r>
      <w:r>
        <w:rPr>
          <w:rFonts w:ascii="Inter" w:hAnsi="Inter" w:cs="Inter"/>
          <w:b/>
          <w:i w:val="0"/>
          <w:color w:val="2D2D2D"/>
          <w:sz w:val="22"/>
        </w:rPr>
        <w:t>Vision:</w:t>
      </w:r>
      <w:r>
        <w:rPr>
          <w:rFonts w:ascii="Inter" w:hAnsi="Inter" w:cs="Inter"/>
          <w:b w:val="0"/>
          <w:i w:val="0"/>
          <w:color w:val="2D2D2D"/>
          <w:sz w:val="22"/>
        </w:rPr>
        <w:t xml:space="preserve"> All Bangsamoro communities --- regardless of location --- are included, supported, and given equal opportunities for development.</w:t>
      </w:r>
    </w:p>
    <w:p>
      <w:pPr>
        <w:spacing w:after="120" w:line="276" w:lineRule="auto"/>
      </w:pPr>
      <w:r>
        <w:rPr>
          <w:rFonts w:ascii="Inter" w:hAnsi="Inter" w:cs="Inter"/>
          <w:b w:val="0"/>
          <w:i w:val="0"/>
          <w:color w:val="2D2D2D"/>
          <w:sz w:val="22"/>
        </w:rPr>
      </w:r>
      <w:r>
        <w:rPr>
          <w:rFonts w:ascii="Inter" w:hAnsi="Inter" w:cs="Inter"/>
          <w:b/>
          <w:i w:val="0"/>
          <w:color w:val="2D2D2D"/>
          <w:sz w:val="22"/>
        </w:rPr>
        <w:t>Mission:</w:t>
      </w:r>
      <w:r>
        <w:rPr>
          <w:rFonts w:ascii="Inter" w:hAnsi="Inter" w:cs="Inter"/>
          <w:b w:val="0"/>
          <w:i w:val="0"/>
          <w:color w:val="2D2D2D"/>
          <w:sz w:val="22"/>
        </w:rPr>
        <w:t xml:space="preserve"> To bridge service gaps, strengthen engagement with local and national government partners, and promote inclusive development for Bangsamoro populations beyond BARMM, ensuring that no Bangsamoro community is left behind in the region's pursuit of self-governance and shared prosperity.</w:t>
      </w:r>
    </w:p>
    <w:p>
      <w:pPr>
        <w:spacing w:after="120" w:line="276" w:lineRule="auto"/>
      </w:pPr>
      <w:r>
        <w:rPr>
          <w:rFonts w:ascii="Inter" w:hAnsi="Inter" w:cs="Inter"/>
          <w:b w:val="0"/>
          <w:i w:val="0"/>
          <w:color w:val="2D2D2D"/>
          <w:sz w:val="22"/>
        </w:rPr>
      </w:r>
      <w:r>
        <w:rPr>
          <w:rFonts w:ascii="Inter" w:hAnsi="Inter" w:cs="Inter"/>
          <w:b/>
          <w:i w:val="0"/>
          <w:color w:val="2D2D2D"/>
          <w:sz w:val="22"/>
        </w:rPr>
        <w:t>Core Values:</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Value</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Behavioral Indicators</w:t>
            </w:r>
          </w:p>
        </w:tc>
      </w:tr>
      <w:tr>
        <w:tc>
          <w:tcPr>
            <w:tcW w:type="dxa" w:w="3120"/>
          </w:tcPr>
          <w:p>
            <w:r/>
            <w:r>
              <w:rPr>
                <w:rFonts w:ascii="Inter" w:hAnsi="Inter" w:cs="Inter"/>
                <w:b w:val="0"/>
                <w:i w:val="0"/>
                <w:color w:val="2D2D2D"/>
                <w:sz w:val="19"/>
              </w:rPr>
              <w:t>Inclusivity</w:t>
            </w:r>
          </w:p>
        </w:tc>
        <w:tc>
          <w:tcPr>
            <w:tcW w:type="dxa" w:w="3120"/>
          </w:tcPr>
          <w:p>
            <w:r/>
            <w:r>
              <w:rPr>
                <w:rFonts w:ascii="Inter" w:hAnsi="Inter" w:cs="Inter"/>
                <w:b w:val="0"/>
                <w:i w:val="0"/>
                <w:color w:val="2D2D2D"/>
                <w:sz w:val="19"/>
              </w:rPr>
              <w:t>We serve all Bangsamoro communities regardless of their geographic location, ensuring that distance from BARMM does not mean distance from BARMM's government.</w:t>
            </w:r>
          </w:p>
        </w:tc>
        <w:tc>
          <w:tcPr>
            <w:tcW w:type="dxa" w:w="3120"/>
          </w:tcPr>
          <w:p>
            <w:r/>
            <w:r>
              <w:rPr>
                <w:rFonts w:ascii="Inter" w:hAnsi="Inter" w:cs="Inter"/>
                <w:b w:val="0"/>
                <w:i w:val="0"/>
                <w:color w:val="2D2D2D"/>
                <w:sz w:val="19"/>
              </w:rPr>
              <w:t>We actively seek out unreached OBC populations. We design programs accessible to remote and dispersed communities. We disaggregate service data by location and vulnerability status.</w:t>
            </w:r>
          </w:p>
        </w:tc>
      </w:tr>
      <w:tr>
        <w:tc>
          <w:tcPr>
            <w:tcW w:type="dxa" w:w="3120"/>
            <w:shd w:fill="F0F3F6"/>
          </w:tcPr>
          <w:p>
            <w:r/>
            <w:r>
              <w:rPr>
                <w:rFonts w:ascii="Inter" w:hAnsi="Inter" w:cs="Inter"/>
                <w:b w:val="0"/>
                <w:i w:val="0"/>
                <w:color w:val="2D2D2D"/>
                <w:sz w:val="19"/>
              </w:rPr>
              <w:t>Integrity</w:t>
            </w:r>
          </w:p>
        </w:tc>
        <w:tc>
          <w:tcPr>
            <w:tcW w:type="dxa" w:w="3120"/>
            <w:shd w:fill="F0F3F6"/>
          </w:tcPr>
          <w:p>
            <w:r/>
            <w:r>
              <w:rPr>
                <w:rFonts w:ascii="Inter" w:hAnsi="Inter" w:cs="Inter"/>
                <w:b w:val="0"/>
                <w:i w:val="0"/>
                <w:color w:val="2D2D2D"/>
                <w:sz w:val="19"/>
              </w:rPr>
              <w:t>We manage OBC data with honesty and protect the privacy and dignity of every individual in our registry.</w:t>
            </w:r>
          </w:p>
        </w:tc>
        <w:tc>
          <w:tcPr>
            <w:tcW w:type="dxa" w:w="3120"/>
            <w:shd w:fill="F0F3F6"/>
          </w:tcPr>
          <w:p>
            <w:r/>
            <w:r>
              <w:rPr>
                <w:rFonts w:ascii="Inter" w:hAnsi="Inter" w:cs="Inter"/>
                <w:b w:val="0"/>
                <w:i w:val="0"/>
                <w:color w:val="2D2D2D"/>
                <w:sz w:val="19"/>
              </w:rPr>
              <w:t>We comply with the Data Privacy Act in all community profiling activities. We report service delivery data accurately, including shortfalls. We do not use OBC data for purposes beyond its stated scope.</w:t>
            </w:r>
          </w:p>
        </w:tc>
      </w:tr>
      <w:tr>
        <w:tc>
          <w:tcPr>
            <w:tcW w:type="dxa" w:w="3120"/>
          </w:tcPr>
          <w:p>
            <w:r/>
            <w:r>
              <w:rPr>
                <w:rFonts w:ascii="Inter" w:hAnsi="Inter" w:cs="Inter"/>
                <w:b w:val="0"/>
                <w:i w:val="0"/>
                <w:color w:val="2D2D2D"/>
                <w:sz w:val="19"/>
              </w:rPr>
              <w:t>Partnership</w:t>
            </w:r>
          </w:p>
        </w:tc>
        <w:tc>
          <w:tcPr>
            <w:tcW w:type="dxa" w:w="3120"/>
          </w:tcPr>
          <w:p>
            <w:r/>
            <w:r>
              <w:rPr>
                <w:rFonts w:ascii="Inter" w:hAnsi="Inter" w:cs="Inter"/>
                <w:b w:val="0"/>
                <w:i w:val="0"/>
                <w:color w:val="2D2D2D"/>
                <w:sz w:val="19"/>
              </w:rPr>
              <w:t>We recognize that serving OBCs requires collaboration with LGUs, NGAs, and community organizations that are closer to the populations we serve.</w:t>
            </w:r>
          </w:p>
        </w:tc>
        <w:tc>
          <w:tcPr>
            <w:tcW w:type="dxa" w:w="3120"/>
          </w:tcPr>
          <w:p>
            <w:r/>
            <w:r>
              <w:rPr>
                <w:rFonts w:ascii="Inter" w:hAnsi="Inter" w:cs="Inter"/>
                <w:b w:val="0"/>
                <w:i w:val="0"/>
                <w:color w:val="2D2D2D"/>
                <w:sz w:val="19"/>
              </w:rPr>
              <w:t>We formalize coordination through MOUs rather than ad hoc arrangements. We share relevant data with partners to improve joint service delivery. We credit partner contributions in all program reports.</w:t>
            </w:r>
          </w:p>
        </w:tc>
      </w:tr>
      <w:tr>
        <w:tc>
          <w:tcPr>
            <w:tcW w:type="dxa" w:w="3120"/>
            <w:shd w:fill="F0F3F6"/>
          </w:tcPr>
          <w:p>
            <w:r/>
            <w:r>
              <w:rPr>
                <w:rFonts w:ascii="Inter" w:hAnsi="Inter" w:cs="Inter"/>
                <w:b w:val="0"/>
                <w:i w:val="0"/>
                <w:color w:val="2D2D2D"/>
                <w:sz w:val="19"/>
              </w:rPr>
              <w:t>Moral Governance</w:t>
            </w:r>
          </w:p>
        </w:tc>
        <w:tc>
          <w:tcPr>
            <w:tcW w:type="dxa" w:w="3120"/>
            <w:shd w:fill="F0F3F6"/>
          </w:tcPr>
          <w:p>
            <w:r/>
            <w:r>
              <w:rPr>
                <w:rFonts w:ascii="Inter" w:hAnsi="Inter" w:cs="Inter"/>
                <w:b w:val="0"/>
                <w:i w:val="0"/>
                <w:color w:val="2D2D2D"/>
                <w:sz w:val="19"/>
              </w:rPr>
              <w:t>We uphold the 12 Pillars of Moral Governance as the standard for all our decisions and conduct.</w:t>
            </w:r>
          </w:p>
        </w:tc>
        <w:tc>
          <w:tcPr>
            <w:tcW w:type="dxa" w:w="3120"/>
            <w:shd w:fill="F0F3F6"/>
          </w:tcPr>
          <w:p>
            <w:r/>
            <w:r>
              <w:rPr>
                <w:rFonts w:ascii="Inter" w:hAnsi="Inter" w:cs="Inter"/>
                <w:b w:val="0"/>
                <w:i w:val="0"/>
                <w:color w:val="2D2D2D"/>
                <w:sz w:val="19"/>
              </w:rPr>
              <w:t>We submit complete and accurate budget utilization reports. We follow competitive procurement processes. We hold staff accountable for performance against targets.</w:t>
            </w:r>
          </w:p>
        </w:tc>
      </w:tr>
      <w:tr>
        <w:tc>
          <w:tcPr>
            <w:tcW w:type="dxa" w:w="3120"/>
          </w:tcPr>
          <w:p>
            <w:r/>
            <w:r>
              <w:rPr>
                <w:rFonts w:ascii="Inter" w:hAnsi="Inter" w:cs="Inter"/>
                <w:b w:val="0"/>
                <w:i w:val="0"/>
                <w:color w:val="2D2D2D"/>
                <w:sz w:val="19"/>
              </w:rPr>
              <w:t>Community Voice</w:t>
            </w:r>
          </w:p>
        </w:tc>
        <w:tc>
          <w:tcPr>
            <w:tcW w:type="dxa" w:w="3120"/>
          </w:tcPr>
          <w:p>
            <w:r/>
            <w:r>
              <w:rPr>
                <w:rFonts w:ascii="Inter" w:hAnsi="Inter" w:cs="Inter"/>
                <w:b w:val="0"/>
                <w:i w:val="0"/>
                <w:color w:val="2D2D2D"/>
                <w:sz w:val="19"/>
              </w:rPr>
              <w:t>We center the needs and aspirations of OBC communities in all our planning and advocacy, ensuring that they are heard in BARMM's governance processes.</w:t>
            </w:r>
          </w:p>
        </w:tc>
        <w:tc>
          <w:tcPr>
            <w:tcW w:type="dxa" w:w="3120"/>
          </w:tcPr>
          <w:p>
            <w:r/>
            <w:r>
              <w:rPr>
                <w:rFonts w:ascii="Inter" w:hAnsi="Inter" w:cs="Inter"/>
                <w:b w:val="0"/>
                <w:i w:val="0"/>
                <w:color w:val="2D2D2D"/>
                <w:sz w:val="19"/>
              </w:rPr>
              <w:t>We conduct community consultations before designing new programs. We include OBC representatives in planning workshops. We maintain accessible feedback and complaints channels.</w:t>
            </w:r>
          </w:p>
        </w:tc>
      </w:tr>
    </w:tbl>
    <w:p/>
    <w:p>
      <w:pPr>
        <w:pStyle w:val="Heading4"/>
      </w:pPr>
      <w:r>
        <w:rPr>
          <w:rFonts w:ascii="Inter" w:hAnsi="Inter" w:cs="Inter"/>
          <w:b/>
          <w:i/>
          <w:color w:val="2C5F7C"/>
          <w:sz w:val="23"/>
        </w:rPr>
        <w:t>Section 2.3: Strategic Objectives (from Chapter 6)</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w:t>
            </w:r>
          </w:p>
        </w:tc>
        <w:tc>
          <w:tcPr>
            <w:tcW w:type="dxa" w:w="1337"/>
            <w:shd w:fill="1B365D"/>
          </w:tcPr>
          <w:p>
            <w:r/>
            <w:r>
              <w:rPr>
                <w:rFonts w:ascii="Inter" w:hAnsi="Inter" w:cs="Inter"/>
                <w:b/>
                <w:i w:val="0"/>
                <w:color w:val="FFFFFF"/>
                <w:sz w:val="19"/>
              </w:rPr>
              <w:t>Strategic Objective</w:t>
            </w:r>
          </w:p>
        </w:tc>
        <w:tc>
          <w:tcPr>
            <w:tcW w:type="dxa" w:w="1337"/>
            <w:shd w:fill="1B365D"/>
          </w:tcPr>
          <w:p>
            <w:r/>
            <w:r>
              <w:rPr>
                <w:rFonts w:ascii="Inter" w:hAnsi="Inter" w:cs="Inter"/>
                <w:b/>
                <w:i w:val="0"/>
                <w:color w:val="FFFFFF"/>
                <w:sz w:val="19"/>
              </w:rPr>
              <w:t>BDP Goal</w:t>
            </w:r>
          </w:p>
        </w:tc>
        <w:tc>
          <w:tcPr>
            <w:tcW w:type="dxa" w:w="1337"/>
            <w:shd w:fill="1B365D"/>
          </w:tcPr>
          <w:p>
            <w:r/>
            <w:r>
              <w:rPr>
                <w:rFonts w:ascii="Inter" w:hAnsi="Inter" w:cs="Inter"/>
                <w:b/>
                <w:i w:val="0"/>
                <w:color w:val="FFFFFF"/>
                <w:sz w:val="19"/>
              </w:rPr>
              <w:t>Priority Agenda</w:t>
            </w:r>
          </w:p>
        </w:tc>
        <w:tc>
          <w:tcPr>
            <w:tcW w:type="dxa" w:w="1337"/>
            <w:shd w:fill="1B365D"/>
          </w:tcPr>
          <w:p>
            <w:r/>
            <w:r>
              <w:rPr>
                <w:rFonts w:ascii="Inter" w:hAnsi="Inter" w:cs="Inter"/>
                <w:b/>
                <w:i w:val="0"/>
                <w:color w:val="FFFFFF"/>
                <w:sz w:val="19"/>
              </w:rPr>
              <w:t>Baseline</w:t>
            </w:r>
          </w:p>
        </w:tc>
        <w:tc>
          <w:tcPr>
            <w:tcW w:type="dxa" w:w="1337"/>
            <w:shd w:fill="1B365D"/>
          </w:tcPr>
          <w:p>
            <w:r/>
            <w:r>
              <w:rPr>
                <w:rFonts w:ascii="Inter" w:hAnsi="Inter" w:cs="Inter"/>
                <w:b/>
                <w:i w:val="0"/>
                <w:color w:val="FFFFFF"/>
                <w:sz w:val="19"/>
              </w:rPr>
              <w:t>Target</w:t>
            </w:r>
          </w:p>
        </w:tc>
        <w:tc>
          <w:tcPr>
            <w:tcW w:type="dxa" w:w="1337"/>
            <w:shd w:fill="1B365D"/>
          </w:tcPr>
          <w:p>
            <w:r/>
            <w:r>
              <w:rPr>
                <w:rFonts w:ascii="Inter" w:hAnsi="Inter" w:cs="Inter"/>
                <w:b/>
                <w:i w:val="0"/>
                <w:color w:val="FFFFFF"/>
                <w:sz w:val="19"/>
              </w:rPr>
              <w:t>Timeline</w:t>
            </w:r>
          </w:p>
        </w:tc>
      </w:tr>
      <w:tr>
        <w:tc>
          <w:tcPr>
            <w:tcW w:type="dxa" w:w="1337"/>
          </w:tcPr>
          <w:p>
            <w:r/>
            <w:r>
              <w:rPr>
                <w:rFonts w:ascii="Inter" w:hAnsi="Inter" w:cs="Inter"/>
                <w:b w:val="0"/>
                <w:i w:val="0"/>
                <w:color w:val="2D2D2D"/>
                <w:sz w:val="19"/>
              </w:rPr>
              <w:t>SO-1</w:t>
            </w:r>
          </w:p>
        </w:tc>
        <w:tc>
          <w:tcPr>
            <w:tcW w:type="dxa" w:w="1337"/>
          </w:tcPr>
          <w:p>
            <w:r/>
            <w:r>
              <w:rPr>
                <w:rFonts w:ascii="Inter" w:hAnsi="Inter" w:cs="Inter"/>
                <w:b w:val="0"/>
                <w:i w:val="0"/>
                <w:color w:val="2D2D2D"/>
                <w:sz w:val="19"/>
              </w:rPr>
              <w:t>Establish a comprehensive and verified database of Other Bangsamoro Communities across at least 15 provinces outside BARMM, covering demographic, socioeconomic, and service access data for a minimum of 50,000 individuals</w:t>
            </w:r>
          </w:p>
        </w:tc>
        <w:tc>
          <w:tcPr>
            <w:tcW w:type="dxa" w:w="1337"/>
          </w:tcPr>
          <w:p>
            <w:r/>
            <w:r>
              <w:rPr>
                <w:rFonts w:ascii="Inter" w:hAnsi="Inter" w:cs="Inter"/>
                <w:b w:val="0"/>
                <w:i w:val="0"/>
                <w:color w:val="2D2D2D"/>
                <w:sz w:val="19"/>
              </w:rPr>
              <w:t>Goal 1, Goal 4</w:t>
            </w:r>
          </w:p>
        </w:tc>
        <w:tc>
          <w:tcPr>
            <w:tcW w:type="dxa" w:w="1337"/>
          </w:tcPr>
          <w:p>
            <w:r/>
            <w:r>
              <w:rPr>
                <w:rFonts w:ascii="Inter" w:hAnsi="Inter" w:cs="Inter"/>
                <w:b w:val="0"/>
                <w:i w:val="0"/>
                <w:color w:val="2D2D2D"/>
                <w:sz w:val="19"/>
              </w:rPr>
              <w:t>Priority 3</w:t>
            </w:r>
          </w:p>
        </w:tc>
        <w:tc>
          <w:tcPr>
            <w:tcW w:type="dxa" w:w="1337"/>
          </w:tcPr>
          <w:p>
            <w:r/>
            <w:r>
              <w:rPr>
                <w:rFonts w:ascii="Inter" w:hAnsi="Inter" w:cs="Inter"/>
                <w:b w:val="0"/>
                <w:i w:val="0"/>
                <w:color w:val="2D2D2D"/>
                <w:sz w:val="19"/>
              </w:rPr>
              <w:t>0 provinces profiled</w:t>
            </w:r>
          </w:p>
        </w:tc>
        <w:tc>
          <w:tcPr>
            <w:tcW w:type="dxa" w:w="1337"/>
          </w:tcPr>
          <w:p>
            <w:r/>
            <w:r>
              <w:rPr>
                <w:rFonts w:ascii="Inter" w:hAnsi="Inter" w:cs="Inter"/>
                <w:b w:val="0"/>
                <w:i w:val="0"/>
                <w:color w:val="2D2D2D"/>
                <w:sz w:val="19"/>
              </w:rPr>
              <w:t>15 provinces, 50,000 individuals</w:t>
            </w:r>
          </w:p>
        </w:tc>
        <w:tc>
          <w:tcPr>
            <w:tcW w:type="dxa" w:w="1337"/>
          </w:tcPr>
          <w:p>
            <w:r/>
            <w:r>
              <w:rPr>
                <w:rFonts w:ascii="Inter" w:hAnsi="Inter" w:cs="Inter"/>
                <w:b w:val="0"/>
                <w:i w:val="0"/>
                <w:color w:val="2D2D2D"/>
                <w:sz w:val="19"/>
              </w:rPr>
              <w:t>December 2028</w:t>
            </w:r>
          </w:p>
        </w:tc>
      </w:tr>
      <w:tr>
        <w:tc>
          <w:tcPr>
            <w:tcW w:type="dxa" w:w="1337"/>
            <w:shd w:fill="F0F3F6"/>
          </w:tcPr>
          <w:p>
            <w:r/>
            <w:r>
              <w:rPr>
                <w:rFonts w:ascii="Inter" w:hAnsi="Inter" w:cs="Inter"/>
                <w:b w:val="0"/>
                <w:i w:val="0"/>
                <w:color w:val="2D2D2D"/>
                <w:sz w:val="19"/>
              </w:rPr>
              <w:t>SO-2</w:t>
            </w:r>
          </w:p>
        </w:tc>
        <w:tc>
          <w:tcPr>
            <w:tcW w:type="dxa" w:w="1337"/>
            <w:shd w:fill="F0F3F6"/>
          </w:tcPr>
          <w:p>
            <w:r/>
            <w:r>
              <w:rPr>
                <w:rFonts w:ascii="Inter" w:hAnsi="Inter" w:cs="Inter"/>
                <w:b w:val="0"/>
                <w:i w:val="0"/>
                <w:color w:val="2D2D2D"/>
                <w:sz w:val="19"/>
              </w:rPr>
              <w:t>Execute MOUs with at least 12 LGUs and 5 NGAs, formalizing coordination mechanisms for OBC service delivery</w:t>
            </w:r>
          </w:p>
        </w:tc>
        <w:tc>
          <w:tcPr>
            <w:tcW w:type="dxa" w:w="1337"/>
            <w:shd w:fill="F0F3F6"/>
          </w:tcPr>
          <w:p>
            <w:r/>
            <w:r>
              <w:rPr>
                <w:rFonts w:ascii="Inter" w:hAnsi="Inter" w:cs="Inter"/>
                <w:b w:val="0"/>
                <w:i w:val="0"/>
                <w:color w:val="2D2D2D"/>
                <w:sz w:val="19"/>
              </w:rPr>
              <w:t>Goal 1, Goal 3</w:t>
            </w:r>
          </w:p>
        </w:tc>
        <w:tc>
          <w:tcPr>
            <w:tcW w:type="dxa" w:w="1337"/>
            <w:shd w:fill="F0F3F6"/>
          </w:tcPr>
          <w:p>
            <w:r/>
            <w:r>
              <w:rPr>
                <w:rFonts w:ascii="Inter" w:hAnsi="Inter" w:cs="Inter"/>
                <w:b w:val="0"/>
                <w:i w:val="0"/>
                <w:color w:val="2D2D2D"/>
                <w:sz w:val="19"/>
              </w:rPr>
              <w:t>Priority 3, Priority 12</w:t>
            </w:r>
          </w:p>
        </w:tc>
        <w:tc>
          <w:tcPr>
            <w:tcW w:type="dxa" w:w="1337"/>
            <w:shd w:fill="F0F3F6"/>
          </w:tcPr>
          <w:p>
            <w:r/>
            <w:r>
              <w:rPr>
                <w:rFonts w:ascii="Inter" w:hAnsi="Inter" w:cs="Inter"/>
                <w:b w:val="0"/>
                <w:i w:val="0"/>
                <w:color w:val="2D2D2D"/>
                <w:sz w:val="19"/>
              </w:rPr>
              <w:t>2 informal arrangements (2024)</w:t>
            </w:r>
          </w:p>
        </w:tc>
        <w:tc>
          <w:tcPr>
            <w:tcW w:type="dxa" w:w="1337"/>
            <w:shd w:fill="F0F3F6"/>
          </w:tcPr>
          <w:p>
            <w:r/>
            <w:r>
              <w:rPr>
                <w:rFonts w:ascii="Inter" w:hAnsi="Inter" w:cs="Inter"/>
                <w:b w:val="0"/>
                <w:i w:val="0"/>
                <w:color w:val="2D2D2D"/>
                <w:sz w:val="19"/>
              </w:rPr>
              <w:t>17 MOUs (12 LGU + 5 NGA)</w:t>
            </w:r>
          </w:p>
        </w:tc>
        <w:tc>
          <w:tcPr>
            <w:tcW w:type="dxa" w:w="1337"/>
            <w:shd w:fill="F0F3F6"/>
          </w:tcPr>
          <w:p>
            <w:r/>
            <w:r>
              <w:rPr>
                <w:rFonts w:ascii="Inter" w:hAnsi="Inter" w:cs="Inter"/>
                <w:b w:val="0"/>
                <w:i w:val="0"/>
                <w:color w:val="2D2D2D"/>
                <w:sz w:val="19"/>
              </w:rPr>
              <w:t>December 2027</w:t>
            </w:r>
          </w:p>
        </w:tc>
      </w:tr>
      <w:tr>
        <w:tc>
          <w:tcPr>
            <w:tcW w:type="dxa" w:w="1337"/>
          </w:tcPr>
          <w:p>
            <w:r/>
            <w:r>
              <w:rPr>
                <w:rFonts w:ascii="Inter" w:hAnsi="Inter" w:cs="Inter"/>
                <w:b w:val="0"/>
                <w:i w:val="0"/>
                <w:color w:val="2D2D2D"/>
                <w:sz w:val="19"/>
              </w:rPr>
              <w:t>SO-3</w:t>
            </w:r>
          </w:p>
        </w:tc>
        <w:tc>
          <w:tcPr>
            <w:tcW w:type="dxa" w:w="1337"/>
          </w:tcPr>
          <w:p>
            <w:r/>
            <w:r>
              <w:rPr>
                <w:rFonts w:ascii="Inter" w:hAnsi="Inter" w:cs="Inter"/>
                <w:b w:val="0"/>
                <w:i w:val="0"/>
                <w:color w:val="2D2D2D"/>
                <w:sz w:val="19"/>
              </w:rPr>
              <w:t>Increase OBC access to BARMM social services by 40% from 2025 baseline, measured by number of OBC individuals enrolled in BARMM health, education, livelihood, and social protection programs</w:t>
            </w:r>
          </w:p>
        </w:tc>
        <w:tc>
          <w:tcPr>
            <w:tcW w:type="dxa" w:w="1337"/>
          </w:tcPr>
          <w:p>
            <w:r/>
            <w:r>
              <w:rPr>
                <w:rFonts w:ascii="Inter" w:hAnsi="Inter" w:cs="Inter"/>
                <w:b w:val="0"/>
                <w:i w:val="0"/>
                <w:color w:val="2D2D2D"/>
                <w:sz w:val="19"/>
              </w:rPr>
              <w:t>Goal 4, Goal 3</w:t>
            </w:r>
          </w:p>
        </w:tc>
        <w:tc>
          <w:tcPr>
            <w:tcW w:type="dxa" w:w="1337"/>
          </w:tcPr>
          <w:p>
            <w:r/>
            <w:r>
              <w:rPr>
                <w:rFonts w:ascii="Inter" w:hAnsi="Inter" w:cs="Inter"/>
                <w:b w:val="0"/>
                <w:i w:val="0"/>
                <w:color w:val="2D2D2D"/>
                <w:sz w:val="19"/>
              </w:rPr>
              <w:t>Priority 5, Priority 10, Priority 11</w:t>
            </w:r>
          </w:p>
        </w:tc>
        <w:tc>
          <w:tcPr>
            <w:tcW w:type="dxa" w:w="1337"/>
          </w:tcPr>
          <w:p>
            <w:r/>
            <w:r>
              <w:rPr>
                <w:rFonts w:ascii="Inter" w:hAnsi="Inter" w:cs="Inter"/>
                <w:b w:val="0"/>
                <w:i w:val="0"/>
                <w:color w:val="2D2D2D"/>
                <w:sz w:val="19"/>
              </w:rPr>
              <w:t>1,200 individuals (2025 est.)</w:t>
            </w:r>
          </w:p>
        </w:tc>
        <w:tc>
          <w:tcPr>
            <w:tcW w:type="dxa" w:w="1337"/>
          </w:tcPr>
          <w:p>
            <w:r/>
            <w:r>
              <w:rPr>
                <w:rFonts w:ascii="Inter" w:hAnsi="Inter" w:cs="Inter"/>
                <w:b w:val="0"/>
                <w:i w:val="0"/>
                <w:color w:val="2D2D2D"/>
                <w:sz w:val="19"/>
              </w:rPr>
              <w:t>5,000 individuals</w:t>
            </w:r>
          </w:p>
        </w:tc>
        <w:tc>
          <w:tcPr>
            <w:tcW w:type="dxa" w:w="1337"/>
          </w:tcPr>
          <w:p>
            <w:r/>
            <w:r>
              <w:rPr>
                <w:rFonts w:ascii="Inter" w:hAnsi="Inter" w:cs="Inter"/>
                <w:b w:val="0"/>
                <w:i w:val="0"/>
                <w:color w:val="2D2D2D"/>
                <w:sz w:val="19"/>
              </w:rPr>
              <w:t>December 2028</w:t>
            </w:r>
          </w:p>
        </w:tc>
      </w:tr>
    </w:tbl>
    <w:p/>
    <w:p>
      <w:pPr>
        <w:pStyle w:val="Heading4"/>
      </w:pPr>
      <w:r>
        <w:rPr>
          <w:rFonts w:ascii="Inter" w:hAnsi="Inter" w:cs="Inter"/>
          <w:b/>
          <w:i/>
          <w:color w:val="2C5F7C"/>
          <w:sz w:val="23"/>
        </w:rPr>
        <w:t>Section 2.4: Theory of Change (from Chapter 7)</w:t>
      </w:r>
    </w:p>
    <w:p>
      <w:pPr>
        <w:spacing w:after="120" w:line="276" w:lineRule="auto"/>
      </w:pPr>
      <w:r>
        <w:rPr>
          <w:rFonts w:ascii="Inter" w:hAnsi="Inter" w:cs="Inter"/>
          <w:b w:val="0"/>
          <w:i w:val="0"/>
          <w:color w:val="2D2D2D"/>
          <w:sz w:val="22"/>
        </w:rPr>
      </w:r>
      <w:r>
        <w:rPr>
          <w:rFonts w:ascii="Inter" w:hAnsi="Inter" w:cs="Inter"/>
          <w:b/>
          <w:i w:val="0"/>
          <w:color w:val="2D2D2D"/>
          <w:sz w:val="22"/>
        </w:rPr>
        <w:t>Impact:</w:t>
      </w:r>
      <w:r>
        <w:rPr>
          <w:rFonts w:ascii="Inter" w:hAnsi="Inter" w:cs="Inter"/>
          <w:b w:val="0"/>
          <w:i w:val="0"/>
          <w:color w:val="2D2D2D"/>
          <w:sz w:val="22"/>
        </w:rPr>
        <w:t xml:space="preserve"> All Bangsamoro --- regardless of location --- enjoy equitable access to government services, opportunities, and protection. (Timeframe: 10-15 years. Contribution type: Contributory.)</w:t>
      </w:r>
    </w:p>
    <w:p>
      <w:pPr>
        <w:spacing w:after="120" w:line="276" w:lineRule="auto"/>
      </w:pPr>
      <w:r>
        <w:rPr>
          <w:rFonts w:ascii="Inter" w:hAnsi="Inter" w:cs="Inter"/>
          <w:b w:val="0"/>
          <w:i w:val="0"/>
          <w:color w:val="2D2D2D"/>
          <w:sz w:val="22"/>
        </w:rPr>
      </w:r>
      <w:r>
        <w:rPr>
          <w:rFonts w:ascii="Inter" w:hAnsi="Inter" w:cs="Inter"/>
          <w:b/>
          <w:i w:val="0"/>
          <w:color w:val="2D2D2D"/>
          <w:sz w:val="22"/>
        </w:rPr>
        <w:t>Results Chain:</w:t>
      </w:r>
      <w:r>
        <w:rPr>
          <w:rFonts w:ascii="Inter" w:hAnsi="Inter" w:cs="Inter"/>
          <w:b w:val="0"/>
          <w:i w:val="0"/>
          <w:color w:val="2D2D2D"/>
          <w:sz w:val="22"/>
        </w:rPr>
      </w:r>
    </w:p>
    <w:p>
      <w:pPr>
        <w:spacing w:after="120" w:line="276" w:lineRule="auto"/>
      </w:pPr>
      <w:r>
        <w:rPr>
          <w:rFonts w:ascii="Inter" w:hAnsi="Inter" w:cs="Inter"/>
          <w:b w:val="0"/>
          <w:i w:val="0"/>
          <w:color w:val="2D2D2D"/>
          <w:sz w:val="22"/>
        </w:rPr>
        <w:t>*Medium-Term Outcome 1:* BARMM has an accurate, comprehensive picture of OBC populations and their needs, enabling evidence-based planning and resource allocation.</w:t>
      </w:r>
    </w:p>
    <w:p>
      <w:pPr>
        <w:pStyle w:val="ListBullet"/>
      </w:pPr>
      <w:r>
        <w:rPr>
          <w:rFonts w:ascii="Inter" w:hAnsi="Inter" w:cs="Inter"/>
          <w:b w:val="0"/>
          <w:i w:val="0"/>
          <w:color w:val="2D2D2D"/>
          <w:sz w:val="22"/>
        </w:rPr>
        <w:t>Short-Term Outcome 1.1: Community profiling teams complete validated surveys in 15 provinces, producing disaggregated demographic and service access data.</w:t>
      </w:r>
    </w:p>
    <w:p>
      <w:pPr>
        <w:pStyle w:val="ListBullet"/>
      </w:pPr>
      <w:r>
        <w:rPr>
          <w:rFonts w:ascii="Inter" w:hAnsi="Inter" w:cs="Inter"/>
          <w:b w:val="0"/>
          <w:i w:val="0"/>
          <w:color w:val="2D2D2D"/>
          <w:sz w:val="22"/>
        </w:rPr>
        <w:t>Short-Term Outcome 1.2: The OBC database is operational, regularly updated, and used by BARMM ministries for program targeting.</w:t>
      </w:r>
    </w:p>
    <w:p>
      <w:pPr>
        <w:spacing w:after="120" w:line="276" w:lineRule="auto"/>
      </w:pPr>
      <w:r>
        <w:rPr>
          <w:rFonts w:ascii="Inter" w:hAnsi="Inter" w:cs="Inter"/>
          <w:b w:val="0"/>
          <w:i w:val="0"/>
          <w:color w:val="2D2D2D"/>
          <w:sz w:val="22"/>
        </w:rPr>
        <w:t>*Medium-Term Outcome 2:* Formal inter-governmental coordination mechanisms ensure sustained service delivery to OBC populations.</w:t>
      </w:r>
    </w:p>
    <w:p>
      <w:pPr>
        <w:pStyle w:val="ListBullet"/>
      </w:pPr>
      <w:r>
        <w:rPr>
          <w:rFonts w:ascii="Inter" w:hAnsi="Inter" w:cs="Inter"/>
          <w:b w:val="0"/>
          <w:i w:val="0"/>
          <w:color w:val="2D2D2D"/>
          <w:sz w:val="22"/>
        </w:rPr>
        <w:t>Short-Term Outcome 2.1: MOUs are signed and OBC coordination desks are established in at least 8 partner LGUs.</w:t>
      </w:r>
    </w:p>
    <w:p>
      <w:pPr>
        <w:pStyle w:val="ListBullet"/>
      </w:pPr>
      <w:r>
        <w:rPr>
          <w:rFonts w:ascii="Inter" w:hAnsi="Inter" w:cs="Inter"/>
          <w:b w:val="0"/>
          <w:i w:val="0"/>
          <w:color w:val="2D2D2D"/>
          <w:sz w:val="22"/>
        </w:rPr>
        <w:t>Short-Term Outcome 2.2: Partner LGUs and NGAs include OBC-specific provisions in their local development plans and service delivery systems.</w:t>
      </w:r>
    </w:p>
    <w:p>
      <w:pPr>
        <w:spacing w:after="120" w:line="276" w:lineRule="auto"/>
      </w:pPr>
      <w:r>
        <w:rPr>
          <w:rFonts w:ascii="Inter" w:hAnsi="Inter" w:cs="Inter"/>
          <w:b w:val="0"/>
          <w:i w:val="0"/>
          <w:color w:val="2D2D2D"/>
          <w:sz w:val="22"/>
        </w:rPr>
        <w:t>*Medium-Term Outcome 3:* OBC populations experience measurably improved access to health, education, livelihood, and social protection services.</w:t>
      </w:r>
    </w:p>
    <w:p>
      <w:pPr>
        <w:pStyle w:val="ListBullet"/>
      </w:pPr>
      <w:r>
        <w:rPr>
          <w:rFonts w:ascii="Inter" w:hAnsi="Inter" w:cs="Inter"/>
          <w:b w:val="0"/>
          <w:i w:val="0"/>
          <w:color w:val="2D2D2D"/>
          <w:sz w:val="22"/>
        </w:rPr>
        <w:t>Short-Term Outcome 3.1: OBC individuals are enrolled in BARMM social service programs through OOBC's referral and coordination system.</w:t>
      </w:r>
    </w:p>
    <w:p>
      <w:pPr>
        <w:pStyle w:val="ListBullet"/>
      </w:pPr>
      <w:r>
        <w:rPr>
          <w:rFonts w:ascii="Inter" w:hAnsi="Inter" w:cs="Inter"/>
          <w:b w:val="0"/>
          <w:i w:val="0"/>
          <w:color w:val="2D2D2D"/>
          <w:sz w:val="22"/>
        </w:rPr>
        <w:t>Short-Term Outcome 3.2: Vulnerable OBC sectors (women, youth, persons with disabilities) receive targeted capacity-building and advocacy support.</w:t>
      </w:r>
    </w:p>
    <w:p>
      <w:pPr>
        <w:spacing w:after="120" w:line="276" w:lineRule="auto"/>
      </w:pPr>
      <w:r>
        <w:rPr>
          <w:rFonts w:ascii="Inter" w:hAnsi="Inter" w:cs="Inter"/>
          <w:b w:val="0"/>
          <w:i w:val="0"/>
          <w:color w:val="2D2D2D"/>
          <w:sz w:val="22"/>
        </w:rPr>
      </w:r>
      <w:r>
        <w:rPr>
          <w:rFonts w:ascii="Inter" w:hAnsi="Inter" w:cs="Inter"/>
          <w:b/>
          <w:i w:val="0"/>
          <w:color w:val="2D2D2D"/>
          <w:sz w:val="22"/>
        </w:rPr>
        <w:t>Selected Outputs (MTO-1):</w:t>
      </w:r>
      <w:r>
        <w:rPr>
          <w:rFonts w:ascii="Inter" w:hAnsi="Inter" w:cs="Inter"/>
          <w:b w:val="0"/>
          <w:i w:val="0"/>
          <w:color w:val="2D2D2D"/>
          <w:sz w:val="22"/>
        </w:rPr>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Output</w:t>
            </w:r>
          </w:p>
        </w:tc>
        <w:tc>
          <w:tcPr>
            <w:tcW w:type="dxa" w:w="3120"/>
            <w:shd w:fill="1B365D"/>
          </w:tcPr>
          <w:p>
            <w:r/>
            <w:r>
              <w:rPr>
                <w:rFonts w:ascii="Inter" w:hAnsi="Inter" w:cs="Inter"/>
                <w:b/>
                <w:i w:val="0"/>
                <w:color w:val="FFFFFF"/>
                <w:sz w:val="19"/>
              </w:rPr>
              <w:t>Description</w:t>
            </w:r>
          </w:p>
        </w:tc>
        <w:tc>
          <w:tcPr>
            <w:tcW w:type="dxa" w:w="3120"/>
            <w:shd w:fill="1B365D"/>
          </w:tcPr>
          <w:p>
            <w:r/>
            <w:r>
              <w:rPr>
                <w:rFonts w:ascii="Inter" w:hAnsi="Inter" w:cs="Inter"/>
                <w:b/>
                <w:i w:val="0"/>
                <w:color w:val="FFFFFF"/>
                <w:sz w:val="19"/>
              </w:rPr>
              <w:t>Target</w:t>
            </w:r>
          </w:p>
        </w:tc>
      </w:tr>
      <w:tr>
        <w:tc>
          <w:tcPr>
            <w:tcW w:type="dxa" w:w="3120"/>
          </w:tcPr>
          <w:p>
            <w:r/>
            <w:r>
              <w:rPr>
                <w:rFonts w:ascii="Inter" w:hAnsi="Inter" w:cs="Inter"/>
                <w:b w:val="0"/>
                <w:i w:val="0"/>
                <w:color w:val="2D2D2D"/>
                <w:sz w:val="19"/>
              </w:rPr>
              <w:t>OUT-1.1.1</w:t>
            </w:r>
          </w:p>
        </w:tc>
        <w:tc>
          <w:tcPr>
            <w:tcW w:type="dxa" w:w="3120"/>
          </w:tcPr>
          <w:p>
            <w:r/>
            <w:r>
              <w:rPr>
                <w:rFonts w:ascii="Inter" w:hAnsi="Inter" w:cs="Inter"/>
                <w:b w:val="0"/>
                <w:i w:val="0"/>
                <w:color w:val="2D2D2D"/>
                <w:sz w:val="19"/>
              </w:rPr>
              <w:t>Community profiling surveys completed in priority provinces</w:t>
            </w:r>
          </w:p>
        </w:tc>
        <w:tc>
          <w:tcPr>
            <w:tcW w:type="dxa" w:w="3120"/>
          </w:tcPr>
          <w:p>
            <w:r/>
            <w:r>
              <w:rPr>
                <w:rFonts w:ascii="Inter" w:hAnsi="Inter" w:cs="Inter"/>
                <w:b w:val="0"/>
                <w:i w:val="0"/>
                <w:color w:val="2D2D2D"/>
                <w:sz w:val="19"/>
              </w:rPr>
              <w:t>15 provinces</w:t>
            </w:r>
          </w:p>
        </w:tc>
      </w:tr>
      <w:tr>
        <w:tc>
          <w:tcPr>
            <w:tcW w:type="dxa" w:w="3120"/>
            <w:shd w:fill="F0F3F6"/>
          </w:tcPr>
          <w:p>
            <w:r/>
            <w:r>
              <w:rPr>
                <w:rFonts w:ascii="Inter" w:hAnsi="Inter" w:cs="Inter"/>
                <w:b w:val="0"/>
                <w:i w:val="0"/>
                <w:color w:val="2D2D2D"/>
                <w:sz w:val="19"/>
              </w:rPr>
              <w:t>OUT-1.1.2</w:t>
            </w:r>
          </w:p>
        </w:tc>
        <w:tc>
          <w:tcPr>
            <w:tcW w:type="dxa" w:w="3120"/>
            <w:shd w:fill="F0F3F6"/>
          </w:tcPr>
          <w:p>
            <w:r/>
            <w:r>
              <w:rPr>
                <w:rFonts w:ascii="Inter" w:hAnsi="Inter" w:cs="Inter"/>
                <w:b w:val="0"/>
                <w:i w:val="0"/>
                <w:color w:val="2D2D2D"/>
                <w:sz w:val="19"/>
              </w:rPr>
              <w:t>Enumerators recruited, trained, and deployed for profiling fieldwork</w:t>
            </w:r>
          </w:p>
        </w:tc>
        <w:tc>
          <w:tcPr>
            <w:tcW w:type="dxa" w:w="3120"/>
            <w:shd w:fill="F0F3F6"/>
          </w:tcPr>
          <w:p>
            <w:r/>
            <w:r>
              <w:rPr>
                <w:rFonts w:ascii="Inter" w:hAnsi="Inter" w:cs="Inter"/>
                <w:b w:val="0"/>
                <w:i w:val="0"/>
                <w:color w:val="2D2D2D"/>
                <w:sz w:val="19"/>
              </w:rPr>
              <w:t>30 enumerators across 4 field offices</w:t>
            </w:r>
          </w:p>
        </w:tc>
      </w:tr>
      <w:tr>
        <w:tc>
          <w:tcPr>
            <w:tcW w:type="dxa" w:w="3120"/>
          </w:tcPr>
          <w:p>
            <w:r/>
            <w:r>
              <w:rPr>
                <w:rFonts w:ascii="Inter" w:hAnsi="Inter" w:cs="Inter"/>
                <w:b w:val="0"/>
                <w:i w:val="0"/>
                <w:color w:val="2D2D2D"/>
                <w:sz w:val="19"/>
              </w:rPr>
              <w:t>OUT-1.1.3</w:t>
            </w:r>
          </w:p>
        </w:tc>
        <w:tc>
          <w:tcPr>
            <w:tcW w:type="dxa" w:w="3120"/>
          </w:tcPr>
          <w:p>
            <w:r/>
            <w:r>
              <w:rPr>
                <w:rFonts w:ascii="Inter" w:hAnsi="Inter" w:cs="Inter"/>
                <w:b w:val="0"/>
                <w:i w:val="0"/>
                <w:color w:val="2D2D2D"/>
                <w:sz w:val="19"/>
              </w:rPr>
              <w:t>OBC database system developed, tested, and deployed</w:t>
            </w:r>
          </w:p>
        </w:tc>
        <w:tc>
          <w:tcPr>
            <w:tcW w:type="dxa" w:w="3120"/>
          </w:tcPr>
          <w:p>
            <w:r/>
            <w:r>
              <w:rPr>
                <w:rFonts w:ascii="Inter" w:hAnsi="Inter" w:cs="Inter"/>
                <w:b w:val="0"/>
                <w:i w:val="0"/>
                <w:color w:val="2D2D2D"/>
                <w:sz w:val="19"/>
              </w:rPr>
              <w:t>1 system (cloud-based, Data Privacy Act-compliant)</w:t>
            </w:r>
          </w:p>
        </w:tc>
      </w:tr>
      <w:tr>
        <w:tc>
          <w:tcPr>
            <w:tcW w:type="dxa" w:w="3120"/>
            <w:shd w:fill="F0F3F6"/>
          </w:tcPr>
          <w:p>
            <w:r/>
            <w:r>
              <w:rPr>
                <w:rFonts w:ascii="Inter" w:hAnsi="Inter" w:cs="Inter"/>
                <w:b w:val="0"/>
                <w:i w:val="0"/>
                <w:color w:val="2D2D2D"/>
                <w:sz w:val="19"/>
              </w:rPr>
              <w:t>OUT-1.2.1</w:t>
            </w:r>
          </w:p>
        </w:tc>
        <w:tc>
          <w:tcPr>
            <w:tcW w:type="dxa" w:w="3120"/>
            <w:shd w:fill="F0F3F6"/>
          </w:tcPr>
          <w:p>
            <w:r/>
            <w:r>
              <w:rPr>
                <w:rFonts w:ascii="Inter" w:hAnsi="Inter" w:cs="Inter"/>
                <w:b w:val="0"/>
                <w:i w:val="0"/>
                <w:color w:val="2D2D2D"/>
                <w:sz w:val="19"/>
              </w:rPr>
              <w:t>Data validation and quality assurance reports produced</w:t>
            </w:r>
          </w:p>
        </w:tc>
        <w:tc>
          <w:tcPr>
            <w:tcW w:type="dxa" w:w="3120"/>
            <w:shd w:fill="F0F3F6"/>
          </w:tcPr>
          <w:p>
            <w:r/>
            <w:r>
              <w:rPr>
                <w:rFonts w:ascii="Inter" w:hAnsi="Inter" w:cs="Inter"/>
                <w:b w:val="0"/>
                <w:i w:val="0"/>
                <w:color w:val="2D2D2D"/>
                <w:sz w:val="19"/>
              </w:rPr>
              <w:t>15 reports (one per province)</w:t>
            </w:r>
          </w:p>
        </w:tc>
      </w:tr>
      <w:tr>
        <w:tc>
          <w:tcPr>
            <w:tcW w:type="dxa" w:w="3120"/>
          </w:tcPr>
          <w:p>
            <w:r/>
            <w:r>
              <w:rPr>
                <w:rFonts w:ascii="Inter" w:hAnsi="Inter" w:cs="Inter"/>
                <w:b w:val="0"/>
                <w:i w:val="0"/>
                <w:color w:val="2D2D2D"/>
                <w:sz w:val="19"/>
              </w:rPr>
              <w:t>OUT-1.2.2</w:t>
            </w:r>
          </w:p>
        </w:tc>
        <w:tc>
          <w:tcPr>
            <w:tcW w:type="dxa" w:w="3120"/>
          </w:tcPr>
          <w:p>
            <w:r/>
            <w:r>
              <w:rPr>
                <w:rFonts w:ascii="Inter" w:hAnsi="Inter" w:cs="Inter"/>
                <w:b w:val="0"/>
                <w:i w:val="0"/>
                <w:color w:val="2D2D2D"/>
                <w:sz w:val="19"/>
              </w:rPr>
              <w:t>OBC data briefs published and shared with BARMM ministries</w:t>
            </w:r>
          </w:p>
        </w:tc>
        <w:tc>
          <w:tcPr>
            <w:tcW w:type="dxa" w:w="3120"/>
          </w:tcPr>
          <w:p>
            <w:r/>
            <w:r>
              <w:rPr>
                <w:rFonts w:ascii="Inter" w:hAnsi="Inter" w:cs="Inter"/>
                <w:b w:val="0"/>
                <w:i w:val="0"/>
                <w:color w:val="2D2D2D"/>
                <w:sz w:val="19"/>
              </w:rPr>
              <w:t>5 thematic briefs (health, education, livelihood, youth, women)</w:t>
            </w:r>
          </w:p>
        </w:tc>
      </w:tr>
    </w:tbl>
    <w:p/>
    <w:p>
      <w:pPr>
        <w:spacing w:after="120" w:line="276" w:lineRule="auto"/>
      </w:pPr>
      <w:r>
        <w:rPr>
          <w:rFonts w:ascii="Inter" w:hAnsi="Inter" w:cs="Inter"/>
          <w:b w:val="0"/>
          <w:i w:val="0"/>
          <w:color w:val="2D2D2D"/>
          <w:sz w:val="22"/>
        </w:rPr>
      </w:r>
      <w:r>
        <w:rPr>
          <w:rFonts w:ascii="Inter" w:hAnsi="Inter" w:cs="Inter"/>
          <w:b/>
          <w:i w:val="0"/>
          <w:color w:val="2D2D2D"/>
          <w:sz w:val="22"/>
        </w:rPr>
        <w:t>Key Causal Pathway:</w:t>
      </w:r>
      <w:r>
        <w:rPr>
          <w:rFonts w:ascii="Inter" w:hAnsi="Inter" w:cs="Inter"/>
          <w:b w:val="0"/>
          <w:i w:val="0"/>
          <w:color w:val="2D2D2D"/>
          <w:sz w:val="22"/>
        </w:rPr>
      </w:r>
    </w:p>
    <w:p>
      <w:pPr>
        <w:spacing w:after="120" w:line="276" w:lineRule="auto"/>
      </w:pPr>
      <w:r>
        <w:rPr>
          <w:rFonts w:ascii="Inter" w:hAnsi="Inter" w:cs="Inter"/>
          <w:b w:val="0"/>
          <w:i w:val="0"/>
          <w:color w:val="2D2D2D"/>
          <w:sz w:val="22"/>
        </w:rPr>
        <w:t>IF OOBC completes community profiling in 15 provinces and builds a verified database of at least 50,000 OBC individuals with disaggregated service access data, THEN BARMM ministries and partner LGUs will be able to target programs to OBC populations based on evidence rather than assumptions, BECAUSE decision-makers who have reliable, granular data about underserved populations can design interventions that reach the right people, and the existence of an official OBC registry validates these communities as legitimate service recipients in government planning systems.</w:t>
      </w:r>
    </w:p>
    <w:p>
      <w:pPr>
        <w:spacing w:after="120" w:line="276" w:lineRule="auto"/>
      </w:pPr>
      <w:r>
        <w:rPr>
          <w:rFonts w:ascii="Inter" w:hAnsi="Inter" w:cs="Inter"/>
          <w:b w:val="0"/>
          <w:i w:val="0"/>
          <w:color w:val="2D2D2D"/>
          <w:sz w:val="22"/>
        </w:rPr>
      </w:r>
      <w:r>
        <w:rPr>
          <w:rFonts w:ascii="Inter" w:hAnsi="Inter" w:cs="Inter"/>
          <w:b/>
          <w:i w:val="0"/>
          <w:color w:val="2D2D2D"/>
          <w:sz w:val="22"/>
        </w:rPr>
        <w:t>Critical Assumptions:</w:t>
      </w:r>
      <w:r>
        <w:rPr>
          <w:rFonts w:ascii="Inter" w:hAnsi="Inter" w:cs="Inter"/>
          <w:b w:val="0"/>
          <w:i w:val="0"/>
          <w:color w:val="2D2D2D"/>
          <w:sz w:val="22"/>
        </w:rPr>
      </w:r>
    </w:p>
    <w:p>
      <w:pPr>
        <w:pStyle w:val="ListBullet"/>
      </w:pPr>
      <w:r>
        <w:rPr>
          <w:rFonts w:ascii="Inter" w:hAnsi="Inter" w:cs="Inter"/>
          <w:b w:val="0"/>
          <w:i w:val="0"/>
          <w:color w:val="2D2D2D"/>
          <w:sz w:val="22"/>
        </w:rPr>
        <w:t>OBC communities are willing to participate in profiling and provide accurate information.</w:t>
      </w:r>
    </w:p>
    <w:p>
      <w:pPr>
        <w:pStyle w:val="ListBullet"/>
      </w:pPr>
      <w:r>
        <w:rPr>
          <w:rFonts w:ascii="Inter" w:hAnsi="Inter" w:cs="Inter"/>
          <w:b w:val="0"/>
          <w:i w:val="0"/>
          <w:color w:val="2D2D2D"/>
          <w:sz w:val="22"/>
        </w:rPr>
        <w:t>LGUs and NGAs are receptive to formalizing coordination through MOUs.</w:t>
      </w:r>
    </w:p>
    <w:p>
      <w:pPr>
        <w:pStyle w:val="ListBullet"/>
      </w:pPr>
      <w:r>
        <w:rPr>
          <w:rFonts w:ascii="Inter" w:hAnsi="Inter" w:cs="Inter"/>
          <w:b w:val="0"/>
          <w:i w:val="0"/>
          <w:color w:val="2D2D2D"/>
          <w:sz w:val="22"/>
        </w:rPr>
        <w:t>BARMM ministries accept OOBC referrals and allocate program slots for OBC beneficiaries.</w:t>
      </w:r>
    </w:p>
    <w:p>
      <w:pPr>
        <w:pStyle w:val="ListBullet"/>
      </w:pPr>
      <w:r>
        <w:rPr>
          <w:rFonts w:ascii="Inter" w:hAnsi="Inter" w:cs="Inter"/>
          <w:b w:val="0"/>
          <w:i w:val="0"/>
          <w:color w:val="2D2D2D"/>
          <w:sz w:val="22"/>
        </w:rPr>
        <w:t>OOBC field offices have sufficient staffing and operational budget for sustained fieldwork.</w:t>
      </w:r>
    </w:p>
    <w:p>
      <w:pPr>
        <w:pStyle w:val="Heading3"/>
      </w:pPr>
      <w:r>
        <w:rPr>
          <w:rFonts w:ascii="Inter" w:hAnsi="Inter" w:cs="Inter"/>
          <w:b/>
          <w:i w:val="0"/>
          <w:color w:val="2C5F7C"/>
          <w:sz w:val="26"/>
        </w:rPr>
        <w:t>PART III: PROGRAMS</w:t>
      </w:r>
    </w:p>
    <w:p>
      <w:pPr>
        <w:pStyle w:val="Heading4"/>
      </w:pPr>
      <w:r>
        <w:rPr>
          <w:rFonts w:ascii="Inter" w:hAnsi="Inter" w:cs="Inter"/>
          <w:b/>
          <w:i/>
          <w:color w:val="2C5F7C"/>
          <w:sz w:val="23"/>
        </w:rPr>
        <w:t>Section 3.1: PPA Register Excerpt (from Chapter 8)</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PPA Code</w:t>
            </w:r>
          </w:p>
        </w:tc>
        <w:tc>
          <w:tcPr>
            <w:tcW w:type="dxa" w:w="1560"/>
            <w:shd w:fill="1B365D"/>
          </w:tcPr>
          <w:p>
            <w:r/>
            <w:r>
              <w:rPr>
                <w:rFonts w:ascii="Inter" w:hAnsi="Inter" w:cs="Inter"/>
                <w:b/>
                <w:i w:val="0"/>
                <w:color w:val="FFFFFF"/>
                <w:sz w:val="19"/>
              </w:rPr>
              <w:t>PPA Name</w:t>
            </w:r>
          </w:p>
        </w:tc>
        <w:tc>
          <w:tcPr>
            <w:tcW w:type="dxa" w:w="1560"/>
            <w:shd w:fill="1B365D"/>
          </w:tcPr>
          <w:p>
            <w:r/>
            <w:r>
              <w:rPr>
                <w:rFonts w:ascii="Inter" w:hAnsi="Inter" w:cs="Inter"/>
                <w:b/>
                <w:i w:val="0"/>
                <w:color w:val="FFFFFF"/>
                <w:sz w:val="19"/>
              </w:rPr>
              <w:t>Type</w:t>
            </w:r>
          </w:p>
        </w:tc>
        <w:tc>
          <w:tcPr>
            <w:tcW w:type="dxa" w:w="1560"/>
            <w:shd w:fill="1B365D"/>
          </w:tcPr>
          <w:p>
            <w:r/>
            <w:r>
              <w:rPr>
                <w:rFonts w:ascii="Inter" w:hAnsi="Inter" w:cs="Inter"/>
                <w:b/>
                <w:i w:val="0"/>
                <w:color w:val="FFFFFF"/>
                <w:sz w:val="19"/>
              </w:rPr>
              <w:t>Strategic Objective</w:t>
            </w:r>
          </w:p>
        </w:tc>
        <w:tc>
          <w:tcPr>
            <w:tcW w:type="dxa" w:w="1560"/>
            <w:shd w:fill="1B365D"/>
          </w:tcPr>
          <w:p>
            <w:r/>
            <w:r>
              <w:rPr>
                <w:rFonts w:ascii="Inter" w:hAnsi="Inter" w:cs="Inter"/>
                <w:b/>
                <w:i w:val="0"/>
                <w:color w:val="FFFFFF"/>
                <w:sz w:val="19"/>
              </w:rPr>
              <w:t>Target Output</w:t>
            </w:r>
          </w:p>
        </w:tc>
        <w:tc>
          <w:tcPr>
            <w:tcW w:type="dxa" w:w="1560"/>
            <w:shd w:fill="1B365D"/>
          </w:tcPr>
          <w:p>
            <w:r/>
            <w:r>
              <w:rPr>
                <w:rFonts w:ascii="Inter" w:hAnsi="Inter" w:cs="Inter"/>
                <w:b/>
                <w:i w:val="0"/>
                <w:color w:val="FFFFFF"/>
                <w:sz w:val="19"/>
              </w:rPr>
              <w:t>Timeline</w:t>
            </w:r>
          </w:p>
        </w:tc>
      </w:tr>
      <w:tr>
        <w:tc>
          <w:tcPr>
            <w:tcW w:type="dxa" w:w="1560"/>
          </w:tcPr>
          <w:p>
            <w:r/>
            <w:r>
              <w:rPr>
                <w:rFonts w:ascii="Inter" w:hAnsi="Inter" w:cs="Inter"/>
                <w:b w:val="0"/>
                <w:i w:val="0"/>
                <w:color w:val="2D2D2D"/>
                <w:sz w:val="19"/>
              </w:rPr>
              <w:t>OBC-P-001</w:t>
            </w:r>
          </w:p>
        </w:tc>
        <w:tc>
          <w:tcPr>
            <w:tcW w:type="dxa" w:w="1560"/>
          </w:tcPr>
          <w:p>
            <w:r/>
            <w:r>
              <w:rPr>
                <w:rFonts w:ascii="Inter" w:hAnsi="Inter" w:cs="Inter"/>
                <w:b w:val="0"/>
                <w:i w:val="0"/>
                <w:color w:val="2D2D2D"/>
                <w:sz w:val="19"/>
              </w:rPr>
              <w:t>OBC Community Profiling and Social Registry Program (PSRRS)</w:t>
            </w:r>
          </w:p>
        </w:tc>
        <w:tc>
          <w:tcPr>
            <w:tcW w:type="dxa" w:w="1560"/>
          </w:tcPr>
          <w:p>
            <w:r/>
            <w:r>
              <w:rPr>
                <w:rFonts w:ascii="Inter" w:hAnsi="Inter" w:cs="Inter"/>
                <w:b w:val="0"/>
                <w:i w:val="0"/>
                <w:color w:val="2D2D2D"/>
                <w:sz w:val="19"/>
              </w:rPr>
              <w:t>Program</w:t>
            </w:r>
          </w:p>
        </w:tc>
        <w:tc>
          <w:tcPr>
            <w:tcW w:type="dxa" w:w="1560"/>
          </w:tcPr>
          <w:p>
            <w:r/>
            <w:r>
              <w:rPr>
                <w:rFonts w:ascii="Inter" w:hAnsi="Inter" w:cs="Inter"/>
                <w:b w:val="0"/>
                <w:i w:val="0"/>
                <w:color w:val="2D2D2D"/>
                <w:sz w:val="19"/>
              </w:rPr>
              <w:t>SO-1</w:t>
            </w:r>
          </w:p>
        </w:tc>
        <w:tc>
          <w:tcPr>
            <w:tcW w:type="dxa" w:w="1560"/>
          </w:tcPr>
          <w:p>
            <w:r/>
            <w:r>
              <w:rPr>
                <w:rFonts w:ascii="Inter" w:hAnsi="Inter" w:cs="Inter"/>
                <w:b w:val="0"/>
                <w:i w:val="0"/>
                <w:color w:val="2D2D2D"/>
                <w:sz w:val="19"/>
              </w:rPr>
              <w:t>15 provinces profiled, 50,000 individuals in verified database</w:t>
            </w:r>
          </w:p>
        </w:tc>
        <w:tc>
          <w:tcPr>
            <w:tcW w:type="dxa" w:w="1560"/>
          </w:tcPr>
          <w:p>
            <w:r/>
            <w:r>
              <w:rPr>
                <w:rFonts w:ascii="Inter" w:hAnsi="Inter" w:cs="Inter"/>
                <w:b w:val="0"/>
                <w:i w:val="0"/>
                <w:color w:val="2D2D2D"/>
                <w:sz w:val="19"/>
              </w:rPr>
              <w:t>FY 2026-2028</w:t>
            </w:r>
          </w:p>
        </w:tc>
      </w:tr>
      <w:tr>
        <w:tc>
          <w:tcPr>
            <w:tcW w:type="dxa" w:w="1560"/>
            <w:shd w:fill="F0F3F6"/>
          </w:tcPr>
          <w:p>
            <w:r/>
            <w:r>
              <w:rPr>
                <w:rFonts w:ascii="Inter" w:hAnsi="Inter" w:cs="Inter"/>
                <w:b w:val="0"/>
                <w:i w:val="0"/>
                <w:color w:val="2D2D2D"/>
                <w:sz w:val="19"/>
              </w:rPr>
              <w:t>OBC-P-002</w:t>
            </w:r>
          </w:p>
        </w:tc>
        <w:tc>
          <w:tcPr>
            <w:tcW w:type="dxa" w:w="1560"/>
            <w:shd w:fill="F0F3F6"/>
          </w:tcPr>
          <w:p>
            <w:r/>
            <w:r>
              <w:rPr>
                <w:rFonts w:ascii="Inter" w:hAnsi="Inter" w:cs="Inter"/>
                <w:b w:val="0"/>
                <w:i w:val="0"/>
                <w:color w:val="2D2D2D"/>
                <w:sz w:val="19"/>
              </w:rPr>
              <w:t>Inter-governmental Coordination and Partnership Program</w:t>
            </w:r>
          </w:p>
        </w:tc>
        <w:tc>
          <w:tcPr>
            <w:tcW w:type="dxa" w:w="1560"/>
            <w:shd w:fill="F0F3F6"/>
          </w:tcPr>
          <w:p>
            <w:r/>
            <w:r>
              <w:rPr>
                <w:rFonts w:ascii="Inter" w:hAnsi="Inter" w:cs="Inter"/>
                <w:b w:val="0"/>
                <w:i w:val="0"/>
                <w:color w:val="2D2D2D"/>
                <w:sz w:val="19"/>
              </w:rPr>
              <w:t>Program</w:t>
            </w:r>
          </w:p>
        </w:tc>
        <w:tc>
          <w:tcPr>
            <w:tcW w:type="dxa" w:w="1560"/>
            <w:shd w:fill="F0F3F6"/>
          </w:tcPr>
          <w:p>
            <w:r/>
            <w:r>
              <w:rPr>
                <w:rFonts w:ascii="Inter" w:hAnsi="Inter" w:cs="Inter"/>
                <w:b w:val="0"/>
                <w:i w:val="0"/>
                <w:color w:val="2D2D2D"/>
                <w:sz w:val="19"/>
              </w:rPr>
              <w:t>SO-2</w:t>
            </w:r>
          </w:p>
        </w:tc>
        <w:tc>
          <w:tcPr>
            <w:tcW w:type="dxa" w:w="1560"/>
            <w:shd w:fill="F0F3F6"/>
          </w:tcPr>
          <w:p>
            <w:r/>
            <w:r>
              <w:rPr>
                <w:rFonts w:ascii="Inter" w:hAnsi="Inter" w:cs="Inter"/>
                <w:b w:val="0"/>
                <w:i w:val="0"/>
                <w:color w:val="2D2D2D"/>
                <w:sz w:val="19"/>
              </w:rPr>
              <w:t>17 MOUs executed, 8 coordination desks operational</w:t>
            </w:r>
          </w:p>
        </w:tc>
        <w:tc>
          <w:tcPr>
            <w:tcW w:type="dxa" w:w="1560"/>
            <w:shd w:fill="F0F3F6"/>
          </w:tcPr>
          <w:p>
            <w:r/>
            <w:r>
              <w:rPr>
                <w:rFonts w:ascii="Inter" w:hAnsi="Inter" w:cs="Inter"/>
                <w:b w:val="0"/>
                <w:i w:val="0"/>
                <w:color w:val="2D2D2D"/>
                <w:sz w:val="19"/>
              </w:rPr>
              <w:t>FY 2026-2028</w:t>
            </w:r>
          </w:p>
        </w:tc>
      </w:tr>
      <w:tr>
        <w:tc>
          <w:tcPr>
            <w:tcW w:type="dxa" w:w="1560"/>
          </w:tcPr>
          <w:p>
            <w:r/>
            <w:r>
              <w:rPr>
                <w:rFonts w:ascii="Inter" w:hAnsi="Inter" w:cs="Inter"/>
                <w:b w:val="0"/>
                <w:i w:val="0"/>
                <w:color w:val="2D2D2D"/>
                <w:sz w:val="19"/>
              </w:rPr>
              <w:t>OBC-P-003</w:t>
            </w:r>
          </w:p>
        </w:tc>
        <w:tc>
          <w:tcPr>
            <w:tcW w:type="dxa" w:w="1560"/>
          </w:tcPr>
          <w:p>
            <w:r/>
            <w:r>
              <w:rPr>
                <w:rFonts w:ascii="Inter" w:hAnsi="Inter" w:cs="Inter"/>
                <w:b w:val="0"/>
                <w:i w:val="0"/>
                <w:color w:val="2D2D2D"/>
                <w:sz w:val="19"/>
              </w:rPr>
              <w:t>OBC Service Access and Capacity-Building Program</w:t>
            </w:r>
          </w:p>
        </w:tc>
        <w:tc>
          <w:tcPr>
            <w:tcW w:type="dxa" w:w="1560"/>
          </w:tcPr>
          <w:p>
            <w:r/>
            <w:r>
              <w:rPr>
                <w:rFonts w:ascii="Inter" w:hAnsi="Inter" w:cs="Inter"/>
                <w:b w:val="0"/>
                <w:i w:val="0"/>
                <w:color w:val="2D2D2D"/>
                <w:sz w:val="19"/>
              </w:rPr>
              <w:t>Program</w:t>
            </w:r>
          </w:p>
        </w:tc>
        <w:tc>
          <w:tcPr>
            <w:tcW w:type="dxa" w:w="1560"/>
          </w:tcPr>
          <w:p>
            <w:r/>
            <w:r>
              <w:rPr>
                <w:rFonts w:ascii="Inter" w:hAnsi="Inter" w:cs="Inter"/>
                <w:b w:val="0"/>
                <w:i w:val="0"/>
                <w:color w:val="2D2D2D"/>
                <w:sz w:val="19"/>
              </w:rPr>
              <w:t>SO-3</w:t>
            </w:r>
          </w:p>
        </w:tc>
        <w:tc>
          <w:tcPr>
            <w:tcW w:type="dxa" w:w="1560"/>
          </w:tcPr>
          <w:p>
            <w:r/>
            <w:r>
              <w:rPr>
                <w:rFonts w:ascii="Inter" w:hAnsi="Inter" w:cs="Inter"/>
                <w:b w:val="0"/>
                <w:i w:val="0"/>
                <w:color w:val="2D2D2D"/>
                <w:sz w:val="19"/>
              </w:rPr>
              <w:t>5,000 individuals enrolled in BARMM programs, 20 capacity-building activities for vulnerable sectors</w:t>
            </w:r>
          </w:p>
        </w:tc>
        <w:tc>
          <w:tcPr>
            <w:tcW w:type="dxa" w:w="1560"/>
          </w:tcPr>
          <w:p>
            <w:r/>
            <w:r>
              <w:rPr>
                <w:rFonts w:ascii="Inter" w:hAnsi="Inter" w:cs="Inter"/>
                <w:b w:val="0"/>
                <w:i w:val="0"/>
                <w:color w:val="2D2D2D"/>
                <w:sz w:val="19"/>
              </w:rPr>
              <w:t>FY 2026-2028</w:t>
            </w:r>
          </w:p>
        </w:tc>
      </w:tr>
    </w:tbl>
    <w:p/>
    <w:p>
      <w:pPr>
        <w:pStyle w:val="Heading4"/>
      </w:pPr>
      <w:r>
        <w:rPr>
          <w:rFonts w:ascii="Inter" w:hAnsi="Inter" w:cs="Inter"/>
          <w:b/>
          <w:i/>
          <w:color w:val="2C5F7C"/>
          <w:sz w:val="23"/>
        </w:rPr>
        <w:t>Section 3.2: Resource Requirements Excerpt (from Chapter 9)</w:t>
      </w:r>
    </w:p>
    <w:p>
      <w:pPr>
        <w:spacing w:after="120" w:line="276" w:lineRule="auto"/>
      </w:pPr>
      <w:r>
        <w:rPr>
          <w:rFonts w:ascii="Inter" w:hAnsi="Inter" w:cs="Inter"/>
          <w:b w:val="0"/>
          <w:i w:val="0"/>
          <w:color w:val="2D2D2D"/>
          <w:sz w:val="22"/>
        </w:rPr>
      </w:r>
      <w:r>
        <w:rPr>
          <w:rFonts w:ascii="Inter" w:hAnsi="Inter" w:cs="Inter"/>
          <w:b/>
          <w:i w:val="0"/>
          <w:color w:val="2D2D2D"/>
          <w:sz w:val="22"/>
        </w:rPr>
        <w:t>OBC-P-001: OBC Community Profiling and Social Registry Program</w:t>
      </w:r>
      <w:r>
        <w:rPr>
          <w:rFonts w:ascii="Inter" w:hAnsi="Inter" w:cs="Inter"/>
          <w:b w:val="0"/>
          <w:i w:val="0"/>
          <w:color w:val="2D2D2D"/>
          <w:sz w:val="22"/>
        </w:rPr>
      </w:r>
    </w:p>
    <w:p>
      <w:pPr>
        <w:spacing w:after="120" w:line="276" w:lineRule="auto"/>
      </w:pPr>
      <w:r>
        <w:rPr>
          <w:rFonts w:ascii="Inter" w:hAnsi="Inter" w:cs="Inter"/>
          <w:b w:val="0"/>
          <w:i w:val="0"/>
          <w:color w:val="2D2D2D"/>
          <w:sz w:val="22"/>
        </w:rPr>
        <w:t>*Plantilla Gap Analysis:*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B365D"/>
          </w:tcPr>
          <w:p>
            <w:r/>
            <w:r>
              <w:rPr>
                <w:rFonts w:ascii="Inter" w:hAnsi="Inter" w:cs="Inter"/>
                <w:b/>
                <w:i w:val="0"/>
                <w:color w:val="FFFFFF"/>
                <w:sz w:val="19"/>
              </w:rPr>
              <w:t>Position</w:t>
            </w:r>
          </w:p>
        </w:tc>
        <w:tc>
          <w:tcPr>
            <w:tcW w:type="dxa" w:w="1337"/>
            <w:shd w:fill="1B365D"/>
          </w:tcPr>
          <w:p>
            <w:r/>
            <w:r>
              <w:rPr>
                <w:rFonts w:ascii="Inter" w:hAnsi="Inter" w:cs="Inter"/>
                <w:b/>
                <w:i w:val="0"/>
                <w:color w:val="FFFFFF"/>
                <w:sz w:val="19"/>
              </w:rPr>
              <w:t>Required</w:t>
            </w:r>
          </w:p>
        </w:tc>
        <w:tc>
          <w:tcPr>
            <w:tcW w:type="dxa" w:w="1337"/>
            <w:shd w:fill="1B365D"/>
          </w:tcPr>
          <w:p>
            <w:r/>
            <w:r>
              <w:rPr>
                <w:rFonts w:ascii="Inter" w:hAnsi="Inter" w:cs="Inter"/>
                <w:b/>
                <w:i w:val="0"/>
                <w:color w:val="FFFFFF"/>
                <w:sz w:val="19"/>
              </w:rPr>
              <w:t>Authorized</w:t>
            </w:r>
          </w:p>
        </w:tc>
        <w:tc>
          <w:tcPr>
            <w:tcW w:type="dxa" w:w="1337"/>
            <w:shd w:fill="1B365D"/>
          </w:tcPr>
          <w:p>
            <w:r/>
            <w:r>
              <w:rPr>
                <w:rFonts w:ascii="Inter" w:hAnsi="Inter" w:cs="Inter"/>
                <w:b/>
                <w:i w:val="0"/>
                <w:color w:val="FFFFFF"/>
                <w:sz w:val="19"/>
              </w:rPr>
              <w:t>Filled</w:t>
            </w:r>
          </w:p>
        </w:tc>
        <w:tc>
          <w:tcPr>
            <w:tcW w:type="dxa" w:w="1337"/>
            <w:shd w:fill="1B365D"/>
          </w:tcPr>
          <w:p>
            <w:r/>
            <w:r>
              <w:rPr>
                <w:rFonts w:ascii="Inter" w:hAnsi="Inter" w:cs="Inter"/>
                <w:b/>
                <w:i w:val="0"/>
                <w:color w:val="FFFFFF"/>
                <w:sz w:val="19"/>
              </w:rPr>
              <w:t>Structural Gap</w:t>
            </w:r>
          </w:p>
        </w:tc>
        <w:tc>
          <w:tcPr>
            <w:tcW w:type="dxa" w:w="1337"/>
            <w:shd w:fill="1B365D"/>
          </w:tcPr>
          <w:p>
            <w:r/>
            <w:r>
              <w:rPr>
                <w:rFonts w:ascii="Inter" w:hAnsi="Inter" w:cs="Inter"/>
                <w:b/>
                <w:i w:val="0"/>
                <w:color w:val="FFFFFF"/>
                <w:sz w:val="19"/>
              </w:rPr>
              <w:t>Vacancy Gap</w:t>
            </w:r>
          </w:p>
        </w:tc>
        <w:tc>
          <w:tcPr>
            <w:tcW w:type="dxa" w:w="1337"/>
            <w:shd w:fill="1B365D"/>
          </w:tcPr>
          <w:p>
            <w:r/>
            <w:r>
              <w:rPr>
                <w:rFonts w:ascii="Inter" w:hAnsi="Inter" w:cs="Inter"/>
                <w:b/>
                <w:i w:val="0"/>
                <w:color w:val="FFFFFF"/>
                <w:sz w:val="19"/>
              </w:rPr>
              <w:t>Competency Gap</w:t>
            </w:r>
          </w:p>
        </w:tc>
      </w:tr>
      <w:tr>
        <w:tc>
          <w:tcPr>
            <w:tcW w:type="dxa" w:w="1337"/>
          </w:tcPr>
          <w:p>
            <w:r/>
            <w:r>
              <w:rPr>
                <w:rFonts w:ascii="Inter" w:hAnsi="Inter" w:cs="Inter"/>
                <w:b w:val="0"/>
                <w:i w:val="0"/>
                <w:color w:val="2D2D2D"/>
                <w:sz w:val="19"/>
              </w:rPr>
              <w:t>Program Coordinator (SG-18)</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Database management</w:t>
            </w:r>
          </w:p>
        </w:tc>
      </w:tr>
      <w:tr>
        <w:tc>
          <w:tcPr>
            <w:tcW w:type="dxa" w:w="1337"/>
            <w:shd w:fill="F0F3F6"/>
          </w:tcPr>
          <w:p>
            <w:r/>
            <w:r>
              <w:rPr>
                <w:rFonts w:ascii="Inter" w:hAnsi="Inter" w:cs="Inter"/>
                <w:b w:val="0"/>
                <w:i w:val="0"/>
                <w:color w:val="2D2D2D"/>
                <w:sz w:val="19"/>
              </w:rPr>
              <w:t>Community Development Officer (SG-11)</w:t>
            </w:r>
          </w:p>
        </w:tc>
        <w:tc>
          <w:tcPr>
            <w:tcW w:type="dxa" w:w="1337"/>
            <w:shd w:fill="F0F3F6"/>
          </w:tcPr>
          <w:p>
            <w:r/>
            <w:r>
              <w:rPr>
                <w:rFonts w:ascii="Inter" w:hAnsi="Inter" w:cs="Inter"/>
                <w:b w:val="0"/>
                <w:i w:val="0"/>
                <w:color w:val="2D2D2D"/>
                <w:sz w:val="19"/>
              </w:rPr>
              <w:t>4</w:t>
            </w:r>
          </w:p>
        </w:tc>
        <w:tc>
          <w:tcPr>
            <w:tcW w:type="dxa" w:w="1337"/>
            <w:shd w:fill="F0F3F6"/>
          </w:tcPr>
          <w:p>
            <w:r/>
            <w:r>
              <w:rPr>
                <w:rFonts w:ascii="Inter" w:hAnsi="Inter" w:cs="Inter"/>
                <w:b w:val="0"/>
                <w:i w:val="0"/>
                <w:color w:val="2D2D2D"/>
                <w:sz w:val="19"/>
              </w:rPr>
              <w:t>2</w:t>
            </w:r>
          </w:p>
        </w:tc>
        <w:tc>
          <w:tcPr>
            <w:tcW w:type="dxa" w:w="1337"/>
            <w:shd w:fill="F0F3F6"/>
          </w:tcPr>
          <w:p>
            <w:r/>
            <w:r>
              <w:rPr>
                <w:rFonts w:ascii="Inter" w:hAnsi="Inter" w:cs="Inter"/>
                <w:b w:val="0"/>
                <w:i w:val="0"/>
                <w:color w:val="2D2D2D"/>
                <w:sz w:val="19"/>
              </w:rPr>
              <w:t>2</w:t>
            </w:r>
          </w:p>
        </w:tc>
        <w:tc>
          <w:tcPr>
            <w:tcW w:type="dxa" w:w="1337"/>
            <w:shd w:fill="F0F3F6"/>
          </w:tcPr>
          <w:p>
            <w:r/>
            <w:r>
              <w:rPr>
                <w:rFonts w:ascii="Inter" w:hAnsi="Inter" w:cs="Inter"/>
                <w:b w:val="0"/>
                <w:i w:val="0"/>
                <w:color w:val="2D2D2D"/>
                <w:sz w:val="19"/>
              </w:rPr>
              <w:t>2 positions</w:t>
            </w:r>
          </w:p>
        </w:tc>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Survey methodology</w:t>
            </w:r>
          </w:p>
        </w:tc>
      </w:tr>
      <w:tr>
        <w:tc>
          <w:tcPr>
            <w:tcW w:type="dxa" w:w="1337"/>
          </w:tcPr>
          <w:p>
            <w:r/>
            <w:r>
              <w:rPr>
                <w:rFonts w:ascii="Inter" w:hAnsi="Inter" w:cs="Inter"/>
                <w:b w:val="0"/>
                <w:i w:val="0"/>
                <w:color w:val="2D2D2D"/>
                <w:sz w:val="19"/>
              </w:rPr>
              <w:t>Data Analyst (SG-15)</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0</w:t>
            </w:r>
          </w:p>
        </w:tc>
        <w:tc>
          <w:tcPr>
            <w:tcW w:type="dxa" w:w="1337"/>
          </w:tcPr>
          <w:p>
            <w:r/>
            <w:r>
              <w:rPr>
                <w:rFonts w:ascii="Inter" w:hAnsi="Inter" w:cs="Inter"/>
                <w:b w:val="0"/>
                <w:i w:val="0"/>
                <w:color w:val="2D2D2D"/>
                <w:sz w:val="19"/>
              </w:rPr>
              <w:t>0</w:t>
            </w:r>
          </w:p>
        </w:tc>
        <w:tc>
          <w:tcPr>
            <w:tcW w:type="dxa" w:w="1337"/>
          </w:tcPr>
          <w:p>
            <w:r/>
            <w:r>
              <w:rPr>
                <w:rFonts w:ascii="Inter" w:hAnsi="Inter" w:cs="Inter"/>
                <w:b w:val="0"/>
                <w:i w:val="0"/>
                <w:color w:val="2D2D2D"/>
                <w:sz w:val="19"/>
              </w:rPr>
              <w:t>1 position</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r>
      <w:tr>
        <w:tc>
          <w:tcPr>
            <w:tcW w:type="dxa" w:w="1337"/>
            <w:shd w:fill="F0F3F6"/>
          </w:tcPr>
          <w:p>
            <w:r/>
            <w:r>
              <w:rPr>
                <w:rFonts w:ascii="Inter" w:hAnsi="Inter" w:cs="Inter"/>
                <w:b w:val="0"/>
                <w:i w:val="0"/>
                <w:color w:val="2D2D2D"/>
                <w:sz w:val="19"/>
              </w:rPr>
              <w:t>Field Enumerator (JO/COS)</w:t>
            </w:r>
          </w:p>
        </w:tc>
        <w:tc>
          <w:tcPr>
            <w:tcW w:type="dxa" w:w="1337"/>
            <w:shd w:fill="F0F3F6"/>
          </w:tcPr>
          <w:p>
            <w:r/>
            <w:r>
              <w:rPr>
                <w:rFonts w:ascii="Inter" w:hAnsi="Inter" w:cs="Inter"/>
                <w:b w:val="0"/>
                <w:i w:val="0"/>
                <w:color w:val="2D2D2D"/>
                <w:sz w:val="19"/>
              </w:rPr>
              <w:t>8</w:t>
            </w:r>
          </w:p>
        </w:tc>
        <w:tc>
          <w:tcPr>
            <w:tcW w:type="dxa" w:w="1337"/>
            <w:shd w:fill="F0F3F6"/>
          </w:tcPr>
          <w:p>
            <w:r/>
            <w:r>
              <w:rPr>
                <w:rFonts w:ascii="Inter" w:hAnsi="Inter" w:cs="Inter"/>
                <w:b w:val="0"/>
                <w:i w:val="0"/>
                <w:color w:val="2D2D2D"/>
                <w:sz w:val="19"/>
              </w:rPr>
              <w:t>0</w:t>
            </w:r>
          </w:p>
        </w:tc>
        <w:tc>
          <w:tcPr>
            <w:tcW w:type="dxa" w:w="1337"/>
            <w:shd w:fill="F0F3F6"/>
          </w:tcPr>
          <w:p>
            <w:r/>
            <w:r>
              <w:rPr>
                <w:rFonts w:ascii="Inter" w:hAnsi="Inter" w:cs="Inter"/>
                <w:b w:val="0"/>
                <w:i w:val="0"/>
                <w:color w:val="2D2D2D"/>
                <w:sz w:val="19"/>
              </w:rPr>
              <w:t>0</w:t>
            </w:r>
          </w:p>
        </w:tc>
        <w:tc>
          <w:tcPr>
            <w:tcW w:type="dxa" w:w="1337"/>
            <w:shd w:fill="F0F3F6"/>
          </w:tcPr>
          <w:p>
            <w:r/>
            <w:r>
              <w:rPr>
                <w:rFonts w:ascii="Inter" w:hAnsi="Inter" w:cs="Inter"/>
                <w:b w:val="0"/>
                <w:i w:val="0"/>
                <w:color w:val="2D2D2D"/>
                <w:sz w:val="19"/>
              </w:rPr>
              <w:t>8 positions (contractual)</w:t>
            </w:r>
          </w:p>
        </w:tc>
        <w:tc>
          <w:tcPr>
            <w:tcW w:type="dxa" w:w="1337"/>
            <w:shd w:fill="F0F3F6"/>
          </w:tcPr>
          <w:p>
            <w:r/>
            <w:r>
              <w:rPr>
                <w:rFonts w:ascii="Inter" w:hAnsi="Inter" w:cs="Inter"/>
                <w:b w:val="0"/>
                <w:i w:val="0"/>
                <w:color w:val="2D2D2D"/>
                <w:sz w:val="19"/>
              </w:rPr>
              <w:t>---</w:t>
            </w:r>
          </w:p>
        </w:tc>
        <w:tc>
          <w:tcPr>
            <w:tcW w:type="dxa" w:w="1337"/>
            <w:shd w:fill="F0F3F6"/>
          </w:tcPr>
          <w:p>
            <w:r/>
            <w:r>
              <w:rPr>
                <w:rFonts w:ascii="Inter" w:hAnsi="Inter" w:cs="Inter"/>
                <w:b w:val="0"/>
                <w:i w:val="0"/>
                <w:color w:val="2D2D2D"/>
                <w:sz w:val="19"/>
              </w:rPr>
              <w:t>Community profiling</w:t>
            </w:r>
          </w:p>
        </w:tc>
      </w:tr>
      <w:tr>
        <w:tc>
          <w:tcPr>
            <w:tcW w:type="dxa" w:w="1337"/>
          </w:tcPr>
          <w:p>
            <w:r/>
            <w:r>
              <w:rPr>
                <w:rFonts w:ascii="Inter" w:hAnsi="Inter" w:cs="Inter"/>
                <w:b w:val="0"/>
                <w:i w:val="0"/>
                <w:color w:val="2D2D2D"/>
                <w:sz w:val="19"/>
              </w:rPr>
              <w:t>Administrative Assistant (SG-8)</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1</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w:t>
            </w:r>
          </w:p>
        </w:tc>
        <w:tc>
          <w:tcPr>
            <w:tcW w:type="dxa" w:w="1337"/>
          </w:tcPr>
          <w:p>
            <w:r/>
            <w:r>
              <w:rPr>
                <w:rFonts w:ascii="Inter" w:hAnsi="Inter" w:cs="Inter"/>
                <w:b w:val="0"/>
                <w:i w:val="0"/>
                <w:color w:val="2D2D2D"/>
                <w:sz w:val="19"/>
              </w:rPr>
              <w:t>None</w:t>
            </w:r>
          </w:p>
        </w:tc>
      </w:tr>
    </w:tbl>
    <w:p/>
    <w:p>
      <w:pPr>
        <w:spacing w:after="120" w:line="276" w:lineRule="auto"/>
      </w:pPr>
      <w:r>
        <w:rPr>
          <w:rFonts w:ascii="Inter" w:hAnsi="Inter" w:cs="Inter"/>
          <w:b w:val="0"/>
          <w:i w:val="0"/>
          <w:color w:val="2D2D2D"/>
          <w:sz w:val="22"/>
        </w:rPr>
        <w:t>*Cost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Resource Category</w:t>
            </w:r>
          </w:p>
        </w:tc>
        <w:tc>
          <w:tcPr>
            <w:tcW w:type="dxa" w:w="1872"/>
            <w:shd w:fill="1B365D"/>
          </w:tcPr>
          <w:p>
            <w:r/>
            <w:r>
              <w:rPr>
                <w:rFonts w:ascii="Inter" w:hAnsi="Inter" w:cs="Inter"/>
                <w:b/>
                <w:i w:val="0"/>
                <w:color w:val="FFFFFF"/>
                <w:sz w:val="19"/>
              </w:rPr>
              <w:t>Year 1</w:t>
            </w:r>
          </w:p>
        </w:tc>
        <w:tc>
          <w:tcPr>
            <w:tcW w:type="dxa" w:w="1872"/>
            <w:shd w:fill="1B365D"/>
          </w:tcPr>
          <w:p>
            <w:r/>
            <w:r>
              <w:rPr>
                <w:rFonts w:ascii="Inter" w:hAnsi="Inter" w:cs="Inter"/>
                <w:b/>
                <w:i w:val="0"/>
                <w:color w:val="FFFFFF"/>
                <w:sz w:val="19"/>
              </w:rPr>
              <w:t>Year 2</w:t>
            </w:r>
          </w:p>
        </w:tc>
        <w:tc>
          <w:tcPr>
            <w:tcW w:type="dxa" w:w="1872"/>
            <w:shd w:fill="1B365D"/>
          </w:tcPr>
          <w:p>
            <w:r/>
            <w:r>
              <w:rPr>
                <w:rFonts w:ascii="Inter" w:hAnsi="Inter" w:cs="Inter"/>
                <w:b/>
                <w:i w:val="0"/>
                <w:color w:val="FFFFFF"/>
                <w:sz w:val="19"/>
              </w:rPr>
              <w:t>Year 3</w:t>
            </w:r>
          </w:p>
        </w:tc>
        <w:tc>
          <w:tcPr>
            <w:tcW w:type="dxa" w:w="1872"/>
            <w:shd w:fill="1B365D"/>
          </w:tcPr>
          <w:p>
            <w:r/>
            <w:r>
              <w:rPr>
                <w:rFonts w:ascii="Inter" w:hAnsi="Inter" w:cs="Inter"/>
                <w:b/>
                <w:i w:val="0"/>
                <w:color w:val="FFFFFF"/>
                <w:sz w:val="19"/>
              </w:rPr>
              <w:t>Total</w:t>
            </w:r>
          </w:p>
        </w:tc>
      </w:tr>
      <w:tr>
        <w:tc>
          <w:tcPr>
            <w:tcW w:type="dxa" w:w="1872"/>
          </w:tcPr>
          <w:p>
            <w:r/>
            <w:r>
              <w:rPr>
                <w:rFonts w:ascii="Inter" w:hAnsi="Inter" w:cs="Inter"/>
                <w:b w:val="0"/>
                <w:i w:val="0"/>
                <w:color w:val="2D2D2D"/>
                <w:sz w:val="19"/>
              </w:rPr>
              <w:t>Personnel Services</w:t>
            </w:r>
          </w:p>
        </w:tc>
        <w:tc>
          <w:tcPr>
            <w:tcW w:type="dxa" w:w="1872"/>
          </w:tcPr>
          <w:p>
            <w:r/>
            <w:r>
              <w:rPr>
                <w:rFonts w:ascii="Inter" w:hAnsi="Inter" w:cs="Inter"/>
                <w:b w:val="0"/>
                <w:i w:val="0"/>
                <w:color w:val="2D2D2D"/>
                <w:sz w:val="19"/>
              </w:rPr>
              <w:t>PhP 5,200,000</w:t>
            </w:r>
          </w:p>
        </w:tc>
        <w:tc>
          <w:tcPr>
            <w:tcW w:type="dxa" w:w="1872"/>
          </w:tcPr>
          <w:p>
            <w:r/>
            <w:r>
              <w:rPr>
                <w:rFonts w:ascii="Inter" w:hAnsi="Inter" w:cs="Inter"/>
                <w:b w:val="0"/>
                <w:i w:val="0"/>
                <w:color w:val="2D2D2D"/>
                <w:sz w:val="19"/>
              </w:rPr>
              <w:t>PhP 5,400,000</w:t>
            </w:r>
          </w:p>
        </w:tc>
        <w:tc>
          <w:tcPr>
            <w:tcW w:type="dxa" w:w="1872"/>
          </w:tcPr>
          <w:p>
            <w:r/>
            <w:r>
              <w:rPr>
                <w:rFonts w:ascii="Inter" w:hAnsi="Inter" w:cs="Inter"/>
                <w:b w:val="0"/>
                <w:i w:val="0"/>
                <w:color w:val="2D2D2D"/>
                <w:sz w:val="19"/>
              </w:rPr>
              <w:t>PhP 5,600,000</w:t>
            </w:r>
          </w:p>
        </w:tc>
        <w:tc>
          <w:tcPr>
            <w:tcW w:type="dxa" w:w="1872"/>
          </w:tcPr>
          <w:p>
            <w:r/>
            <w:r>
              <w:rPr>
                <w:rFonts w:ascii="Inter" w:hAnsi="Inter" w:cs="Inter"/>
                <w:b w:val="0"/>
                <w:i w:val="0"/>
                <w:color w:val="2D2D2D"/>
                <w:sz w:val="19"/>
              </w:rPr>
              <w:t>PhP 16,200,000</w:t>
            </w:r>
          </w:p>
        </w:tc>
      </w:tr>
      <w:tr>
        <w:tc>
          <w:tcPr>
            <w:tcW w:type="dxa" w:w="1872"/>
            <w:shd w:fill="F0F3F6"/>
          </w:tcPr>
          <w:p>
            <w:r/>
            <w:r>
              <w:rPr>
                <w:rFonts w:ascii="Inter" w:hAnsi="Inter" w:cs="Inter"/>
                <w:b w:val="0"/>
                <w:i w:val="0"/>
                <w:color w:val="2D2D2D"/>
                <w:sz w:val="19"/>
              </w:rPr>
              <w:t>MOOE</w:t>
            </w:r>
          </w:p>
        </w:tc>
        <w:tc>
          <w:tcPr>
            <w:tcW w:type="dxa" w:w="1872"/>
            <w:shd w:fill="F0F3F6"/>
          </w:tcPr>
          <w:p>
            <w:r/>
            <w:r>
              <w:rPr>
                <w:rFonts w:ascii="Inter" w:hAnsi="Inter" w:cs="Inter"/>
                <w:b w:val="0"/>
                <w:i w:val="0"/>
                <w:color w:val="2D2D2D"/>
                <w:sz w:val="19"/>
              </w:rPr>
              <w:t>PhP 4,800,000</w:t>
            </w:r>
          </w:p>
        </w:tc>
        <w:tc>
          <w:tcPr>
            <w:tcW w:type="dxa" w:w="1872"/>
            <w:shd w:fill="F0F3F6"/>
          </w:tcPr>
          <w:p>
            <w:r/>
            <w:r>
              <w:rPr>
                <w:rFonts w:ascii="Inter" w:hAnsi="Inter" w:cs="Inter"/>
                <w:b w:val="0"/>
                <w:i w:val="0"/>
                <w:color w:val="2D2D2D"/>
                <w:sz w:val="19"/>
              </w:rPr>
              <w:t>PhP 5,200,000</w:t>
            </w:r>
          </w:p>
        </w:tc>
        <w:tc>
          <w:tcPr>
            <w:tcW w:type="dxa" w:w="1872"/>
            <w:shd w:fill="F0F3F6"/>
          </w:tcPr>
          <w:p>
            <w:r/>
            <w:r>
              <w:rPr>
                <w:rFonts w:ascii="Inter" w:hAnsi="Inter" w:cs="Inter"/>
                <w:b w:val="0"/>
                <w:i w:val="0"/>
                <w:color w:val="2D2D2D"/>
                <w:sz w:val="19"/>
              </w:rPr>
              <w:t>PhP 4,500,000</w:t>
            </w:r>
          </w:p>
        </w:tc>
        <w:tc>
          <w:tcPr>
            <w:tcW w:type="dxa" w:w="1872"/>
            <w:shd w:fill="F0F3F6"/>
          </w:tcPr>
          <w:p>
            <w:r/>
            <w:r>
              <w:rPr>
                <w:rFonts w:ascii="Inter" w:hAnsi="Inter" w:cs="Inter"/>
                <w:b w:val="0"/>
                <w:i w:val="0"/>
                <w:color w:val="2D2D2D"/>
                <w:sz w:val="19"/>
              </w:rPr>
              <w:t>PhP 14,500,000</w:t>
            </w:r>
          </w:p>
        </w:tc>
      </w:tr>
      <w:tr>
        <w:tc>
          <w:tcPr>
            <w:tcW w:type="dxa" w:w="1872"/>
          </w:tcPr>
          <w:p>
            <w:r/>
            <w:r>
              <w:rPr>
                <w:rFonts w:ascii="Inter" w:hAnsi="Inter" w:cs="Inter"/>
                <w:b w:val="0"/>
                <w:i w:val="0"/>
                <w:color w:val="2D2D2D"/>
                <w:sz w:val="19"/>
              </w:rPr>
              <w:t>Capital Outlays</w:t>
            </w:r>
          </w:p>
        </w:tc>
        <w:tc>
          <w:tcPr>
            <w:tcW w:type="dxa" w:w="1872"/>
          </w:tcPr>
          <w:p>
            <w:r/>
            <w:r>
              <w:rPr>
                <w:rFonts w:ascii="Inter" w:hAnsi="Inter" w:cs="Inter"/>
                <w:b w:val="0"/>
                <w:i w:val="0"/>
                <w:color w:val="2D2D2D"/>
                <w:sz w:val="19"/>
              </w:rPr>
              <w:t>PhP 2,000,000</w:t>
            </w:r>
          </w:p>
        </w:tc>
        <w:tc>
          <w:tcPr>
            <w:tcW w:type="dxa" w:w="1872"/>
          </w:tcPr>
          <w:p>
            <w:r/>
            <w:r>
              <w:rPr>
                <w:rFonts w:ascii="Inter" w:hAnsi="Inter" w:cs="Inter"/>
                <w:b w:val="0"/>
                <w:i w:val="0"/>
                <w:color w:val="2D2D2D"/>
                <w:sz w:val="19"/>
              </w:rPr>
              <w:t>PhP 300,000</w:t>
            </w:r>
          </w:p>
        </w:tc>
        <w:tc>
          <w:tcPr>
            <w:tcW w:type="dxa" w:w="1872"/>
          </w:tcPr>
          <w:p>
            <w:r/>
            <w:r>
              <w:rPr>
                <w:rFonts w:ascii="Inter" w:hAnsi="Inter" w:cs="Inter"/>
                <w:b w:val="0"/>
                <w:i w:val="0"/>
                <w:color w:val="2D2D2D"/>
                <w:sz w:val="19"/>
              </w:rPr>
              <w:t>---</w:t>
            </w:r>
          </w:p>
        </w:tc>
        <w:tc>
          <w:tcPr>
            <w:tcW w:type="dxa" w:w="1872"/>
          </w:tcPr>
          <w:p>
            <w:r/>
            <w:r>
              <w:rPr>
                <w:rFonts w:ascii="Inter" w:hAnsi="Inter" w:cs="Inter"/>
                <w:b w:val="0"/>
                <w:i w:val="0"/>
                <w:color w:val="2D2D2D"/>
                <w:sz w:val="19"/>
              </w:rPr>
              <w:t>PhP 2,300,000</w:t>
            </w:r>
          </w:p>
        </w:tc>
      </w:tr>
      <w:tr>
        <w:tc>
          <w:tcPr>
            <w:tcW w:type="dxa" w:w="1872"/>
            <w:shd w:fill="F0F3F6"/>
          </w:tcPr>
          <w:p>
            <w:r/>
            <w:r>
              <w:rPr>
                <w:rFonts w:ascii="Inter" w:hAnsi="Inter" w:cs="Inter"/>
                <w:b w:val="0"/>
                <w:i w:val="0"/>
                <w:color w:val="2D2D2D"/>
                <w:sz w:val="19"/>
              </w:rPr>
              <w:t>**Total (OOBC)**</w:t>
            </w:r>
          </w:p>
        </w:tc>
        <w:tc>
          <w:tcPr>
            <w:tcW w:type="dxa" w:w="1872"/>
            <w:shd w:fill="F0F3F6"/>
          </w:tcPr>
          <w:p>
            <w:r/>
            <w:r>
              <w:rPr>
                <w:rFonts w:ascii="Inter" w:hAnsi="Inter" w:cs="Inter"/>
                <w:b w:val="0"/>
                <w:i w:val="0"/>
                <w:color w:val="2D2D2D"/>
                <w:sz w:val="19"/>
              </w:rPr>
              <w:t>**PhP 12,000,000**</w:t>
            </w:r>
          </w:p>
        </w:tc>
        <w:tc>
          <w:tcPr>
            <w:tcW w:type="dxa" w:w="1872"/>
            <w:shd w:fill="F0F3F6"/>
          </w:tcPr>
          <w:p>
            <w:r/>
            <w:r>
              <w:rPr>
                <w:rFonts w:ascii="Inter" w:hAnsi="Inter" w:cs="Inter"/>
                <w:b w:val="0"/>
                <w:i w:val="0"/>
                <w:color w:val="2D2D2D"/>
                <w:sz w:val="19"/>
              </w:rPr>
              <w:t>**PhP 10,900,000**</w:t>
            </w:r>
          </w:p>
        </w:tc>
        <w:tc>
          <w:tcPr>
            <w:tcW w:type="dxa" w:w="1872"/>
            <w:shd w:fill="F0F3F6"/>
          </w:tcPr>
          <w:p>
            <w:r/>
            <w:r>
              <w:rPr>
                <w:rFonts w:ascii="Inter" w:hAnsi="Inter" w:cs="Inter"/>
                <w:b w:val="0"/>
                <w:i w:val="0"/>
                <w:color w:val="2D2D2D"/>
                <w:sz w:val="19"/>
              </w:rPr>
              <w:t>**PhP 10,100,000**</w:t>
            </w:r>
          </w:p>
        </w:tc>
        <w:tc>
          <w:tcPr>
            <w:tcW w:type="dxa" w:w="1872"/>
            <w:shd w:fill="F0F3F6"/>
          </w:tcPr>
          <w:p>
            <w:r/>
            <w:r>
              <w:rPr>
                <w:rFonts w:ascii="Inter" w:hAnsi="Inter" w:cs="Inter"/>
                <w:b w:val="0"/>
                <w:i w:val="0"/>
                <w:color w:val="2D2D2D"/>
                <w:sz w:val="19"/>
              </w:rPr>
              <w:t>**PhP 33,000,000**</w:t>
            </w:r>
          </w:p>
        </w:tc>
      </w:tr>
      <w:tr>
        <w:tc>
          <w:tcPr>
            <w:tcW w:type="dxa" w:w="1872"/>
          </w:tcPr>
          <w:p>
            <w:r/>
            <w:r>
              <w:rPr>
                <w:rFonts w:ascii="Inter" w:hAnsi="Inter" w:cs="Inter"/>
                <w:b w:val="0"/>
                <w:i w:val="0"/>
                <w:color w:val="2D2D2D"/>
                <w:sz w:val="19"/>
              </w:rPr>
              <w:t>External (Development Partners, LGUs)</w:t>
            </w:r>
          </w:p>
        </w:tc>
        <w:tc>
          <w:tcPr>
            <w:tcW w:type="dxa" w:w="1872"/>
          </w:tcPr>
          <w:p>
            <w:r/>
            <w:r>
              <w:rPr>
                <w:rFonts w:ascii="Inter" w:hAnsi="Inter" w:cs="Inter"/>
                <w:b w:val="0"/>
                <w:i w:val="0"/>
                <w:color w:val="2D2D2D"/>
                <w:sz w:val="19"/>
              </w:rPr>
              <w:t>PhP 1,800,000</w:t>
            </w:r>
          </w:p>
        </w:tc>
        <w:tc>
          <w:tcPr>
            <w:tcW w:type="dxa" w:w="1872"/>
          </w:tcPr>
          <w:p>
            <w:r/>
            <w:r>
              <w:rPr>
                <w:rFonts w:ascii="Inter" w:hAnsi="Inter" w:cs="Inter"/>
                <w:b w:val="0"/>
                <w:i w:val="0"/>
                <w:color w:val="2D2D2D"/>
                <w:sz w:val="19"/>
              </w:rPr>
              <w:t>PhP 1,600,000</w:t>
            </w:r>
          </w:p>
        </w:tc>
        <w:tc>
          <w:tcPr>
            <w:tcW w:type="dxa" w:w="1872"/>
          </w:tcPr>
          <w:p>
            <w:r/>
            <w:r>
              <w:rPr>
                <w:rFonts w:ascii="Inter" w:hAnsi="Inter" w:cs="Inter"/>
                <w:b w:val="0"/>
                <w:i w:val="0"/>
                <w:color w:val="2D2D2D"/>
                <w:sz w:val="19"/>
              </w:rPr>
              <w:t>PhP 1,300,000</w:t>
            </w:r>
          </w:p>
        </w:tc>
        <w:tc>
          <w:tcPr>
            <w:tcW w:type="dxa" w:w="1872"/>
          </w:tcPr>
          <w:p>
            <w:r/>
            <w:r>
              <w:rPr>
                <w:rFonts w:ascii="Inter" w:hAnsi="Inter" w:cs="Inter"/>
                <w:b w:val="0"/>
                <w:i w:val="0"/>
                <w:color w:val="2D2D2D"/>
                <w:sz w:val="19"/>
              </w:rPr>
              <w:t>PhP 4,700,000</w:t>
            </w:r>
          </w:p>
        </w:tc>
      </w:tr>
      <w:tr>
        <w:tc>
          <w:tcPr>
            <w:tcW w:type="dxa" w:w="1872"/>
            <w:shd w:fill="F0F3F6"/>
          </w:tcPr>
          <w:p>
            <w:r/>
            <w:r>
              <w:rPr>
                <w:rFonts w:ascii="Inter" w:hAnsi="Inter" w:cs="Inter"/>
                <w:b w:val="0"/>
                <w:i w:val="0"/>
                <w:color w:val="2D2D2D"/>
                <w:sz w:val="19"/>
              </w:rPr>
              <w:t>**Total Program Resources**</w:t>
            </w:r>
          </w:p>
        </w:tc>
        <w:tc>
          <w:tcPr>
            <w:tcW w:type="dxa" w:w="1872"/>
            <w:shd w:fill="F0F3F6"/>
          </w:tcPr>
          <w:p>
            <w:r/>
            <w:r>
              <w:rPr>
                <w:rFonts w:ascii="Inter" w:hAnsi="Inter" w:cs="Inter"/>
                <w:b w:val="0"/>
                <w:i w:val="0"/>
                <w:color w:val="2D2D2D"/>
                <w:sz w:val="19"/>
              </w:rPr>
              <w:t>**PhP 13,800,000**</w:t>
            </w:r>
          </w:p>
        </w:tc>
        <w:tc>
          <w:tcPr>
            <w:tcW w:type="dxa" w:w="1872"/>
            <w:shd w:fill="F0F3F6"/>
          </w:tcPr>
          <w:p>
            <w:r/>
            <w:r>
              <w:rPr>
                <w:rFonts w:ascii="Inter" w:hAnsi="Inter" w:cs="Inter"/>
                <w:b w:val="0"/>
                <w:i w:val="0"/>
                <w:color w:val="2D2D2D"/>
                <w:sz w:val="19"/>
              </w:rPr>
              <w:t>**PhP 12,500,000**</w:t>
            </w:r>
          </w:p>
        </w:tc>
        <w:tc>
          <w:tcPr>
            <w:tcW w:type="dxa" w:w="1872"/>
            <w:shd w:fill="F0F3F6"/>
          </w:tcPr>
          <w:p>
            <w:r/>
            <w:r>
              <w:rPr>
                <w:rFonts w:ascii="Inter" w:hAnsi="Inter" w:cs="Inter"/>
                <w:b w:val="0"/>
                <w:i w:val="0"/>
                <w:color w:val="2D2D2D"/>
                <w:sz w:val="19"/>
              </w:rPr>
              <w:t>**PhP 11,400,000**</w:t>
            </w:r>
          </w:p>
        </w:tc>
        <w:tc>
          <w:tcPr>
            <w:tcW w:type="dxa" w:w="1872"/>
            <w:shd w:fill="F0F3F6"/>
          </w:tcPr>
          <w:p>
            <w:r/>
            <w:r>
              <w:rPr>
                <w:rFonts w:ascii="Inter" w:hAnsi="Inter" w:cs="Inter"/>
                <w:b w:val="0"/>
                <w:i w:val="0"/>
                <w:color w:val="2D2D2D"/>
                <w:sz w:val="19"/>
              </w:rPr>
              <w:t>**PhP 37,700,000**</w:t>
            </w:r>
          </w:p>
        </w:tc>
      </w:tr>
    </w:tbl>
    <w:p/>
    <w:p>
      <w:pPr>
        <w:spacing w:after="120" w:line="276" w:lineRule="auto"/>
      </w:pPr>
      <w:r>
        <w:rPr>
          <w:rFonts w:ascii="Inter" w:hAnsi="Inter" w:cs="Inter"/>
          <w:b w:val="0"/>
          <w:i w:val="0"/>
          <w:color w:val="2D2D2D"/>
          <w:sz w:val="22"/>
        </w:rPr>
        <w:t>*Key Partnerships:*</w:t>
      </w:r>
    </w:p>
    <w:p>
      <w:pPr>
        <w:pStyle w:val="ListBullet"/>
      </w:pPr>
      <w:r>
        <w:rPr>
          <w:rFonts w:ascii="Inter" w:hAnsi="Inter" w:cs="Inter"/>
          <w:b w:val="0"/>
          <w:i w:val="0"/>
          <w:color w:val="2D2D2D"/>
          <w:sz w:val="22"/>
        </w:rPr>
        <w:t>PSA (Philippine Statistics Authority): Technical guidance on survey methodology, sampling design, and data quality standards for OBC profiling</w:t>
      </w:r>
    </w:p>
    <w:p>
      <w:pPr>
        <w:pStyle w:val="ListBullet"/>
      </w:pPr>
      <w:r>
        <w:rPr>
          <w:rFonts w:ascii="Inter" w:hAnsi="Inter" w:cs="Inter"/>
          <w:b w:val="0"/>
          <w:i w:val="0"/>
          <w:color w:val="2D2D2D"/>
          <w:sz w:val="22"/>
        </w:rPr>
        <w:t>DICT (Department of Information and Communications Technology): Technical assistance for database system development and cloud hosting; estimated contribution PhP 1,500,000</w:t>
      </w:r>
    </w:p>
    <w:p>
      <w:pPr>
        <w:pStyle w:val="ListBullet"/>
      </w:pPr>
      <w:r>
        <w:rPr>
          <w:rFonts w:ascii="Inter" w:hAnsi="Inter" w:cs="Inter"/>
          <w:b w:val="0"/>
          <w:i w:val="0"/>
          <w:color w:val="2D2D2D"/>
          <w:sz w:val="22"/>
        </w:rPr>
        <w:t>Partner LGUs (Davao City, General Santos, Zamboanga City): Community mobilization, venue support, local counterpart staff for profiling fieldwork; estimated in-kind value PhP 1,200,000</w:t>
      </w:r>
    </w:p>
    <w:p>
      <w:pPr>
        <w:pStyle w:val="ListBullet"/>
      </w:pPr>
      <w:r>
        <w:rPr>
          <w:rFonts w:ascii="Inter" w:hAnsi="Inter" w:cs="Inter"/>
          <w:b w:val="0"/>
          <w:i w:val="0"/>
          <w:color w:val="2D2D2D"/>
          <w:sz w:val="22"/>
        </w:rPr>
        <w:t>UNDP or UNICEF (potential): Technical assistance on social registry design and Data Privacy Act compliance; estimated contribution PhP 2,000,000</w:t>
      </w:r>
    </w:p>
    <w:p>
      <w:pPr>
        <w:pStyle w:val="Heading3"/>
      </w:pPr>
      <w:r>
        <w:rPr>
          <w:rFonts w:ascii="Inter" w:hAnsi="Inter" w:cs="Inter"/>
          <w:b/>
          <w:i w:val="0"/>
          <w:color w:val="2C5F7C"/>
          <w:sz w:val="26"/>
        </w:rPr>
        <w:t>PART IV: ANNUAL PLAN (FY 2026)</w:t>
      </w:r>
    </w:p>
    <w:p>
      <w:pPr>
        <w:pStyle w:val="Heading4"/>
      </w:pPr>
      <w:r>
        <w:rPr>
          <w:rFonts w:ascii="Inter" w:hAnsi="Inter" w:cs="Inter"/>
          <w:b/>
          <w:i/>
          <w:color w:val="2C5F7C"/>
          <w:sz w:val="23"/>
        </w:rPr>
        <w:t>Section 4.1: Annual Work Plan Excerpt</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B365D"/>
          </w:tcPr>
          <w:p>
            <w:r/>
            <w:r>
              <w:rPr>
                <w:rFonts w:ascii="Inter" w:hAnsi="Inter" w:cs="Inter"/>
                <w:b/>
                <w:i w:val="0"/>
                <w:color w:val="FFFFFF"/>
                <w:sz w:val="19"/>
              </w:rPr>
              <w:t>PPA Code</w:t>
            </w:r>
          </w:p>
        </w:tc>
        <w:tc>
          <w:tcPr>
            <w:tcW w:type="dxa" w:w="1040"/>
            <w:shd w:fill="1B365D"/>
          </w:tcPr>
          <w:p>
            <w:r/>
            <w:r>
              <w:rPr>
                <w:rFonts w:ascii="Inter" w:hAnsi="Inter" w:cs="Inter"/>
                <w:b/>
                <w:i w:val="0"/>
                <w:color w:val="FFFFFF"/>
                <w:sz w:val="19"/>
              </w:rPr>
              <w:t>PPA Name</w:t>
            </w:r>
          </w:p>
        </w:tc>
        <w:tc>
          <w:tcPr>
            <w:tcW w:type="dxa" w:w="1040"/>
            <w:shd w:fill="1B365D"/>
          </w:tcPr>
          <w:p>
            <w:r/>
            <w:r>
              <w:rPr>
                <w:rFonts w:ascii="Inter" w:hAnsi="Inter" w:cs="Inter"/>
                <w:b/>
                <w:i w:val="0"/>
                <w:color w:val="FFFFFF"/>
                <w:sz w:val="19"/>
              </w:rPr>
              <w:t>Annual Target</w:t>
            </w:r>
          </w:p>
        </w:tc>
        <w:tc>
          <w:tcPr>
            <w:tcW w:type="dxa" w:w="1040"/>
            <w:shd w:fill="1B365D"/>
          </w:tcPr>
          <w:p>
            <w:r/>
            <w:r>
              <w:rPr>
                <w:rFonts w:ascii="Inter" w:hAnsi="Inter" w:cs="Inter"/>
                <w:b/>
                <w:i w:val="0"/>
                <w:color w:val="FFFFFF"/>
                <w:sz w:val="19"/>
              </w:rPr>
              <w:t>Q1</w:t>
            </w:r>
          </w:p>
        </w:tc>
        <w:tc>
          <w:tcPr>
            <w:tcW w:type="dxa" w:w="1040"/>
            <w:shd w:fill="1B365D"/>
          </w:tcPr>
          <w:p>
            <w:r/>
            <w:r>
              <w:rPr>
                <w:rFonts w:ascii="Inter" w:hAnsi="Inter" w:cs="Inter"/>
                <w:b/>
                <w:i w:val="0"/>
                <w:color w:val="FFFFFF"/>
                <w:sz w:val="19"/>
              </w:rPr>
              <w:t>Q2</w:t>
            </w:r>
          </w:p>
        </w:tc>
        <w:tc>
          <w:tcPr>
            <w:tcW w:type="dxa" w:w="1040"/>
            <w:shd w:fill="1B365D"/>
          </w:tcPr>
          <w:p>
            <w:r/>
            <w:r>
              <w:rPr>
                <w:rFonts w:ascii="Inter" w:hAnsi="Inter" w:cs="Inter"/>
                <w:b/>
                <w:i w:val="0"/>
                <w:color w:val="FFFFFF"/>
                <w:sz w:val="19"/>
              </w:rPr>
              <w:t>Q3</w:t>
            </w:r>
          </w:p>
        </w:tc>
        <w:tc>
          <w:tcPr>
            <w:tcW w:type="dxa" w:w="1040"/>
            <w:shd w:fill="1B365D"/>
          </w:tcPr>
          <w:p>
            <w:r/>
            <w:r>
              <w:rPr>
                <w:rFonts w:ascii="Inter" w:hAnsi="Inter" w:cs="Inter"/>
                <w:b/>
                <w:i w:val="0"/>
                <w:color w:val="FFFFFF"/>
                <w:sz w:val="19"/>
              </w:rPr>
              <w:t>Q4</w:t>
            </w:r>
          </w:p>
        </w:tc>
        <w:tc>
          <w:tcPr>
            <w:tcW w:type="dxa" w:w="1040"/>
            <w:shd w:fill="1B365D"/>
          </w:tcPr>
          <w:p>
            <w:r/>
            <w:r>
              <w:rPr>
                <w:rFonts w:ascii="Inter" w:hAnsi="Inter" w:cs="Inter"/>
                <w:b/>
                <w:i w:val="0"/>
                <w:color w:val="FFFFFF"/>
                <w:sz w:val="19"/>
              </w:rPr>
              <w:t>Key Milestones</w:t>
            </w:r>
          </w:p>
        </w:tc>
        <w:tc>
          <w:tcPr>
            <w:tcW w:type="dxa" w:w="1040"/>
            <w:shd w:fill="1B365D"/>
          </w:tcPr>
          <w:p>
            <w:r/>
            <w:r>
              <w:rPr>
                <w:rFonts w:ascii="Inter" w:hAnsi="Inter" w:cs="Inter"/>
                <w:b/>
                <w:i w:val="0"/>
                <w:color w:val="FFFFFF"/>
                <w:sz w:val="19"/>
              </w:rPr>
              <w:t>Lead Officer</w:t>
            </w:r>
          </w:p>
        </w:tc>
      </w:tr>
      <w:tr>
        <w:tc>
          <w:tcPr>
            <w:tcW w:type="dxa" w:w="1040"/>
          </w:tcPr>
          <w:p>
            <w:r/>
            <w:r>
              <w:rPr>
                <w:rFonts w:ascii="Inter" w:hAnsi="Inter" w:cs="Inter"/>
                <w:b w:val="0"/>
                <w:i w:val="0"/>
                <w:color w:val="2D2D2D"/>
                <w:sz w:val="19"/>
              </w:rPr>
              <w:t>OBC-P-001</w:t>
            </w:r>
          </w:p>
        </w:tc>
        <w:tc>
          <w:tcPr>
            <w:tcW w:type="dxa" w:w="1040"/>
          </w:tcPr>
          <w:p>
            <w:r/>
            <w:r>
              <w:rPr>
                <w:rFonts w:ascii="Inter" w:hAnsi="Inter" w:cs="Inter"/>
                <w:b w:val="0"/>
                <w:i w:val="0"/>
                <w:color w:val="2D2D2D"/>
                <w:sz w:val="19"/>
              </w:rPr>
              <w:t>Community Profiling Program</w:t>
            </w:r>
          </w:p>
        </w:tc>
        <w:tc>
          <w:tcPr>
            <w:tcW w:type="dxa" w:w="1040"/>
          </w:tcPr>
          <w:p>
            <w:r/>
            <w:r>
              <w:rPr>
                <w:rFonts w:ascii="Inter" w:hAnsi="Inter" w:cs="Inter"/>
                <w:b w:val="0"/>
                <w:i w:val="0"/>
                <w:color w:val="2D2D2D"/>
                <w:sz w:val="19"/>
              </w:rPr>
              <w:t>5 provinces profiled, database system launched</w:t>
            </w:r>
          </w:p>
        </w:tc>
        <w:tc>
          <w:tcPr>
            <w:tcW w:type="dxa" w:w="1040"/>
          </w:tcPr>
          <w:p>
            <w:r/>
            <w:r>
              <w:rPr>
                <w:rFonts w:ascii="Inter" w:hAnsi="Inter" w:cs="Inter"/>
                <w:b w:val="0"/>
                <w:i w:val="0"/>
                <w:color w:val="2D2D2D"/>
                <w:sz w:val="19"/>
              </w:rPr>
              <w:t>Survey design; enumerator recruitment</w:t>
            </w:r>
          </w:p>
        </w:tc>
        <w:tc>
          <w:tcPr>
            <w:tcW w:type="dxa" w:w="1040"/>
          </w:tcPr>
          <w:p>
            <w:r/>
            <w:r>
              <w:rPr>
                <w:rFonts w:ascii="Inter" w:hAnsi="Inter" w:cs="Inter"/>
                <w:b w:val="0"/>
                <w:i w:val="0"/>
                <w:color w:val="2D2D2D"/>
                <w:sz w:val="19"/>
              </w:rPr>
              <w:t>Training; profiling in 2 provinces</w:t>
            </w:r>
          </w:p>
        </w:tc>
        <w:tc>
          <w:tcPr>
            <w:tcW w:type="dxa" w:w="1040"/>
          </w:tcPr>
          <w:p>
            <w:r/>
            <w:r>
              <w:rPr>
                <w:rFonts w:ascii="Inter" w:hAnsi="Inter" w:cs="Inter"/>
                <w:b w:val="0"/>
                <w:i w:val="0"/>
                <w:color w:val="2D2D2D"/>
                <w:sz w:val="19"/>
              </w:rPr>
              <w:t>Profiling in 3 provinces; data entry</w:t>
            </w:r>
          </w:p>
        </w:tc>
        <w:tc>
          <w:tcPr>
            <w:tcW w:type="dxa" w:w="1040"/>
          </w:tcPr>
          <w:p>
            <w:r/>
            <w:r>
              <w:rPr>
                <w:rFonts w:ascii="Inter" w:hAnsi="Inter" w:cs="Inter"/>
                <w:b w:val="0"/>
                <w:i w:val="0"/>
                <w:color w:val="2D2D2D"/>
                <w:sz w:val="19"/>
              </w:rPr>
              <w:t>Data validation; database launch</w:t>
            </w:r>
          </w:p>
        </w:tc>
        <w:tc>
          <w:tcPr>
            <w:tcW w:type="dxa" w:w="1040"/>
          </w:tcPr>
          <w:p>
            <w:r/>
            <w:r>
              <w:rPr>
                <w:rFonts w:ascii="Inter" w:hAnsi="Inter" w:cs="Inter"/>
                <w:b w:val="0"/>
                <w:i w:val="0"/>
                <w:color w:val="2D2D2D"/>
                <w:sz w:val="19"/>
              </w:rPr>
              <w:t>Survey instrument finalized (Q1); database system operational (Q4)</w:t>
            </w:r>
          </w:p>
        </w:tc>
        <w:tc>
          <w:tcPr>
            <w:tcW w:type="dxa" w:w="1040"/>
          </w:tcPr>
          <w:p>
            <w:r/>
            <w:r>
              <w:rPr>
                <w:rFonts w:ascii="Inter" w:hAnsi="Inter" w:cs="Inter"/>
                <w:b w:val="0"/>
                <w:i w:val="0"/>
                <w:color w:val="2D2D2D"/>
                <w:sz w:val="19"/>
              </w:rPr>
              <w:t>Program Coordinator, OBC Programs</w:t>
            </w:r>
          </w:p>
        </w:tc>
      </w:tr>
      <w:tr>
        <w:tc>
          <w:tcPr>
            <w:tcW w:type="dxa" w:w="1040"/>
            <w:shd w:fill="F0F3F6"/>
          </w:tcPr>
          <w:p>
            <w:r/>
            <w:r>
              <w:rPr>
                <w:rFonts w:ascii="Inter" w:hAnsi="Inter" w:cs="Inter"/>
                <w:b w:val="0"/>
                <w:i w:val="0"/>
                <w:color w:val="2D2D2D"/>
                <w:sz w:val="19"/>
              </w:rPr>
              <w:t>OBC-P-002</w:t>
            </w:r>
          </w:p>
        </w:tc>
        <w:tc>
          <w:tcPr>
            <w:tcW w:type="dxa" w:w="1040"/>
            <w:shd w:fill="F0F3F6"/>
          </w:tcPr>
          <w:p>
            <w:r/>
            <w:r>
              <w:rPr>
                <w:rFonts w:ascii="Inter" w:hAnsi="Inter" w:cs="Inter"/>
                <w:b w:val="0"/>
                <w:i w:val="0"/>
                <w:color w:val="2D2D2D"/>
                <w:sz w:val="19"/>
              </w:rPr>
              <w:t>Coordination Program</w:t>
            </w:r>
          </w:p>
        </w:tc>
        <w:tc>
          <w:tcPr>
            <w:tcW w:type="dxa" w:w="1040"/>
            <w:shd w:fill="F0F3F6"/>
          </w:tcPr>
          <w:p>
            <w:r/>
            <w:r>
              <w:rPr>
                <w:rFonts w:ascii="Inter" w:hAnsi="Inter" w:cs="Inter"/>
                <w:b w:val="0"/>
                <w:i w:val="0"/>
                <w:color w:val="2D2D2D"/>
                <w:sz w:val="19"/>
              </w:rPr>
              <w:t>4 LGU MOUs, 2 NGA MOUs</w:t>
            </w:r>
          </w:p>
        </w:tc>
        <w:tc>
          <w:tcPr>
            <w:tcW w:type="dxa" w:w="1040"/>
            <w:shd w:fill="F0F3F6"/>
          </w:tcPr>
          <w:p>
            <w:r/>
            <w:r>
              <w:rPr>
                <w:rFonts w:ascii="Inter" w:hAnsi="Inter" w:cs="Inter"/>
                <w:b w:val="0"/>
                <w:i w:val="0"/>
                <w:color w:val="2D2D2D"/>
                <w:sz w:val="19"/>
              </w:rPr>
              <w:t>Partnership mapping; draft MOUs</w:t>
            </w:r>
          </w:p>
        </w:tc>
        <w:tc>
          <w:tcPr>
            <w:tcW w:type="dxa" w:w="1040"/>
            <w:shd w:fill="F0F3F6"/>
          </w:tcPr>
          <w:p>
            <w:r/>
            <w:r>
              <w:rPr>
                <w:rFonts w:ascii="Inter" w:hAnsi="Inter" w:cs="Inter"/>
                <w:b w:val="0"/>
                <w:i w:val="0"/>
                <w:color w:val="2D2D2D"/>
                <w:sz w:val="19"/>
              </w:rPr>
              <w:t>MOU negotiations (4 LGUs)</w:t>
            </w:r>
          </w:p>
        </w:tc>
        <w:tc>
          <w:tcPr>
            <w:tcW w:type="dxa" w:w="1040"/>
            <w:shd w:fill="F0F3F6"/>
          </w:tcPr>
          <w:p>
            <w:r/>
            <w:r>
              <w:rPr>
                <w:rFonts w:ascii="Inter" w:hAnsi="Inter" w:cs="Inter"/>
                <w:b w:val="0"/>
                <w:i w:val="0"/>
                <w:color w:val="2D2D2D"/>
                <w:sz w:val="19"/>
              </w:rPr>
              <w:t>MOU signing; 2 coordination desks setup</w:t>
            </w:r>
          </w:p>
        </w:tc>
        <w:tc>
          <w:tcPr>
            <w:tcW w:type="dxa" w:w="1040"/>
            <w:shd w:fill="F0F3F6"/>
          </w:tcPr>
          <w:p>
            <w:r/>
            <w:r>
              <w:rPr>
                <w:rFonts w:ascii="Inter" w:hAnsi="Inter" w:cs="Inter"/>
                <w:b w:val="0"/>
                <w:i w:val="0"/>
                <w:color w:val="2D2D2D"/>
                <w:sz w:val="19"/>
              </w:rPr>
              <w:t>NGA MOUs signed; desk operationalization</w:t>
            </w:r>
          </w:p>
        </w:tc>
        <w:tc>
          <w:tcPr>
            <w:tcW w:type="dxa" w:w="1040"/>
            <w:shd w:fill="F0F3F6"/>
          </w:tcPr>
          <w:p>
            <w:r/>
            <w:r>
              <w:rPr>
                <w:rFonts w:ascii="Inter" w:hAnsi="Inter" w:cs="Inter"/>
                <w:b w:val="0"/>
                <w:i w:val="0"/>
                <w:color w:val="2D2D2D"/>
                <w:sz w:val="19"/>
              </w:rPr>
              <w:t>First 4 LGU MOUs signed (Q2); 2 NGA MOUs signed (Q4)</w:t>
            </w:r>
          </w:p>
        </w:tc>
        <w:tc>
          <w:tcPr>
            <w:tcW w:type="dxa" w:w="1040"/>
            <w:shd w:fill="F0F3F6"/>
          </w:tcPr>
          <w:p>
            <w:r/>
            <w:r>
              <w:rPr>
                <w:rFonts w:ascii="Inter" w:hAnsi="Inter" w:cs="Inter"/>
                <w:b w:val="0"/>
                <w:i w:val="0"/>
                <w:color w:val="2D2D2D"/>
                <w:sz w:val="19"/>
              </w:rPr>
              <w:t>Deputy Executive Director</w:t>
            </w:r>
          </w:p>
        </w:tc>
      </w:tr>
      <w:tr>
        <w:tc>
          <w:tcPr>
            <w:tcW w:type="dxa" w:w="1040"/>
          </w:tcPr>
          <w:p>
            <w:r/>
            <w:r>
              <w:rPr>
                <w:rFonts w:ascii="Inter" w:hAnsi="Inter" w:cs="Inter"/>
                <w:b w:val="0"/>
                <w:i w:val="0"/>
                <w:color w:val="2D2D2D"/>
                <w:sz w:val="19"/>
              </w:rPr>
              <w:t>OBC-P-003</w:t>
            </w:r>
          </w:p>
        </w:tc>
        <w:tc>
          <w:tcPr>
            <w:tcW w:type="dxa" w:w="1040"/>
          </w:tcPr>
          <w:p>
            <w:r/>
            <w:r>
              <w:rPr>
                <w:rFonts w:ascii="Inter" w:hAnsi="Inter" w:cs="Inter"/>
                <w:b w:val="0"/>
                <w:i w:val="0"/>
                <w:color w:val="2D2D2D"/>
                <w:sz w:val="19"/>
              </w:rPr>
              <w:t>Service Access Program</w:t>
            </w:r>
          </w:p>
        </w:tc>
        <w:tc>
          <w:tcPr>
            <w:tcW w:type="dxa" w:w="1040"/>
          </w:tcPr>
          <w:p>
            <w:r/>
            <w:r>
              <w:rPr>
                <w:rFonts w:ascii="Inter" w:hAnsi="Inter" w:cs="Inter"/>
                <w:b w:val="0"/>
                <w:i w:val="0"/>
                <w:color w:val="2D2D2D"/>
                <w:sz w:val="19"/>
              </w:rPr>
              <w:t>2,000 OBC individuals enrolled</w:t>
            </w:r>
          </w:p>
        </w:tc>
        <w:tc>
          <w:tcPr>
            <w:tcW w:type="dxa" w:w="1040"/>
          </w:tcPr>
          <w:p>
            <w:r/>
            <w:r>
              <w:rPr>
                <w:rFonts w:ascii="Inter" w:hAnsi="Inter" w:cs="Inter"/>
                <w:b w:val="0"/>
                <w:i w:val="0"/>
                <w:color w:val="2D2D2D"/>
                <w:sz w:val="19"/>
              </w:rPr>
              <w:t>Needs assessment; referral protocol design</w:t>
            </w:r>
          </w:p>
        </w:tc>
        <w:tc>
          <w:tcPr>
            <w:tcW w:type="dxa" w:w="1040"/>
          </w:tcPr>
          <w:p>
            <w:r/>
            <w:r>
              <w:rPr>
                <w:rFonts w:ascii="Inter" w:hAnsi="Inter" w:cs="Inter"/>
                <w:b w:val="0"/>
                <w:i w:val="0"/>
                <w:color w:val="2D2D2D"/>
                <w:sz w:val="19"/>
              </w:rPr>
              <w:t>Service referral (500 individuals)</w:t>
            </w:r>
          </w:p>
        </w:tc>
        <w:tc>
          <w:tcPr>
            <w:tcW w:type="dxa" w:w="1040"/>
          </w:tcPr>
          <w:p>
            <w:r/>
            <w:r>
              <w:rPr>
                <w:rFonts w:ascii="Inter" w:hAnsi="Inter" w:cs="Inter"/>
                <w:b w:val="0"/>
                <w:i w:val="0"/>
                <w:color w:val="2D2D2D"/>
                <w:sz w:val="19"/>
              </w:rPr>
              <w:t>Service referral (800 individuals); 3 capacity-building activities</w:t>
            </w:r>
          </w:p>
        </w:tc>
        <w:tc>
          <w:tcPr>
            <w:tcW w:type="dxa" w:w="1040"/>
          </w:tcPr>
          <w:p>
            <w:r/>
            <w:r>
              <w:rPr>
                <w:rFonts w:ascii="Inter" w:hAnsi="Inter" w:cs="Inter"/>
                <w:b w:val="0"/>
                <w:i w:val="0"/>
                <w:color w:val="2D2D2D"/>
                <w:sz w:val="19"/>
              </w:rPr>
              <w:t>Service referral (700 individuals); 2 capacity-building activities</w:t>
            </w:r>
          </w:p>
        </w:tc>
        <w:tc>
          <w:tcPr>
            <w:tcW w:type="dxa" w:w="1040"/>
          </w:tcPr>
          <w:p>
            <w:r/>
            <w:r>
              <w:rPr>
                <w:rFonts w:ascii="Inter" w:hAnsi="Inter" w:cs="Inter"/>
                <w:b w:val="0"/>
                <w:i w:val="0"/>
                <w:color w:val="2D2D2D"/>
                <w:sz w:val="19"/>
              </w:rPr>
              <w:t>Referral protocol approved (Q1); 1,500 individuals enrolled by Q3</w:t>
            </w:r>
          </w:p>
        </w:tc>
        <w:tc>
          <w:tcPr>
            <w:tcW w:type="dxa" w:w="1040"/>
          </w:tcPr>
          <w:p>
            <w:r/>
            <w:r>
              <w:rPr>
                <w:rFonts w:ascii="Inter" w:hAnsi="Inter" w:cs="Inter"/>
                <w:b w:val="0"/>
                <w:i w:val="0"/>
                <w:color w:val="2D2D2D"/>
                <w:sz w:val="19"/>
              </w:rPr>
              <w:t>Community Development Officer</w:t>
            </w:r>
          </w:p>
        </w:tc>
      </w:tr>
    </w:tbl>
    <w:p/>
    <w:p>
      <w:pPr>
        <w:pStyle w:val="Heading4"/>
      </w:pPr>
      <w:r>
        <w:rPr>
          <w:rFonts w:ascii="Inter" w:hAnsi="Inter" w:cs="Inter"/>
          <w:b/>
          <w:i/>
          <w:color w:val="2C5F7C"/>
          <w:sz w:val="23"/>
        </w:rPr>
        <w:t>Section 4.2: Annual Financial Plan Excerpt (FY 2026)</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B365D"/>
          </w:tcPr>
          <w:p>
            <w:r/>
            <w:r>
              <w:rPr>
                <w:rFonts w:ascii="Inter" w:hAnsi="Inter" w:cs="Inter"/>
                <w:b/>
                <w:i w:val="0"/>
                <w:color w:val="FFFFFF"/>
                <w:sz w:val="19"/>
              </w:rPr>
              <w:t>PPA Code</w:t>
            </w:r>
          </w:p>
        </w:tc>
        <w:tc>
          <w:tcPr>
            <w:tcW w:type="dxa" w:w="1560"/>
            <w:shd w:fill="1B365D"/>
          </w:tcPr>
          <w:p>
            <w:r/>
            <w:r>
              <w:rPr>
                <w:rFonts w:ascii="Inter" w:hAnsi="Inter" w:cs="Inter"/>
                <w:b/>
                <w:i w:val="0"/>
                <w:color w:val="FFFFFF"/>
                <w:sz w:val="19"/>
              </w:rPr>
              <w:t>PPA Name</w:t>
            </w:r>
          </w:p>
        </w:tc>
        <w:tc>
          <w:tcPr>
            <w:tcW w:type="dxa" w:w="1560"/>
            <w:shd w:fill="1B365D"/>
          </w:tcPr>
          <w:p>
            <w:r/>
            <w:r>
              <w:rPr>
                <w:rFonts w:ascii="Inter" w:hAnsi="Inter" w:cs="Inter"/>
                <w:b/>
                <w:i w:val="0"/>
                <w:color w:val="FFFFFF"/>
                <w:sz w:val="19"/>
              </w:rPr>
              <w:t>PS</w:t>
            </w:r>
          </w:p>
        </w:tc>
        <w:tc>
          <w:tcPr>
            <w:tcW w:type="dxa" w:w="1560"/>
            <w:shd w:fill="1B365D"/>
          </w:tcPr>
          <w:p>
            <w:r/>
            <w:r>
              <w:rPr>
                <w:rFonts w:ascii="Inter" w:hAnsi="Inter" w:cs="Inter"/>
                <w:b/>
                <w:i w:val="0"/>
                <w:color w:val="FFFFFF"/>
                <w:sz w:val="19"/>
              </w:rPr>
              <w:t>MOOE</w:t>
            </w:r>
          </w:p>
        </w:tc>
        <w:tc>
          <w:tcPr>
            <w:tcW w:type="dxa" w:w="1560"/>
            <w:shd w:fill="1B365D"/>
          </w:tcPr>
          <w:p>
            <w:r/>
            <w:r>
              <w:rPr>
                <w:rFonts w:ascii="Inter" w:hAnsi="Inter" w:cs="Inter"/>
                <w:b/>
                <w:i w:val="0"/>
                <w:color w:val="FFFFFF"/>
                <w:sz w:val="19"/>
              </w:rPr>
              <w:t>CO</w:t>
            </w:r>
          </w:p>
        </w:tc>
        <w:tc>
          <w:tcPr>
            <w:tcW w:type="dxa" w:w="1560"/>
            <w:shd w:fill="1B365D"/>
          </w:tcPr>
          <w:p>
            <w:r/>
            <w:r>
              <w:rPr>
                <w:rFonts w:ascii="Inter" w:hAnsi="Inter" w:cs="Inter"/>
                <w:b/>
                <w:i w:val="0"/>
                <w:color w:val="FFFFFF"/>
                <w:sz w:val="19"/>
              </w:rPr>
              <w:t>Total</w:t>
            </w:r>
          </w:p>
        </w:tc>
      </w:tr>
      <w:tr>
        <w:tc>
          <w:tcPr>
            <w:tcW w:type="dxa" w:w="1560"/>
          </w:tcPr>
          <w:p>
            <w:r/>
            <w:r>
              <w:rPr>
                <w:rFonts w:ascii="Inter" w:hAnsi="Inter" w:cs="Inter"/>
                <w:b w:val="0"/>
                <w:i w:val="0"/>
                <w:color w:val="2D2D2D"/>
                <w:sz w:val="19"/>
              </w:rPr>
              <w:t>OBC-P-001</w:t>
            </w:r>
          </w:p>
        </w:tc>
        <w:tc>
          <w:tcPr>
            <w:tcW w:type="dxa" w:w="1560"/>
          </w:tcPr>
          <w:p>
            <w:r/>
            <w:r>
              <w:rPr>
                <w:rFonts w:ascii="Inter" w:hAnsi="Inter" w:cs="Inter"/>
                <w:b w:val="0"/>
                <w:i w:val="0"/>
                <w:color w:val="2D2D2D"/>
                <w:sz w:val="19"/>
              </w:rPr>
              <w:t>Community Profiling Program</w:t>
            </w:r>
          </w:p>
        </w:tc>
        <w:tc>
          <w:tcPr>
            <w:tcW w:type="dxa" w:w="1560"/>
          </w:tcPr>
          <w:p>
            <w:r/>
            <w:r>
              <w:rPr>
                <w:rFonts w:ascii="Inter" w:hAnsi="Inter" w:cs="Inter"/>
                <w:b w:val="0"/>
                <w:i w:val="0"/>
                <w:color w:val="2D2D2D"/>
                <w:sz w:val="19"/>
              </w:rPr>
              <w:t>PhP 5,200,000</w:t>
            </w:r>
          </w:p>
        </w:tc>
        <w:tc>
          <w:tcPr>
            <w:tcW w:type="dxa" w:w="1560"/>
          </w:tcPr>
          <w:p>
            <w:r/>
            <w:r>
              <w:rPr>
                <w:rFonts w:ascii="Inter" w:hAnsi="Inter" w:cs="Inter"/>
                <w:b w:val="0"/>
                <w:i w:val="0"/>
                <w:color w:val="2D2D2D"/>
                <w:sz w:val="19"/>
              </w:rPr>
              <w:t>PhP 4,800,000</w:t>
            </w:r>
          </w:p>
        </w:tc>
        <w:tc>
          <w:tcPr>
            <w:tcW w:type="dxa" w:w="1560"/>
          </w:tcPr>
          <w:p>
            <w:r/>
            <w:r>
              <w:rPr>
                <w:rFonts w:ascii="Inter" w:hAnsi="Inter" w:cs="Inter"/>
                <w:b w:val="0"/>
                <w:i w:val="0"/>
                <w:color w:val="2D2D2D"/>
                <w:sz w:val="19"/>
              </w:rPr>
              <w:t>PhP 2,000,000</w:t>
            </w:r>
          </w:p>
        </w:tc>
        <w:tc>
          <w:tcPr>
            <w:tcW w:type="dxa" w:w="1560"/>
          </w:tcPr>
          <w:p>
            <w:r/>
            <w:r>
              <w:rPr>
                <w:rFonts w:ascii="Inter" w:hAnsi="Inter" w:cs="Inter"/>
                <w:b w:val="0"/>
                <w:i w:val="0"/>
                <w:color w:val="2D2D2D"/>
                <w:sz w:val="19"/>
              </w:rPr>
              <w:t>PhP 12,000,000</w:t>
            </w:r>
          </w:p>
        </w:tc>
      </w:tr>
      <w:tr>
        <w:tc>
          <w:tcPr>
            <w:tcW w:type="dxa" w:w="1560"/>
            <w:shd w:fill="F0F3F6"/>
          </w:tcPr>
          <w:p>
            <w:r/>
            <w:r>
              <w:rPr>
                <w:rFonts w:ascii="Inter" w:hAnsi="Inter" w:cs="Inter"/>
                <w:b w:val="0"/>
                <w:i w:val="0"/>
                <w:color w:val="2D2D2D"/>
                <w:sz w:val="19"/>
              </w:rPr>
              <w:t>OBC-P-002</w:t>
            </w:r>
          </w:p>
        </w:tc>
        <w:tc>
          <w:tcPr>
            <w:tcW w:type="dxa" w:w="1560"/>
            <w:shd w:fill="F0F3F6"/>
          </w:tcPr>
          <w:p>
            <w:r/>
            <w:r>
              <w:rPr>
                <w:rFonts w:ascii="Inter" w:hAnsi="Inter" w:cs="Inter"/>
                <w:b w:val="0"/>
                <w:i w:val="0"/>
                <w:color w:val="2D2D2D"/>
                <w:sz w:val="19"/>
              </w:rPr>
              <w:t>Coordination Program</w:t>
            </w:r>
          </w:p>
        </w:tc>
        <w:tc>
          <w:tcPr>
            <w:tcW w:type="dxa" w:w="1560"/>
            <w:shd w:fill="F0F3F6"/>
          </w:tcPr>
          <w:p>
            <w:r/>
            <w:r>
              <w:rPr>
                <w:rFonts w:ascii="Inter" w:hAnsi="Inter" w:cs="Inter"/>
                <w:b w:val="0"/>
                <w:i w:val="0"/>
                <w:color w:val="2D2D2D"/>
                <w:sz w:val="19"/>
              </w:rPr>
              <w:t>PhP 2,800,000</w:t>
            </w:r>
          </w:p>
        </w:tc>
        <w:tc>
          <w:tcPr>
            <w:tcW w:type="dxa" w:w="1560"/>
            <w:shd w:fill="F0F3F6"/>
          </w:tcPr>
          <w:p>
            <w:r/>
            <w:r>
              <w:rPr>
                <w:rFonts w:ascii="Inter" w:hAnsi="Inter" w:cs="Inter"/>
                <w:b w:val="0"/>
                <w:i w:val="0"/>
                <w:color w:val="2D2D2D"/>
                <w:sz w:val="19"/>
              </w:rPr>
              <w:t>PhP 2,200,000</w:t>
            </w:r>
          </w:p>
        </w:tc>
        <w:tc>
          <w:tcPr>
            <w:tcW w:type="dxa" w:w="1560"/>
            <w:shd w:fill="F0F3F6"/>
          </w:tcPr>
          <w:p>
            <w:r/>
            <w:r>
              <w:rPr>
                <w:rFonts w:ascii="Inter" w:hAnsi="Inter" w:cs="Inter"/>
                <w:b w:val="0"/>
                <w:i w:val="0"/>
                <w:color w:val="2D2D2D"/>
                <w:sz w:val="19"/>
              </w:rPr>
              <w:t>---</w:t>
            </w:r>
          </w:p>
        </w:tc>
        <w:tc>
          <w:tcPr>
            <w:tcW w:type="dxa" w:w="1560"/>
            <w:shd w:fill="F0F3F6"/>
          </w:tcPr>
          <w:p>
            <w:r/>
            <w:r>
              <w:rPr>
                <w:rFonts w:ascii="Inter" w:hAnsi="Inter" w:cs="Inter"/>
                <w:b w:val="0"/>
                <w:i w:val="0"/>
                <w:color w:val="2D2D2D"/>
                <w:sz w:val="19"/>
              </w:rPr>
              <w:t>PhP 5,000,000</w:t>
            </w:r>
          </w:p>
        </w:tc>
      </w:tr>
      <w:tr>
        <w:tc>
          <w:tcPr>
            <w:tcW w:type="dxa" w:w="1560"/>
          </w:tcPr>
          <w:p>
            <w:r/>
            <w:r>
              <w:rPr>
                <w:rFonts w:ascii="Inter" w:hAnsi="Inter" w:cs="Inter"/>
                <w:b w:val="0"/>
                <w:i w:val="0"/>
                <w:color w:val="2D2D2D"/>
                <w:sz w:val="19"/>
              </w:rPr>
              <w:t>OBC-P-003</w:t>
            </w:r>
          </w:p>
        </w:tc>
        <w:tc>
          <w:tcPr>
            <w:tcW w:type="dxa" w:w="1560"/>
          </w:tcPr>
          <w:p>
            <w:r/>
            <w:r>
              <w:rPr>
                <w:rFonts w:ascii="Inter" w:hAnsi="Inter" w:cs="Inter"/>
                <w:b w:val="0"/>
                <w:i w:val="0"/>
                <w:color w:val="2D2D2D"/>
                <w:sz w:val="19"/>
              </w:rPr>
              <w:t>Service Access Program</w:t>
            </w:r>
          </w:p>
        </w:tc>
        <w:tc>
          <w:tcPr>
            <w:tcW w:type="dxa" w:w="1560"/>
          </w:tcPr>
          <w:p>
            <w:r/>
            <w:r>
              <w:rPr>
                <w:rFonts w:ascii="Inter" w:hAnsi="Inter" w:cs="Inter"/>
                <w:b w:val="0"/>
                <w:i w:val="0"/>
                <w:color w:val="2D2D2D"/>
                <w:sz w:val="19"/>
              </w:rPr>
              <w:t>PhP 2,500,000</w:t>
            </w:r>
          </w:p>
        </w:tc>
        <w:tc>
          <w:tcPr>
            <w:tcW w:type="dxa" w:w="1560"/>
          </w:tcPr>
          <w:p>
            <w:r/>
            <w:r>
              <w:rPr>
                <w:rFonts w:ascii="Inter" w:hAnsi="Inter" w:cs="Inter"/>
                <w:b w:val="0"/>
                <w:i w:val="0"/>
                <w:color w:val="2D2D2D"/>
                <w:sz w:val="19"/>
              </w:rPr>
              <w:t>PhP 2,500,000</w:t>
            </w:r>
          </w:p>
        </w:tc>
        <w:tc>
          <w:tcPr>
            <w:tcW w:type="dxa" w:w="1560"/>
          </w:tcPr>
          <w:p>
            <w:r/>
            <w:r>
              <w:rPr>
                <w:rFonts w:ascii="Inter" w:hAnsi="Inter" w:cs="Inter"/>
                <w:b w:val="0"/>
                <w:i w:val="0"/>
                <w:color w:val="2D2D2D"/>
                <w:sz w:val="19"/>
              </w:rPr>
              <w:t>---</w:t>
            </w:r>
          </w:p>
        </w:tc>
        <w:tc>
          <w:tcPr>
            <w:tcW w:type="dxa" w:w="1560"/>
          </w:tcPr>
          <w:p>
            <w:r/>
            <w:r>
              <w:rPr>
                <w:rFonts w:ascii="Inter" w:hAnsi="Inter" w:cs="Inter"/>
                <w:b w:val="0"/>
                <w:i w:val="0"/>
                <w:color w:val="2D2D2D"/>
                <w:sz w:val="19"/>
              </w:rPr>
              <w:t>PhP 5,000,000</w:t>
            </w:r>
          </w:p>
        </w:tc>
      </w:tr>
      <w:tr>
        <w:tc>
          <w:tcPr>
            <w:tcW w:type="dxa" w:w="1560"/>
            <w:shd w:fill="F0F3F6"/>
          </w:tcPr>
          <w:p>
            <w:r/>
            <w:r>
              <w:rPr>
                <w:rFonts w:ascii="Inter" w:hAnsi="Inter" w:cs="Inter"/>
                <w:b w:val="0"/>
                <w:i w:val="0"/>
                <w:color w:val="2D2D2D"/>
                <w:sz w:val="19"/>
              </w:rPr>
              <w:t>**TOTAL**</w:t>
            </w:r>
          </w:p>
        </w:tc>
        <w:tc>
          <w:tcPr>
            <w:tcW w:type="dxa" w:w="1560"/>
            <w:shd w:fill="F0F3F6"/>
          </w:tcPr>
          <w:p>
            <w:r/>
            <w:r>
              <w:rPr>
                <w:rFonts w:ascii="Inter" w:hAnsi="Inter" w:cs="Inter"/>
                <w:b w:val="0"/>
                <w:i w:val="0"/>
                <w:color w:val="2D2D2D"/>
                <w:sz w:val="19"/>
              </w:rPr>
              <w:t>**PhP 10,500,000**</w:t>
            </w:r>
          </w:p>
        </w:tc>
        <w:tc>
          <w:tcPr>
            <w:tcW w:type="dxa" w:w="1560"/>
            <w:shd w:fill="F0F3F6"/>
          </w:tcPr>
          <w:p>
            <w:r/>
            <w:r>
              <w:rPr>
                <w:rFonts w:ascii="Inter" w:hAnsi="Inter" w:cs="Inter"/>
                <w:b w:val="0"/>
                <w:i w:val="0"/>
                <w:color w:val="2D2D2D"/>
                <w:sz w:val="19"/>
              </w:rPr>
              <w:t>**PhP 9,500,000**</w:t>
            </w:r>
          </w:p>
        </w:tc>
        <w:tc>
          <w:tcPr>
            <w:tcW w:type="dxa" w:w="1560"/>
            <w:shd w:fill="F0F3F6"/>
          </w:tcPr>
          <w:p>
            <w:r/>
            <w:r>
              <w:rPr>
                <w:rFonts w:ascii="Inter" w:hAnsi="Inter" w:cs="Inter"/>
                <w:b w:val="0"/>
                <w:i w:val="0"/>
                <w:color w:val="2D2D2D"/>
                <w:sz w:val="19"/>
              </w:rPr>
              <w:t>**PhP 2,000,000**</w:t>
            </w:r>
          </w:p>
        </w:tc>
        <w:tc>
          <w:tcPr>
            <w:tcW w:type="dxa" w:w="1560"/>
            <w:shd w:fill="F0F3F6"/>
          </w:tcPr>
          <w:p>
            <w:r/>
            <w:r>
              <w:rPr>
                <w:rFonts w:ascii="Inter" w:hAnsi="Inter" w:cs="Inter"/>
                <w:b w:val="0"/>
                <w:i w:val="0"/>
                <w:color w:val="2D2D2D"/>
                <w:sz w:val="19"/>
              </w:rPr>
              <w:t>**PhP 22,000,000**</w:t>
            </w:r>
          </w:p>
        </w:tc>
        <w:tc>
          <w:tcPr>
            <w:tcW w:type="dxa" w:w="1560"/>
          </w:tcPr>
          <w:p/>
        </w:tc>
      </w:tr>
    </w:tbl>
    <w:p/>
    <w:p>
      <w:pPr>
        <w:pStyle w:val="Heading4"/>
      </w:pPr>
      <w:r>
        <w:rPr>
          <w:rFonts w:ascii="Inter" w:hAnsi="Inter" w:cs="Inter"/>
          <w:b/>
          <w:i/>
          <w:color w:val="2C5F7C"/>
          <w:sz w:val="23"/>
        </w:rPr>
        <w:t>Section 4.3: Annual Procurement Plan Excerpt (FY 2026)</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B365D"/>
          </w:tcPr>
          <w:p>
            <w:r/>
            <w:r>
              <w:rPr>
                <w:rFonts w:ascii="Inter" w:hAnsi="Inter" w:cs="Inter"/>
                <w:b/>
                <w:i w:val="0"/>
                <w:color w:val="FFFFFF"/>
                <w:sz w:val="19"/>
              </w:rPr>
              <w:t>Item #</w:t>
            </w:r>
          </w:p>
        </w:tc>
        <w:tc>
          <w:tcPr>
            <w:tcW w:type="dxa" w:w="1170"/>
            <w:shd w:fill="1B365D"/>
          </w:tcPr>
          <w:p>
            <w:r/>
            <w:r>
              <w:rPr>
                <w:rFonts w:ascii="Inter" w:hAnsi="Inter" w:cs="Inter"/>
                <w:b/>
                <w:i w:val="0"/>
                <w:color w:val="FFFFFF"/>
                <w:sz w:val="19"/>
              </w:rPr>
              <w:t>PPA Code</w:t>
            </w:r>
          </w:p>
        </w:tc>
        <w:tc>
          <w:tcPr>
            <w:tcW w:type="dxa" w:w="1170"/>
            <w:shd w:fill="1B365D"/>
          </w:tcPr>
          <w:p>
            <w:r/>
            <w:r>
              <w:rPr>
                <w:rFonts w:ascii="Inter" w:hAnsi="Inter" w:cs="Inter"/>
                <w:b/>
                <w:i w:val="0"/>
                <w:color w:val="FFFFFF"/>
                <w:sz w:val="19"/>
              </w:rPr>
              <w:t>Item Description</w:t>
            </w:r>
          </w:p>
        </w:tc>
        <w:tc>
          <w:tcPr>
            <w:tcW w:type="dxa" w:w="1170"/>
            <w:shd w:fill="1B365D"/>
          </w:tcPr>
          <w:p>
            <w:r/>
            <w:r>
              <w:rPr>
                <w:rFonts w:ascii="Inter" w:hAnsi="Inter" w:cs="Inter"/>
                <w:b/>
                <w:i w:val="0"/>
                <w:color w:val="FFFFFF"/>
                <w:sz w:val="19"/>
              </w:rPr>
              <w:t>Qty</w:t>
            </w:r>
          </w:p>
        </w:tc>
        <w:tc>
          <w:tcPr>
            <w:tcW w:type="dxa" w:w="1170"/>
            <w:shd w:fill="1B365D"/>
          </w:tcPr>
          <w:p>
            <w:r/>
            <w:r>
              <w:rPr>
                <w:rFonts w:ascii="Inter" w:hAnsi="Inter" w:cs="Inter"/>
                <w:b/>
                <w:i w:val="0"/>
                <w:color w:val="FFFFFF"/>
                <w:sz w:val="19"/>
              </w:rPr>
              <w:t>Unit Cost</w:t>
            </w:r>
          </w:p>
        </w:tc>
        <w:tc>
          <w:tcPr>
            <w:tcW w:type="dxa" w:w="1170"/>
            <w:shd w:fill="1B365D"/>
          </w:tcPr>
          <w:p>
            <w:r/>
            <w:r>
              <w:rPr>
                <w:rFonts w:ascii="Inter" w:hAnsi="Inter" w:cs="Inter"/>
                <w:b/>
                <w:i w:val="0"/>
                <w:color w:val="FFFFFF"/>
                <w:sz w:val="19"/>
              </w:rPr>
              <w:t>Total</w:t>
            </w:r>
          </w:p>
        </w:tc>
        <w:tc>
          <w:tcPr>
            <w:tcW w:type="dxa" w:w="1170"/>
            <w:shd w:fill="1B365D"/>
          </w:tcPr>
          <w:p>
            <w:r/>
            <w:r>
              <w:rPr>
                <w:rFonts w:ascii="Inter" w:hAnsi="Inter" w:cs="Inter"/>
                <w:b/>
                <w:i w:val="0"/>
                <w:color w:val="FFFFFF"/>
                <w:sz w:val="19"/>
              </w:rPr>
              <w:t>Method</w:t>
            </w:r>
          </w:p>
        </w:tc>
        <w:tc>
          <w:tcPr>
            <w:tcW w:type="dxa" w:w="1170"/>
            <w:shd w:fill="1B365D"/>
          </w:tcPr>
          <w:p>
            <w:r/>
            <w:r>
              <w:rPr>
                <w:rFonts w:ascii="Inter" w:hAnsi="Inter" w:cs="Inter"/>
                <w:b/>
                <w:i w:val="0"/>
                <w:color w:val="FFFFFF"/>
                <w:sz w:val="19"/>
              </w:rPr>
              <w:t>Schedule</w:t>
            </w:r>
          </w:p>
        </w:tc>
      </w:tr>
      <w:tr>
        <w:tc>
          <w:tcPr>
            <w:tcW w:type="dxa" w:w="1170"/>
          </w:tcPr>
          <w:p>
            <w:r/>
            <w:r>
              <w:rPr>
                <w:rFonts w:ascii="Inter" w:hAnsi="Inter" w:cs="Inter"/>
                <w:b w:val="0"/>
                <w:i w:val="0"/>
                <w:color w:val="2D2D2D"/>
                <w:sz w:val="19"/>
              </w:rPr>
              <w:t>1</w:t>
            </w:r>
          </w:p>
        </w:tc>
        <w:tc>
          <w:tcPr>
            <w:tcW w:type="dxa" w:w="1170"/>
          </w:tcPr>
          <w:p>
            <w:r/>
            <w:r>
              <w:rPr>
                <w:rFonts w:ascii="Inter" w:hAnsi="Inter" w:cs="Inter"/>
                <w:b w:val="0"/>
                <w:i w:val="0"/>
                <w:color w:val="2D2D2D"/>
                <w:sz w:val="19"/>
              </w:rPr>
              <w:t>OBC-P-001</w:t>
            </w:r>
          </w:p>
        </w:tc>
        <w:tc>
          <w:tcPr>
            <w:tcW w:type="dxa" w:w="1170"/>
          </w:tcPr>
          <w:p>
            <w:r/>
            <w:r>
              <w:rPr>
                <w:rFonts w:ascii="Inter" w:hAnsi="Inter" w:cs="Inter"/>
                <w:b w:val="0"/>
                <w:i w:val="0"/>
                <w:color w:val="2D2D2D"/>
                <w:sz w:val="19"/>
              </w:rPr>
              <w:t>Laptop computers (field enumerators)</w:t>
            </w:r>
          </w:p>
        </w:tc>
        <w:tc>
          <w:tcPr>
            <w:tcW w:type="dxa" w:w="1170"/>
          </w:tcPr>
          <w:p>
            <w:r/>
            <w:r>
              <w:rPr>
                <w:rFonts w:ascii="Inter" w:hAnsi="Inter" w:cs="Inter"/>
                <w:b w:val="0"/>
                <w:i w:val="0"/>
                <w:color w:val="2D2D2D"/>
                <w:sz w:val="19"/>
              </w:rPr>
              <w:t>10</w:t>
            </w:r>
          </w:p>
        </w:tc>
        <w:tc>
          <w:tcPr>
            <w:tcW w:type="dxa" w:w="1170"/>
          </w:tcPr>
          <w:p>
            <w:r/>
            <w:r>
              <w:rPr>
                <w:rFonts w:ascii="Inter" w:hAnsi="Inter" w:cs="Inter"/>
                <w:b w:val="0"/>
                <w:i w:val="0"/>
                <w:color w:val="2D2D2D"/>
                <w:sz w:val="19"/>
              </w:rPr>
              <w:t>PhP 45,000</w:t>
            </w:r>
          </w:p>
        </w:tc>
        <w:tc>
          <w:tcPr>
            <w:tcW w:type="dxa" w:w="1170"/>
          </w:tcPr>
          <w:p>
            <w:r/>
            <w:r>
              <w:rPr>
                <w:rFonts w:ascii="Inter" w:hAnsi="Inter" w:cs="Inter"/>
                <w:b w:val="0"/>
                <w:i w:val="0"/>
                <w:color w:val="2D2D2D"/>
                <w:sz w:val="19"/>
              </w:rPr>
              <w:t>PhP 450,000</w:t>
            </w:r>
          </w:p>
        </w:tc>
        <w:tc>
          <w:tcPr>
            <w:tcW w:type="dxa" w:w="1170"/>
          </w:tcPr>
          <w:p>
            <w:r/>
            <w:r>
              <w:rPr>
                <w:rFonts w:ascii="Inter" w:hAnsi="Inter" w:cs="Inter"/>
                <w:b w:val="0"/>
                <w:i w:val="0"/>
                <w:color w:val="2D2D2D"/>
                <w:sz w:val="19"/>
              </w:rPr>
              <w:t>Shopping</w:t>
            </w:r>
          </w:p>
        </w:tc>
        <w:tc>
          <w:tcPr>
            <w:tcW w:type="dxa" w:w="1170"/>
          </w:tcPr>
          <w:p>
            <w:r/>
            <w:r>
              <w:rPr>
                <w:rFonts w:ascii="Inter" w:hAnsi="Inter" w:cs="Inter"/>
                <w:b w:val="0"/>
                <w:i w:val="0"/>
                <w:color w:val="2D2D2D"/>
                <w:sz w:val="19"/>
              </w:rPr>
              <w:t>Q1</w:t>
            </w:r>
          </w:p>
        </w:tc>
      </w:tr>
      <w:tr>
        <w:tc>
          <w:tcPr>
            <w:tcW w:type="dxa" w:w="1170"/>
            <w:shd w:fill="F0F3F6"/>
          </w:tcPr>
          <w:p>
            <w:r/>
            <w:r>
              <w:rPr>
                <w:rFonts w:ascii="Inter" w:hAnsi="Inter" w:cs="Inter"/>
                <w:b w:val="0"/>
                <w:i w:val="0"/>
                <w:color w:val="2D2D2D"/>
                <w:sz w:val="19"/>
              </w:rPr>
              <w:t>2</w:t>
            </w:r>
          </w:p>
        </w:tc>
        <w:tc>
          <w:tcPr>
            <w:tcW w:type="dxa" w:w="1170"/>
            <w:shd w:fill="F0F3F6"/>
          </w:tcPr>
          <w:p>
            <w:r/>
            <w:r>
              <w:rPr>
                <w:rFonts w:ascii="Inter" w:hAnsi="Inter" w:cs="Inter"/>
                <w:b w:val="0"/>
                <w:i w:val="0"/>
                <w:color w:val="2D2D2D"/>
                <w:sz w:val="19"/>
              </w:rPr>
              <w:t>OBC-P-001</w:t>
            </w:r>
          </w:p>
        </w:tc>
        <w:tc>
          <w:tcPr>
            <w:tcW w:type="dxa" w:w="1170"/>
            <w:shd w:fill="F0F3F6"/>
          </w:tcPr>
          <w:p>
            <w:r/>
            <w:r>
              <w:rPr>
                <w:rFonts w:ascii="Inter" w:hAnsi="Inter" w:cs="Inter"/>
                <w:b w:val="0"/>
                <w:i w:val="0"/>
                <w:color w:val="2D2D2D"/>
                <w:sz w:val="19"/>
              </w:rPr>
              <w:t>Tablets with GPS (community profiling)</w:t>
            </w:r>
          </w:p>
        </w:tc>
        <w:tc>
          <w:tcPr>
            <w:tcW w:type="dxa" w:w="1170"/>
            <w:shd w:fill="F0F3F6"/>
          </w:tcPr>
          <w:p>
            <w:r/>
            <w:r>
              <w:rPr>
                <w:rFonts w:ascii="Inter" w:hAnsi="Inter" w:cs="Inter"/>
                <w:b w:val="0"/>
                <w:i w:val="0"/>
                <w:color w:val="2D2D2D"/>
                <w:sz w:val="19"/>
              </w:rPr>
              <w:t>15</w:t>
            </w:r>
          </w:p>
        </w:tc>
        <w:tc>
          <w:tcPr>
            <w:tcW w:type="dxa" w:w="1170"/>
            <w:shd w:fill="F0F3F6"/>
          </w:tcPr>
          <w:p>
            <w:r/>
            <w:r>
              <w:rPr>
                <w:rFonts w:ascii="Inter" w:hAnsi="Inter" w:cs="Inter"/>
                <w:b w:val="0"/>
                <w:i w:val="0"/>
                <w:color w:val="2D2D2D"/>
                <w:sz w:val="19"/>
              </w:rPr>
              <w:t>PhP 25,000</w:t>
            </w:r>
          </w:p>
        </w:tc>
        <w:tc>
          <w:tcPr>
            <w:tcW w:type="dxa" w:w="1170"/>
            <w:shd w:fill="F0F3F6"/>
          </w:tcPr>
          <w:p>
            <w:r/>
            <w:r>
              <w:rPr>
                <w:rFonts w:ascii="Inter" w:hAnsi="Inter" w:cs="Inter"/>
                <w:b w:val="0"/>
                <w:i w:val="0"/>
                <w:color w:val="2D2D2D"/>
                <w:sz w:val="19"/>
              </w:rPr>
              <w:t>PhP 375,000</w:t>
            </w:r>
          </w:p>
        </w:tc>
        <w:tc>
          <w:tcPr>
            <w:tcW w:type="dxa" w:w="1170"/>
            <w:shd w:fill="F0F3F6"/>
          </w:tcPr>
          <w:p>
            <w:r/>
            <w:r>
              <w:rPr>
                <w:rFonts w:ascii="Inter" w:hAnsi="Inter" w:cs="Inter"/>
                <w:b w:val="0"/>
                <w:i w:val="0"/>
                <w:color w:val="2D2D2D"/>
                <w:sz w:val="19"/>
              </w:rPr>
              <w:t>Shopping</w:t>
            </w:r>
          </w:p>
        </w:tc>
        <w:tc>
          <w:tcPr>
            <w:tcW w:type="dxa" w:w="1170"/>
            <w:shd w:fill="F0F3F6"/>
          </w:tcPr>
          <w:p>
            <w:r/>
            <w:r>
              <w:rPr>
                <w:rFonts w:ascii="Inter" w:hAnsi="Inter" w:cs="Inter"/>
                <w:b w:val="0"/>
                <w:i w:val="0"/>
                <w:color w:val="2D2D2D"/>
                <w:sz w:val="19"/>
              </w:rPr>
              <w:t>Q1</w:t>
            </w:r>
          </w:p>
        </w:tc>
      </w:tr>
      <w:tr>
        <w:tc>
          <w:tcPr>
            <w:tcW w:type="dxa" w:w="1170"/>
          </w:tcPr>
          <w:p>
            <w:r/>
            <w:r>
              <w:rPr>
                <w:rFonts w:ascii="Inter" w:hAnsi="Inter" w:cs="Inter"/>
                <w:b w:val="0"/>
                <w:i w:val="0"/>
                <w:color w:val="2D2D2D"/>
                <w:sz w:val="19"/>
              </w:rPr>
              <w:t>3</w:t>
            </w:r>
          </w:p>
        </w:tc>
        <w:tc>
          <w:tcPr>
            <w:tcW w:type="dxa" w:w="1170"/>
          </w:tcPr>
          <w:p>
            <w:r/>
            <w:r>
              <w:rPr>
                <w:rFonts w:ascii="Inter" w:hAnsi="Inter" w:cs="Inter"/>
                <w:b w:val="0"/>
                <w:i w:val="0"/>
                <w:color w:val="2D2D2D"/>
                <w:sz w:val="19"/>
              </w:rPr>
              <w:t>OBC-P-001</w:t>
            </w:r>
          </w:p>
        </w:tc>
        <w:tc>
          <w:tcPr>
            <w:tcW w:type="dxa" w:w="1170"/>
          </w:tcPr>
          <w:p>
            <w:r/>
            <w:r>
              <w:rPr>
                <w:rFonts w:ascii="Inter" w:hAnsi="Inter" w:cs="Inter"/>
                <w:b w:val="0"/>
                <w:i w:val="0"/>
                <w:color w:val="2D2D2D"/>
                <w:sz w:val="19"/>
              </w:rPr>
              <w:t>Database system development (cloud-based)</w:t>
            </w:r>
          </w:p>
        </w:tc>
        <w:tc>
          <w:tcPr>
            <w:tcW w:type="dxa" w:w="1170"/>
          </w:tcPr>
          <w:p>
            <w:r/>
            <w:r>
              <w:rPr>
                <w:rFonts w:ascii="Inter" w:hAnsi="Inter" w:cs="Inter"/>
                <w:b w:val="0"/>
                <w:i w:val="0"/>
                <w:color w:val="2D2D2D"/>
                <w:sz w:val="19"/>
              </w:rPr>
              <w:t>1</w:t>
            </w:r>
          </w:p>
        </w:tc>
        <w:tc>
          <w:tcPr>
            <w:tcW w:type="dxa" w:w="1170"/>
          </w:tcPr>
          <w:p>
            <w:r/>
            <w:r>
              <w:rPr>
                <w:rFonts w:ascii="Inter" w:hAnsi="Inter" w:cs="Inter"/>
                <w:b w:val="0"/>
                <w:i w:val="0"/>
                <w:color w:val="2D2D2D"/>
                <w:sz w:val="19"/>
              </w:rPr>
              <w:t>PhP 800,000</w:t>
            </w:r>
          </w:p>
        </w:tc>
        <w:tc>
          <w:tcPr>
            <w:tcW w:type="dxa" w:w="1170"/>
          </w:tcPr>
          <w:p>
            <w:r/>
            <w:r>
              <w:rPr>
                <w:rFonts w:ascii="Inter" w:hAnsi="Inter" w:cs="Inter"/>
                <w:b w:val="0"/>
                <w:i w:val="0"/>
                <w:color w:val="2D2D2D"/>
                <w:sz w:val="19"/>
              </w:rPr>
              <w:t>PhP 800,000</w:t>
            </w:r>
          </w:p>
        </w:tc>
        <w:tc>
          <w:tcPr>
            <w:tcW w:type="dxa" w:w="1170"/>
          </w:tcPr>
          <w:p>
            <w:r/>
            <w:r>
              <w:rPr>
                <w:rFonts w:ascii="Inter" w:hAnsi="Inter" w:cs="Inter"/>
                <w:b w:val="0"/>
                <w:i w:val="0"/>
                <w:color w:val="2D2D2D"/>
                <w:sz w:val="19"/>
              </w:rPr>
              <w:t>Competitive Bidding</w:t>
            </w:r>
          </w:p>
        </w:tc>
        <w:tc>
          <w:tcPr>
            <w:tcW w:type="dxa" w:w="1170"/>
          </w:tcPr>
          <w:p>
            <w:r/>
            <w:r>
              <w:rPr>
                <w:rFonts w:ascii="Inter" w:hAnsi="Inter" w:cs="Inter"/>
                <w:b w:val="0"/>
                <w:i w:val="0"/>
                <w:color w:val="2D2D2D"/>
                <w:sz w:val="19"/>
              </w:rPr>
              <w:t>Q1</w:t>
            </w:r>
          </w:p>
        </w:tc>
      </w:tr>
      <w:tr>
        <w:tc>
          <w:tcPr>
            <w:tcW w:type="dxa" w:w="1170"/>
            <w:shd w:fill="F0F3F6"/>
          </w:tcPr>
          <w:p>
            <w:r/>
            <w:r>
              <w:rPr>
                <w:rFonts w:ascii="Inter" w:hAnsi="Inter" w:cs="Inter"/>
                <w:b w:val="0"/>
                <w:i w:val="0"/>
                <w:color w:val="2D2D2D"/>
                <w:sz w:val="19"/>
              </w:rPr>
              <w:t>4</w:t>
            </w:r>
          </w:p>
        </w:tc>
        <w:tc>
          <w:tcPr>
            <w:tcW w:type="dxa" w:w="1170"/>
            <w:shd w:fill="F0F3F6"/>
          </w:tcPr>
          <w:p>
            <w:r/>
            <w:r>
              <w:rPr>
                <w:rFonts w:ascii="Inter" w:hAnsi="Inter" w:cs="Inter"/>
                <w:b w:val="0"/>
                <w:i w:val="0"/>
                <w:color w:val="2D2D2D"/>
                <w:sz w:val="19"/>
              </w:rPr>
              <w:t>OBC-P-001</w:t>
            </w:r>
          </w:p>
        </w:tc>
        <w:tc>
          <w:tcPr>
            <w:tcW w:type="dxa" w:w="1170"/>
            <w:shd w:fill="F0F3F6"/>
          </w:tcPr>
          <w:p>
            <w:r/>
            <w:r>
              <w:rPr>
                <w:rFonts w:ascii="Inter" w:hAnsi="Inter" w:cs="Inter"/>
                <w:b w:val="0"/>
                <w:i w:val="0"/>
                <w:color w:val="2D2D2D"/>
                <w:sz w:val="19"/>
              </w:rPr>
              <w:t>Portable printer/scanner units (field offices)</w:t>
            </w:r>
          </w:p>
        </w:tc>
        <w:tc>
          <w:tcPr>
            <w:tcW w:type="dxa" w:w="1170"/>
            <w:shd w:fill="F0F3F6"/>
          </w:tcPr>
          <w:p>
            <w:r/>
            <w:r>
              <w:rPr>
                <w:rFonts w:ascii="Inter" w:hAnsi="Inter" w:cs="Inter"/>
                <w:b w:val="0"/>
                <w:i w:val="0"/>
                <w:color w:val="2D2D2D"/>
                <w:sz w:val="19"/>
              </w:rPr>
              <w:t>4</w:t>
            </w:r>
          </w:p>
        </w:tc>
        <w:tc>
          <w:tcPr>
            <w:tcW w:type="dxa" w:w="1170"/>
            <w:shd w:fill="F0F3F6"/>
          </w:tcPr>
          <w:p>
            <w:r/>
            <w:r>
              <w:rPr>
                <w:rFonts w:ascii="Inter" w:hAnsi="Inter" w:cs="Inter"/>
                <w:b w:val="0"/>
                <w:i w:val="0"/>
                <w:color w:val="2D2D2D"/>
                <w:sz w:val="19"/>
              </w:rPr>
              <w:t>PhP 35,000</w:t>
            </w:r>
          </w:p>
        </w:tc>
        <w:tc>
          <w:tcPr>
            <w:tcW w:type="dxa" w:w="1170"/>
            <w:shd w:fill="F0F3F6"/>
          </w:tcPr>
          <w:p>
            <w:r/>
            <w:r>
              <w:rPr>
                <w:rFonts w:ascii="Inter" w:hAnsi="Inter" w:cs="Inter"/>
                <w:b w:val="0"/>
                <w:i w:val="0"/>
                <w:color w:val="2D2D2D"/>
                <w:sz w:val="19"/>
              </w:rPr>
              <w:t>PhP 140,000</w:t>
            </w:r>
          </w:p>
        </w:tc>
        <w:tc>
          <w:tcPr>
            <w:tcW w:type="dxa" w:w="1170"/>
            <w:shd w:fill="F0F3F6"/>
          </w:tcPr>
          <w:p>
            <w:r/>
            <w:r>
              <w:rPr>
                <w:rFonts w:ascii="Inter" w:hAnsi="Inter" w:cs="Inter"/>
                <w:b w:val="0"/>
                <w:i w:val="0"/>
                <w:color w:val="2D2D2D"/>
                <w:sz w:val="19"/>
              </w:rPr>
              <w:t>Shopping</w:t>
            </w:r>
          </w:p>
        </w:tc>
        <w:tc>
          <w:tcPr>
            <w:tcW w:type="dxa" w:w="1170"/>
            <w:shd w:fill="F0F3F6"/>
          </w:tcPr>
          <w:p>
            <w:r/>
            <w:r>
              <w:rPr>
                <w:rFonts w:ascii="Inter" w:hAnsi="Inter" w:cs="Inter"/>
                <w:b w:val="0"/>
                <w:i w:val="0"/>
                <w:color w:val="2D2D2D"/>
                <w:sz w:val="19"/>
              </w:rPr>
              <w:t>Q1</w:t>
            </w:r>
          </w:p>
        </w:tc>
      </w:tr>
      <w:tr>
        <w:tc>
          <w:tcPr>
            <w:tcW w:type="dxa" w:w="1170"/>
          </w:tcPr>
          <w:p>
            <w:r/>
            <w:r>
              <w:rPr>
                <w:rFonts w:ascii="Inter" w:hAnsi="Inter" w:cs="Inter"/>
                <w:b w:val="0"/>
                <w:i w:val="0"/>
                <w:color w:val="2D2D2D"/>
                <w:sz w:val="19"/>
              </w:rPr>
              <w:t>5</w:t>
            </w:r>
          </w:p>
        </w:tc>
        <w:tc>
          <w:tcPr>
            <w:tcW w:type="dxa" w:w="1170"/>
          </w:tcPr>
          <w:p>
            <w:r/>
            <w:r>
              <w:rPr>
                <w:rFonts w:ascii="Inter" w:hAnsi="Inter" w:cs="Inter"/>
                <w:b w:val="0"/>
                <w:i w:val="0"/>
                <w:color w:val="2D2D2D"/>
                <w:sz w:val="19"/>
              </w:rPr>
              <w:t>OBC-P-002</w:t>
            </w:r>
          </w:p>
        </w:tc>
        <w:tc>
          <w:tcPr>
            <w:tcW w:type="dxa" w:w="1170"/>
          </w:tcPr>
          <w:p>
            <w:r/>
            <w:r>
              <w:rPr>
                <w:rFonts w:ascii="Inter" w:hAnsi="Inter" w:cs="Inter"/>
                <w:b w:val="0"/>
                <w:i w:val="0"/>
                <w:color w:val="2D2D2D"/>
                <w:sz w:val="19"/>
              </w:rPr>
              <w:t>Travel and coordination expenses (MOU negotiations)</w:t>
            </w:r>
          </w:p>
        </w:tc>
        <w:tc>
          <w:tcPr>
            <w:tcW w:type="dxa" w:w="1170"/>
          </w:tcPr>
          <w:p>
            <w:r/>
            <w:r>
              <w:rPr>
                <w:rFonts w:ascii="Inter" w:hAnsi="Inter" w:cs="Inter"/>
                <w:b w:val="0"/>
                <w:i w:val="0"/>
                <w:color w:val="2D2D2D"/>
                <w:sz w:val="19"/>
              </w:rPr>
              <w:t>Lump sum</w:t>
            </w:r>
          </w:p>
        </w:tc>
        <w:tc>
          <w:tcPr>
            <w:tcW w:type="dxa" w:w="1170"/>
          </w:tcPr>
          <w:p>
            <w:r/>
            <w:r>
              <w:rPr>
                <w:rFonts w:ascii="Inter" w:hAnsi="Inter" w:cs="Inter"/>
                <w:b w:val="0"/>
                <w:i w:val="0"/>
                <w:color w:val="2D2D2D"/>
                <w:sz w:val="19"/>
              </w:rPr>
              <w:t>---</w:t>
            </w:r>
          </w:p>
        </w:tc>
        <w:tc>
          <w:tcPr>
            <w:tcW w:type="dxa" w:w="1170"/>
          </w:tcPr>
          <w:p>
            <w:r/>
            <w:r>
              <w:rPr>
                <w:rFonts w:ascii="Inter" w:hAnsi="Inter" w:cs="Inter"/>
                <w:b w:val="0"/>
                <w:i w:val="0"/>
                <w:color w:val="2D2D2D"/>
                <w:sz w:val="19"/>
              </w:rPr>
              <w:t>PhP 235,000</w:t>
            </w:r>
          </w:p>
        </w:tc>
        <w:tc>
          <w:tcPr>
            <w:tcW w:type="dxa" w:w="1170"/>
          </w:tcPr>
          <w:p>
            <w:r/>
            <w:r>
              <w:rPr>
                <w:rFonts w:ascii="Inter" w:hAnsi="Inter" w:cs="Inter"/>
                <w:b w:val="0"/>
                <w:i w:val="0"/>
                <w:color w:val="2D2D2D"/>
                <w:sz w:val="19"/>
              </w:rPr>
              <w:t>Direct Contracting</w:t>
            </w:r>
          </w:p>
        </w:tc>
        <w:tc>
          <w:tcPr>
            <w:tcW w:type="dxa" w:w="1170"/>
          </w:tcPr>
          <w:p>
            <w:r/>
            <w:r>
              <w:rPr>
                <w:rFonts w:ascii="Inter" w:hAnsi="Inter" w:cs="Inter"/>
                <w:b w:val="0"/>
                <w:i w:val="0"/>
                <w:color w:val="2D2D2D"/>
                <w:sz w:val="19"/>
              </w:rPr>
              <w:t>Q1-Q4</w:t>
            </w:r>
          </w:p>
        </w:tc>
      </w:tr>
    </w:tbl>
    <w:p/>
    <w:p>
      <w:pPr>
        <w:pStyle w:val="Heading3"/>
      </w:pPr>
      <w:r>
        <w:rPr>
          <w:rFonts w:ascii="Inter" w:hAnsi="Inter" w:cs="Inter"/>
          <w:b/>
          <w:i w:val="0"/>
          <w:color w:val="2C5F7C"/>
          <w:sz w:val="26"/>
        </w:rPr>
        <w:t>PART V: ACCOUNTABILITY</w:t>
      </w:r>
    </w:p>
    <w:p>
      <w:pPr>
        <w:pStyle w:val="Heading4"/>
      </w:pPr>
      <w:r>
        <w:rPr>
          <w:rFonts w:ascii="Inter" w:hAnsi="Inter" w:cs="Inter"/>
          <w:b/>
          <w:i/>
          <w:color w:val="2C5F7C"/>
          <w:sz w:val="23"/>
        </w:rPr>
        <w:t>Section 5.1: M&amp;E Framework (from Chapter 11)</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65D"/>
          </w:tcPr>
          <w:p>
            <w:r/>
            <w:r>
              <w:rPr>
                <w:rFonts w:ascii="Inter" w:hAnsi="Inter" w:cs="Inter"/>
                <w:b/>
                <w:i w:val="0"/>
                <w:color w:val="FFFFFF"/>
                <w:sz w:val="19"/>
              </w:rPr>
              <w:t>Results Level</w:t>
            </w:r>
          </w:p>
        </w:tc>
        <w:tc>
          <w:tcPr>
            <w:tcW w:type="dxa" w:w="936"/>
            <w:shd w:fill="1B365D"/>
          </w:tcPr>
          <w:p>
            <w:r/>
            <w:r>
              <w:rPr>
                <w:rFonts w:ascii="Inter" w:hAnsi="Inter" w:cs="Inter"/>
                <w:b/>
                <w:i w:val="0"/>
                <w:color w:val="FFFFFF"/>
                <w:sz w:val="19"/>
              </w:rPr>
              <w:t>Result Statement</w:t>
            </w:r>
          </w:p>
        </w:tc>
        <w:tc>
          <w:tcPr>
            <w:tcW w:type="dxa" w:w="936"/>
            <w:shd w:fill="1B365D"/>
          </w:tcPr>
          <w:p>
            <w:r/>
            <w:r>
              <w:rPr>
                <w:rFonts w:ascii="Inter" w:hAnsi="Inter" w:cs="Inter"/>
                <w:b/>
                <w:i w:val="0"/>
                <w:color w:val="FFFFFF"/>
                <w:sz w:val="19"/>
              </w:rPr>
              <w:t>Indicator</w:t>
            </w:r>
          </w:p>
        </w:tc>
        <w:tc>
          <w:tcPr>
            <w:tcW w:type="dxa" w:w="936"/>
            <w:shd w:fill="1B365D"/>
          </w:tcPr>
          <w:p>
            <w:r/>
            <w:r>
              <w:rPr>
                <w:rFonts w:ascii="Inter" w:hAnsi="Inter" w:cs="Inter"/>
                <w:b/>
                <w:i w:val="0"/>
                <w:color w:val="FFFFFF"/>
                <w:sz w:val="19"/>
              </w:rPr>
              <w:t>Baseline</w:t>
            </w:r>
          </w:p>
        </w:tc>
        <w:tc>
          <w:tcPr>
            <w:tcW w:type="dxa" w:w="936"/>
            <w:shd w:fill="1B365D"/>
          </w:tcPr>
          <w:p>
            <w:r/>
            <w:r>
              <w:rPr>
                <w:rFonts w:ascii="Inter" w:hAnsi="Inter" w:cs="Inter"/>
                <w:b/>
                <w:i w:val="0"/>
                <w:color w:val="FFFFFF"/>
                <w:sz w:val="19"/>
              </w:rPr>
              <w:t>Yr 1</w:t>
            </w:r>
          </w:p>
        </w:tc>
        <w:tc>
          <w:tcPr>
            <w:tcW w:type="dxa" w:w="936"/>
            <w:shd w:fill="1B365D"/>
          </w:tcPr>
          <w:p>
            <w:r/>
            <w:r>
              <w:rPr>
                <w:rFonts w:ascii="Inter" w:hAnsi="Inter" w:cs="Inter"/>
                <w:b/>
                <w:i w:val="0"/>
                <w:color w:val="FFFFFF"/>
                <w:sz w:val="19"/>
              </w:rPr>
              <w:t>Yr 2</w:t>
            </w:r>
          </w:p>
        </w:tc>
        <w:tc>
          <w:tcPr>
            <w:tcW w:type="dxa" w:w="936"/>
            <w:shd w:fill="1B365D"/>
          </w:tcPr>
          <w:p>
            <w:r/>
            <w:r>
              <w:rPr>
                <w:rFonts w:ascii="Inter" w:hAnsi="Inter" w:cs="Inter"/>
                <w:b/>
                <w:i w:val="0"/>
                <w:color w:val="FFFFFF"/>
                <w:sz w:val="19"/>
              </w:rPr>
              <w:t>Yr 3</w:t>
            </w:r>
          </w:p>
        </w:tc>
        <w:tc>
          <w:tcPr>
            <w:tcW w:type="dxa" w:w="936"/>
            <w:shd w:fill="1B365D"/>
          </w:tcPr>
          <w:p>
            <w:r/>
            <w:r>
              <w:rPr>
                <w:rFonts w:ascii="Inter" w:hAnsi="Inter" w:cs="Inter"/>
                <w:b/>
                <w:i w:val="0"/>
                <w:color w:val="FFFFFF"/>
                <w:sz w:val="19"/>
              </w:rPr>
              <w:t>Data Source</w:t>
            </w:r>
          </w:p>
        </w:tc>
        <w:tc>
          <w:tcPr>
            <w:tcW w:type="dxa" w:w="936"/>
            <w:shd w:fill="1B365D"/>
          </w:tcPr>
          <w:p>
            <w:r/>
            <w:r>
              <w:rPr>
                <w:rFonts w:ascii="Inter" w:hAnsi="Inter" w:cs="Inter"/>
                <w:b/>
                <w:i w:val="0"/>
                <w:color w:val="FFFFFF"/>
                <w:sz w:val="19"/>
              </w:rPr>
              <w:t>Frequency</w:t>
            </w:r>
          </w:p>
        </w:tc>
        <w:tc>
          <w:tcPr>
            <w:tcW w:type="dxa" w:w="936"/>
            <w:shd w:fill="1B365D"/>
          </w:tcPr>
          <w:p>
            <w:r/>
            <w:r>
              <w:rPr>
                <w:rFonts w:ascii="Inter" w:hAnsi="Inter" w:cs="Inter"/>
                <w:b/>
                <w:i w:val="0"/>
                <w:color w:val="FFFFFF"/>
                <w:sz w:val="19"/>
              </w:rPr>
              <w:t>Responsible</w:t>
            </w:r>
          </w:p>
        </w:tc>
      </w:tr>
      <w:tr>
        <w:tc>
          <w:tcPr>
            <w:tcW w:type="dxa" w:w="936"/>
          </w:tcPr>
          <w:p>
            <w:r/>
            <w:r>
              <w:rPr>
                <w:rFonts w:ascii="Inter" w:hAnsi="Inter" w:cs="Inter"/>
                <w:b w:val="0"/>
                <w:i w:val="0"/>
                <w:color w:val="2D2D2D"/>
                <w:sz w:val="19"/>
              </w:rPr>
              <w:t>**Impact**</w:t>
            </w:r>
          </w:p>
        </w:tc>
        <w:tc>
          <w:tcPr>
            <w:tcW w:type="dxa" w:w="936"/>
          </w:tcPr>
          <w:p>
            <w:r/>
            <w:r>
              <w:rPr>
                <w:rFonts w:ascii="Inter" w:hAnsi="Inter" w:cs="Inter"/>
                <w:b w:val="0"/>
                <w:i w:val="0"/>
                <w:color w:val="2D2D2D"/>
                <w:sz w:val="19"/>
              </w:rPr>
              <w:t>All Bangsamoro enjoy equitable access to services regardless of location</w:t>
            </w:r>
          </w:p>
        </w:tc>
        <w:tc>
          <w:tcPr>
            <w:tcW w:type="dxa" w:w="936"/>
          </w:tcPr>
          <w:p>
            <w:r/>
            <w:r>
              <w:rPr>
                <w:rFonts w:ascii="Inter" w:hAnsi="Inter" w:cs="Inter"/>
                <w:b w:val="0"/>
                <w:i w:val="0"/>
                <w:color w:val="2D2D2D"/>
                <w:sz w:val="19"/>
              </w:rPr>
              <w:t>IMP-01: Service access gap between BARMM residents and OBCs (index)</w:t>
            </w:r>
          </w:p>
        </w:tc>
        <w:tc>
          <w:tcPr>
            <w:tcW w:type="dxa" w:w="936"/>
          </w:tcPr>
          <w:p>
            <w:r/>
            <w:r>
              <w:rPr>
                <w:rFonts w:ascii="Inter" w:hAnsi="Inter" w:cs="Inter"/>
                <w:b w:val="0"/>
                <w:i w:val="0"/>
                <w:color w:val="2D2D2D"/>
                <w:sz w:val="19"/>
              </w:rPr>
              <w:t>To be established (FY 2026)</w:t>
            </w:r>
          </w:p>
        </w:tc>
        <w:tc>
          <w:tcPr>
            <w:tcW w:type="dxa" w:w="936"/>
          </w:tcPr>
          <w:p>
            <w:r/>
            <w:r>
              <w:rPr>
                <w:rFonts w:ascii="Inter" w:hAnsi="Inter" w:cs="Inter"/>
                <w:b w:val="0"/>
                <w:i w:val="0"/>
                <w:color w:val="2D2D2D"/>
                <w:sz w:val="19"/>
              </w:rPr>
              <w:t>Baseline set</w:t>
            </w:r>
          </w:p>
        </w:tc>
        <w:tc>
          <w:tcPr>
            <w:tcW w:type="dxa" w:w="936"/>
          </w:tcPr>
          <w:p>
            <w:r/>
            <w:r>
              <w:rPr>
                <w:rFonts w:ascii="Inter" w:hAnsi="Inter" w:cs="Inter"/>
                <w:b w:val="0"/>
                <w:i w:val="0"/>
                <w:color w:val="2D2D2D"/>
                <w:sz w:val="19"/>
              </w:rPr>
              <w:t>15% reduction</w:t>
            </w:r>
          </w:p>
        </w:tc>
        <w:tc>
          <w:tcPr>
            <w:tcW w:type="dxa" w:w="936"/>
          </w:tcPr>
          <w:p>
            <w:r/>
            <w:r>
              <w:rPr>
                <w:rFonts w:ascii="Inter" w:hAnsi="Inter" w:cs="Inter"/>
                <w:b w:val="0"/>
                <w:i w:val="0"/>
                <w:color w:val="2D2D2D"/>
                <w:sz w:val="19"/>
              </w:rPr>
              <w:t>30% reduction</w:t>
            </w:r>
          </w:p>
        </w:tc>
        <w:tc>
          <w:tcPr>
            <w:tcW w:type="dxa" w:w="936"/>
          </w:tcPr>
          <w:p>
            <w:r/>
            <w:r>
              <w:rPr>
                <w:rFonts w:ascii="Inter" w:hAnsi="Inter" w:cs="Inter"/>
                <w:b w:val="0"/>
                <w:i w:val="0"/>
                <w:color w:val="2D2D2D"/>
                <w:sz w:val="19"/>
              </w:rPr>
              <w:t>OOBC Service Access Survey</w:t>
            </w:r>
          </w:p>
        </w:tc>
        <w:tc>
          <w:tcPr>
            <w:tcW w:type="dxa" w:w="936"/>
          </w:tcPr>
          <w:p>
            <w:r/>
            <w:r>
              <w:rPr>
                <w:rFonts w:ascii="Inter" w:hAnsi="Inter" w:cs="Inter"/>
                <w:b w:val="0"/>
                <w:i w:val="0"/>
                <w:color w:val="2D2D2D"/>
                <w:sz w:val="19"/>
              </w:rPr>
              <w:t>Annually</w:t>
            </w:r>
          </w:p>
        </w:tc>
        <w:tc>
          <w:tcPr>
            <w:tcW w:type="dxa" w:w="936"/>
          </w:tcPr>
          <w:p>
            <w:r/>
            <w:r>
              <w:rPr>
                <w:rFonts w:ascii="Inter" w:hAnsi="Inter" w:cs="Inter"/>
                <w:b w:val="0"/>
                <w:i w:val="0"/>
                <w:color w:val="2D2D2D"/>
                <w:sz w:val="19"/>
              </w:rPr>
              <w:t>Planning Officer</w:t>
            </w:r>
          </w:p>
        </w:tc>
      </w:tr>
      <w:tr>
        <w:tc>
          <w:tcPr>
            <w:tcW w:type="dxa" w:w="936"/>
            <w:shd w:fill="F0F3F6"/>
          </w:tcPr>
          <w:p>
            <w:r/>
            <w:r>
              <w:rPr>
                <w:rFonts w:ascii="Inter" w:hAnsi="Inter" w:cs="Inter"/>
                <w:b w:val="0"/>
                <w:i w:val="0"/>
                <w:color w:val="2D2D2D"/>
                <w:sz w:val="19"/>
              </w:rPr>
              <w:t>**MTO-1**</w:t>
            </w:r>
          </w:p>
        </w:tc>
        <w:tc>
          <w:tcPr>
            <w:tcW w:type="dxa" w:w="936"/>
            <w:shd w:fill="F0F3F6"/>
          </w:tcPr>
          <w:p>
            <w:r/>
            <w:r>
              <w:rPr>
                <w:rFonts w:ascii="Inter" w:hAnsi="Inter" w:cs="Inter"/>
                <w:b w:val="0"/>
                <w:i w:val="0"/>
                <w:color w:val="2D2D2D"/>
                <w:sz w:val="19"/>
              </w:rPr>
              <w:t>Comprehensive picture of OBC populations enables evidence-based planning</w:t>
            </w:r>
          </w:p>
        </w:tc>
        <w:tc>
          <w:tcPr>
            <w:tcW w:type="dxa" w:w="936"/>
            <w:shd w:fill="F0F3F6"/>
          </w:tcPr>
          <w:p>
            <w:r/>
            <w:r>
              <w:rPr>
                <w:rFonts w:ascii="Inter" w:hAnsi="Inter" w:cs="Inter"/>
                <w:b w:val="0"/>
                <w:i w:val="0"/>
                <w:color w:val="2D2D2D"/>
                <w:sz w:val="19"/>
              </w:rPr>
              <w:t>OUT-01: Provinces with completed and validated community profiles</w:t>
            </w:r>
          </w:p>
        </w:tc>
        <w:tc>
          <w:tcPr>
            <w:tcW w:type="dxa" w:w="936"/>
            <w:shd w:fill="F0F3F6"/>
          </w:tcPr>
          <w:p>
            <w:r/>
            <w:r>
              <w:rPr>
                <w:rFonts w:ascii="Inter" w:hAnsi="Inter" w:cs="Inter"/>
                <w:b w:val="0"/>
                <w:i w:val="0"/>
                <w:color w:val="2D2D2D"/>
                <w:sz w:val="19"/>
              </w:rPr>
              <w:t>0</w:t>
            </w:r>
          </w:p>
        </w:tc>
        <w:tc>
          <w:tcPr>
            <w:tcW w:type="dxa" w:w="936"/>
            <w:shd w:fill="F0F3F6"/>
          </w:tcPr>
          <w:p>
            <w:r/>
            <w:r>
              <w:rPr>
                <w:rFonts w:ascii="Inter" w:hAnsi="Inter" w:cs="Inter"/>
                <w:b w:val="0"/>
                <w:i w:val="0"/>
                <w:color w:val="2D2D2D"/>
                <w:sz w:val="19"/>
              </w:rPr>
              <w:t>5</w:t>
            </w:r>
          </w:p>
        </w:tc>
        <w:tc>
          <w:tcPr>
            <w:tcW w:type="dxa" w:w="936"/>
            <w:shd w:fill="F0F3F6"/>
          </w:tcPr>
          <w:p>
            <w:r/>
            <w:r>
              <w:rPr>
                <w:rFonts w:ascii="Inter" w:hAnsi="Inter" w:cs="Inter"/>
                <w:b w:val="0"/>
                <w:i w:val="0"/>
                <w:color w:val="2D2D2D"/>
                <w:sz w:val="19"/>
              </w:rPr>
              <w:t>10</w:t>
            </w:r>
          </w:p>
        </w:tc>
        <w:tc>
          <w:tcPr>
            <w:tcW w:type="dxa" w:w="936"/>
            <w:shd w:fill="F0F3F6"/>
          </w:tcPr>
          <w:p>
            <w:r/>
            <w:r>
              <w:rPr>
                <w:rFonts w:ascii="Inter" w:hAnsi="Inter" w:cs="Inter"/>
                <w:b w:val="0"/>
                <w:i w:val="0"/>
                <w:color w:val="2D2D2D"/>
                <w:sz w:val="19"/>
              </w:rPr>
              <w:t>15</w:t>
            </w:r>
          </w:p>
        </w:tc>
        <w:tc>
          <w:tcPr>
            <w:tcW w:type="dxa" w:w="936"/>
            <w:shd w:fill="F0F3F6"/>
          </w:tcPr>
          <w:p>
            <w:r/>
            <w:r>
              <w:rPr>
                <w:rFonts w:ascii="Inter" w:hAnsi="Inter" w:cs="Inter"/>
                <w:b w:val="0"/>
                <w:i w:val="0"/>
                <w:color w:val="2D2D2D"/>
                <w:sz w:val="19"/>
              </w:rPr>
              <w:t>OOBC Database System</w:t>
            </w:r>
          </w:p>
        </w:tc>
        <w:tc>
          <w:tcPr>
            <w:tcW w:type="dxa" w:w="936"/>
            <w:shd w:fill="F0F3F6"/>
          </w:tcPr>
          <w:p>
            <w:r/>
            <w:r>
              <w:rPr>
                <w:rFonts w:ascii="Inter" w:hAnsi="Inter" w:cs="Inter"/>
                <w:b w:val="0"/>
                <w:i w:val="0"/>
                <w:color w:val="2D2D2D"/>
                <w:sz w:val="19"/>
              </w:rPr>
              <w:t>Quarterly</w:t>
            </w:r>
          </w:p>
        </w:tc>
        <w:tc>
          <w:tcPr>
            <w:tcW w:type="dxa" w:w="936"/>
            <w:shd w:fill="F0F3F6"/>
          </w:tcPr>
          <w:p>
            <w:r/>
            <w:r>
              <w:rPr>
                <w:rFonts w:ascii="Inter" w:hAnsi="Inter" w:cs="Inter"/>
                <w:b w:val="0"/>
                <w:i w:val="0"/>
                <w:color w:val="2D2D2D"/>
                <w:sz w:val="19"/>
              </w:rPr>
              <w:t>Program Coordinator</w:t>
            </w:r>
          </w:p>
        </w:tc>
      </w:tr>
      <w:tr>
        <w:tc>
          <w:tcPr>
            <w:tcW w:type="dxa" w:w="936"/>
          </w:tcPr>
          <w:p>
            <w:r/>
            <w:r>
              <w:rPr>
                <w:rFonts w:ascii="Inter" w:hAnsi="Inter" w:cs="Inter"/>
                <w:b w:val="0"/>
                <w:i w:val="0"/>
                <w:color w:val="2D2D2D"/>
                <w:sz w:val="19"/>
              </w:rPr>
              <w:t>**MTO-2**</w:t>
            </w:r>
          </w:p>
        </w:tc>
        <w:tc>
          <w:tcPr>
            <w:tcW w:type="dxa" w:w="936"/>
          </w:tcPr>
          <w:p>
            <w:r/>
            <w:r>
              <w:rPr>
                <w:rFonts w:ascii="Inter" w:hAnsi="Inter" w:cs="Inter"/>
                <w:b w:val="0"/>
                <w:i w:val="0"/>
                <w:color w:val="2D2D2D"/>
                <w:sz w:val="19"/>
              </w:rPr>
              <w:t>Formal coordination mechanisms sustain OBC service delivery</w:t>
            </w:r>
          </w:p>
        </w:tc>
        <w:tc>
          <w:tcPr>
            <w:tcW w:type="dxa" w:w="936"/>
          </w:tcPr>
          <w:p>
            <w:r/>
            <w:r>
              <w:rPr>
                <w:rFonts w:ascii="Inter" w:hAnsi="Inter" w:cs="Inter"/>
                <w:b w:val="0"/>
                <w:i w:val="0"/>
                <w:color w:val="2D2D2D"/>
                <w:sz w:val="19"/>
              </w:rPr>
              <w:t>OUT-02: Active MOUs with LGUs and NGAs</w:t>
            </w:r>
          </w:p>
        </w:tc>
        <w:tc>
          <w:tcPr>
            <w:tcW w:type="dxa" w:w="936"/>
          </w:tcPr>
          <w:p>
            <w:r/>
            <w:r>
              <w:rPr>
                <w:rFonts w:ascii="Inter" w:hAnsi="Inter" w:cs="Inter"/>
                <w:b w:val="0"/>
                <w:i w:val="0"/>
                <w:color w:val="2D2D2D"/>
                <w:sz w:val="19"/>
              </w:rPr>
              <w:t>2 (informal)</w:t>
            </w:r>
          </w:p>
        </w:tc>
        <w:tc>
          <w:tcPr>
            <w:tcW w:type="dxa" w:w="936"/>
          </w:tcPr>
          <w:p>
            <w:r/>
            <w:r>
              <w:rPr>
                <w:rFonts w:ascii="Inter" w:hAnsi="Inter" w:cs="Inter"/>
                <w:b w:val="0"/>
                <w:i w:val="0"/>
                <w:color w:val="2D2D2D"/>
                <w:sz w:val="19"/>
              </w:rPr>
              <w:t>8</w:t>
            </w:r>
          </w:p>
        </w:tc>
        <w:tc>
          <w:tcPr>
            <w:tcW w:type="dxa" w:w="936"/>
          </w:tcPr>
          <w:p>
            <w:r/>
            <w:r>
              <w:rPr>
                <w:rFonts w:ascii="Inter" w:hAnsi="Inter" w:cs="Inter"/>
                <w:b w:val="0"/>
                <w:i w:val="0"/>
                <w:color w:val="2D2D2D"/>
                <w:sz w:val="19"/>
              </w:rPr>
              <w:t>14</w:t>
            </w:r>
          </w:p>
        </w:tc>
        <w:tc>
          <w:tcPr>
            <w:tcW w:type="dxa" w:w="936"/>
          </w:tcPr>
          <w:p>
            <w:r/>
            <w:r>
              <w:rPr>
                <w:rFonts w:ascii="Inter" w:hAnsi="Inter" w:cs="Inter"/>
                <w:b w:val="0"/>
                <w:i w:val="0"/>
                <w:color w:val="2D2D2D"/>
                <w:sz w:val="19"/>
              </w:rPr>
              <w:t>17</w:t>
            </w:r>
          </w:p>
        </w:tc>
        <w:tc>
          <w:tcPr>
            <w:tcW w:type="dxa" w:w="936"/>
          </w:tcPr>
          <w:p>
            <w:r/>
            <w:r>
              <w:rPr>
                <w:rFonts w:ascii="Inter" w:hAnsi="Inter" w:cs="Inter"/>
                <w:b w:val="0"/>
                <w:i w:val="0"/>
                <w:color w:val="2D2D2D"/>
                <w:sz w:val="19"/>
              </w:rPr>
              <w:t>MOU Registry</w:t>
            </w:r>
          </w:p>
        </w:tc>
        <w:tc>
          <w:tcPr>
            <w:tcW w:type="dxa" w:w="936"/>
          </w:tcPr>
          <w:p>
            <w:r/>
            <w:r>
              <w:rPr>
                <w:rFonts w:ascii="Inter" w:hAnsi="Inter" w:cs="Inter"/>
                <w:b w:val="0"/>
                <w:i w:val="0"/>
                <w:color w:val="2D2D2D"/>
                <w:sz w:val="19"/>
              </w:rPr>
              <w:t>Quarterly</w:t>
            </w:r>
          </w:p>
        </w:tc>
        <w:tc>
          <w:tcPr>
            <w:tcW w:type="dxa" w:w="936"/>
          </w:tcPr>
          <w:p>
            <w:r/>
            <w:r>
              <w:rPr>
                <w:rFonts w:ascii="Inter" w:hAnsi="Inter" w:cs="Inter"/>
                <w:b w:val="0"/>
                <w:i w:val="0"/>
                <w:color w:val="2D2D2D"/>
                <w:sz w:val="19"/>
              </w:rPr>
              <w:t>Deputy Executive Director</w:t>
            </w:r>
          </w:p>
        </w:tc>
      </w:tr>
      <w:tr>
        <w:tc>
          <w:tcPr>
            <w:tcW w:type="dxa" w:w="936"/>
            <w:shd w:fill="F0F3F6"/>
          </w:tcPr>
          <w:p>
            <w:r/>
            <w:r>
              <w:rPr>
                <w:rFonts w:ascii="Inter" w:hAnsi="Inter" w:cs="Inter"/>
                <w:b w:val="0"/>
                <w:i w:val="0"/>
                <w:color w:val="2D2D2D"/>
                <w:sz w:val="19"/>
              </w:rPr>
              <w:t>**MTO-3**</w:t>
            </w:r>
          </w:p>
        </w:tc>
        <w:tc>
          <w:tcPr>
            <w:tcW w:type="dxa" w:w="936"/>
            <w:shd w:fill="F0F3F6"/>
          </w:tcPr>
          <w:p>
            <w:r/>
            <w:r>
              <w:rPr>
                <w:rFonts w:ascii="Inter" w:hAnsi="Inter" w:cs="Inter"/>
                <w:b w:val="0"/>
                <w:i w:val="0"/>
                <w:color w:val="2D2D2D"/>
                <w:sz w:val="19"/>
              </w:rPr>
              <w:t>OBC populations experience improved service access</w:t>
            </w:r>
          </w:p>
        </w:tc>
        <w:tc>
          <w:tcPr>
            <w:tcW w:type="dxa" w:w="936"/>
            <w:shd w:fill="F0F3F6"/>
          </w:tcPr>
          <w:p>
            <w:r/>
            <w:r>
              <w:rPr>
                <w:rFonts w:ascii="Inter" w:hAnsi="Inter" w:cs="Inter"/>
                <w:b w:val="0"/>
                <w:i w:val="0"/>
                <w:color w:val="2D2D2D"/>
                <w:sz w:val="19"/>
              </w:rPr>
              <w:t>OUT-03: OBC individuals enrolled in BARMM programs (cumulative)</w:t>
            </w:r>
          </w:p>
        </w:tc>
        <w:tc>
          <w:tcPr>
            <w:tcW w:type="dxa" w:w="936"/>
            <w:shd w:fill="F0F3F6"/>
          </w:tcPr>
          <w:p>
            <w:r/>
            <w:r>
              <w:rPr>
                <w:rFonts w:ascii="Inter" w:hAnsi="Inter" w:cs="Inter"/>
                <w:b w:val="0"/>
                <w:i w:val="0"/>
                <w:color w:val="2D2D2D"/>
                <w:sz w:val="19"/>
              </w:rPr>
              <w:t>1,200 (est.)</w:t>
            </w:r>
          </w:p>
        </w:tc>
        <w:tc>
          <w:tcPr>
            <w:tcW w:type="dxa" w:w="936"/>
            <w:shd w:fill="F0F3F6"/>
          </w:tcPr>
          <w:p>
            <w:r/>
            <w:r>
              <w:rPr>
                <w:rFonts w:ascii="Inter" w:hAnsi="Inter" w:cs="Inter"/>
                <w:b w:val="0"/>
                <w:i w:val="0"/>
                <w:color w:val="2D2D2D"/>
                <w:sz w:val="19"/>
              </w:rPr>
              <w:t>3,200</w:t>
            </w:r>
          </w:p>
        </w:tc>
        <w:tc>
          <w:tcPr>
            <w:tcW w:type="dxa" w:w="936"/>
            <w:shd w:fill="F0F3F6"/>
          </w:tcPr>
          <w:p>
            <w:r/>
            <w:r>
              <w:rPr>
                <w:rFonts w:ascii="Inter" w:hAnsi="Inter" w:cs="Inter"/>
                <w:b w:val="0"/>
                <w:i w:val="0"/>
                <w:color w:val="2D2D2D"/>
                <w:sz w:val="19"/>
              </w:rPr>
              <w:t>4,200</w:t>
            </w:r>
          </w:p>
        </w:tc>
        <w:tc>
          <w:tcPr>
            <w:tcW w:type="dxa" w:w="936"/>
            <w:shd w:fill="F0F3F6"/>
          </w:tcPr>
          <w:p>
            <w:r/>
            <w:r>
              <w:rPr>
                <w:rFonts w:ascii="Inter" w:hAnsi="Inter" w:cs="Inter"/>
                <w:b w:val="0"/>
                <w:i w:val="0"/>
                <w:color w:val="2D2D2D"/>
                <w:sz w:val="19"/>
              </w:rPr>
              <w:t>5,000</w:t>
            </w:r>
          </w:p>
        </w:tc>
        <w:tc>
          <w:tcPr>
            <w:tcW w:type="dxa" w:w="936"/>
            <w:shd w:fill="F0F3F6"/>
          </w:tcPr>
          <w:p>
            <w:r/>
            <w:r>
              <w:rPr>
                <w:rFonts w:ascii="Inter" w:hAnsi="Inter" w:cs="Inter"/>
                <w:b w:val="0"/>
                <w:i w:val="0"/>
                <w:color w:val="2D2D2D"/>
                <w:sz w:val="19"/>
              </w:rPr>
              <w:t>Service Referral Tracking System</w:t>
            </w:r>
          </w:p>
        </w:tc>
        <w:tc>
          <w:tcPr>
            <w:tcW w:type="dxa" w:w="936"/>
            <w:shd w:fill="F0F3F6"/>
          </w:tcPr>
          <w:p>
            <w:r/>
            <w:r>
              <w:rPr>
                <w:rFonts w:ascii="Inter" w:hAnsi="Inter" w:cs="Inter"/>
                <w:b w:val="0"/>
                <w:i w:val="0"/>
                <w:color w:val="2D2D2D"/>
                <w:sz w:val="19"/>
              </w:rPr>
              <w:t>Quarterly</w:t>
            </w:r>
          </w:p>
        </w:tc>
        <w:tc>
          <w:tcPr>
            <w:tcW w:type="dxa" w:w="936"/>
            <w:shd w:fill="F0F3F6"/>
          </w:tcPr>
          <w:p>
            <w:r/>
            <w:r>
              <w:rPr>
                <w:rFonts w:ascii="Inter" w:hAnsi="Inter" w:cs="Inter"/>
                <w:b w:val="0"/>
                <w:i w:val="0"/>
                <w:color w:val="2D2D2D"/>
                <w:sz w:val="19"/>
              </w:rPr>
              <w:t>Community Development Officer</w:t>
            </w:r>
          </w:p>
        </w:tc>
      </w:tr>
      <w:tr>
        <w:tc>
          <w:tcPr>
            <w:tcW w:type="dxa" w:w="936"/>
          </w:tcPr>
          <w:p>
            <w:r/>
            <w:r>
              <w:rPr>
                <w:rFonts w:ascii="Inter" w:hAnsi="Inter" w:cs="Inter"/>
                <w:b w:val="0"/>
                <w:i w:val="0"/>
                <w:color w:val="2D2D2D"/>
                <w:sz w:val="19"/>
              </w:rPr>
              <w:t>**Output**</w:t>
            </w:r>
          </w:p>
        </w:tc>
        <w:tc>
          <w:tcPr>
            <w:tcW w:type="dxa" w:w="936"/>
          </w:tcPr>
          <w:p>
            <w:r/>
            <w:r>
              <w:rPr>
                <w:rFonts w:ascii="Inter" w:hAnsi="Inter" w:cs="Inter"/>
                <w:b w:val="0"/>
                <w:i w:val="0"/>
                <w:color w:val="2D2D2D"/>
                <w:sz w:val="19"/>
              </w:rPr>
              <w:t>Database system operational</w:t>
            </w:r>
          </w:p>
        </w:tc>
        <w:tc>
          <w:tcPr>
            <w:tcW w:type="dxa" w:w="936"/>
          </w:tcPr>
          <w:p>
            <w:r/>
            <w:r>
              <w:rPr>
                <w:rFonts w:ascii="Inter" w:hAnsi="Inter" w:cs="Inter"/>
                <w:b w:val="0"/>
                <w:i w:val="0"/>
                <w:color w:val="2D2D2D"/>
                <w:sz w:val="19"/>
              </w:rPr>
              <w:t>OTP-01: Database deployed and operational</w:t>
            </w:r>
          </w:p>
        </w:tc>
        <w:tc>
          <w:tcPr>
            <w:tcW w:type="dxa" w:w="936"/>
          </w:tcPr>
          <w:p>
            <w:r/>
            <w:r>
              <w:rPr>
                <w:rFonts w:ascii="Inter" w:hAnsi="Inter" w:cs="Inter"/>
                <w:b w:val="0"/>
                <w:i w:val="0"/>
                <w:color w:val="2D2D2D"/>
                <w:sz w:val="19"/>
              </w:rPr>
              <w:t>0</w:t>
            </w:r>
          </w:p>
        </w:tc>
        <w:tc>
          <w:tcPr>
            <w:tcW w:type="dxa" w:w="936"/>
          </w:tcPr>
          <w:p>
            <w:r/>
            <w:r>
              <w:rPr>
                <w:rFonts w:ascii="Inter" w:hAnsi="Inter" w:cs="Inter"/>
                <w:b w:val="0"/>
                <w:i w:val="0"/>
                <w:color w:val="2D2D2D"/>
                <w:sz w:val="19"/>
              </w:rPr>
              <w:t>1 system</w:t>
            </w:r>
          </w:p>
        </w:tc>
        <w:tc>
          <w:tcPr>
            <w:tcW w:type="dxa" w:w="936"/>
          </w:tcPr>
          <w:p>
            <w:r/>
            <w:r>
              <w:rPr>
                <w:rFonts w:ascii="Inter" w:hAnsi="Inter" w:cs="Inter"/>
                <w:b w:val="0"/>
                <w:i w:val="0"/>
                <w:color w:val="2D2D2D"/>
                <w:sz w:val="19"/>
              </w:rPr>
              <w:t>Maintained</w:t>
            </w:r>
          </w:p>
        </w:tc>
        <w:tc>
          <w:tcPr>
            <w:tcW w:type="dxa" w:w="936"/>
          </w:tcPr>
          <w:p>
            <w:r/>
            <w:r>
              <w:rPr>
                <w:rFonts w:ascii="Inter" w:hAnsi="Inter" w:cs="Inter"/>
                <w:b w:val="0"/>
                <w:i w:val="0"/>
                <w:color w:val="2D2D2D"/>
                <w:sz w:val="19"/>
              </w:rPr>
              <w:t>Maintained</w:t>
            </w:r>
          </w:p>
        </w:tc>
        <w:tc>
          <w:tcPr>
            <w:tcW w:type="dxa" w:w="936"/>
          </w:tcPr>
          <w:p>
            <w:r/>
            <w:r>
              <w:rPr>
                <w:rFonts w:ascii="Inter" w:hAnsi="Inter" w:cs="Inter"/>
                <w:b w:val="0"/>
                <w:i w:val="0"/>
                <w:color w:val="2D2D2D"/>
                <w:sz w:val="19"/>
              </w:rPr>
              <w:t>IT records</w:t>
            </w:r>
          </w:p>
        </w:tc>
        <w:tc>
          <w:tcPr>
            <w:tcW w:type="dxa" w:w="936"/>
          </w:tcPr>
          <w:p>
            <w:r/>
            <w:r>
              <w:rPr>
                <w:rFonts w:ascii="Inter" w:hAnsi="Inter" w:cs="Inter"/>
                <w:b w:val="0"/>
                <w:i w:val="0"/>
                <w:color w:val="2D2D2D"/>
                <w:sz w:val="19"/>
              </w:rPr>
              <w:t>Quarterly</w:t>
            </w:r>
          </w:p>
        </w:tc>
        <w:tc>
          <w:tcPr>
            <w:tcW w:type="dxa" w:w="936"/>
          </w:tcPr>
          <w:p>
            <w:r/>
            <w:r>
              <w:rPr>
                <w:rFonts w:ascii="Inter" w:hAnsi="Inter" w:cs="Inter"/>
                <w:b w:val="0"/>
                <w:i w:val="0"/>
                <w:color w:val="2D2D2D"/>
                <w:sz w:val="19"/>
              </w:rPr>
              <w:t>Data Analyst</w:t>
            </w:r>
          </w:p>
        </w:tc>
      </w:tr>
      <w:tr>
        <w:tc>
          <w:tcPr>
            <w:tcW w:type="dxa" w:w="936"/>
            <w:shd w:fill="F0F3F6"/>
          </w:tcPr>
          <w:p>
            <w:r/>
            <w:r>
              <w:rPr>
                <w:rFonts w:ascii="Inter" w:hAnsi="Inter" w:cs="Inter"/>
                <w:b w:val="0"/>
                <w:i w:val="0"/>
                <w:color w:val="2D2D2D"/>
                <w:sz w:val="19"/>
              </w:rPr>
              <w:t>**Output**</w:t>
            </w:r>
          </w:p>
        </w:tc>
        <w:tc>
          <w:tcPr>
            <w:tcW w:type="dxa" w:w="936"/>
            <w:shd w:fill="F0F3F6"/>
          </w:tcPr>
          <w:p>
            <w:r/>
            <w:r>
              <w:rPr>
                <w:rFonts w:ascii="Inter" w:hAnsi="Inter" w:cs="Inter"/>
                <w:b w:val="0"/>
                <w:i w:val="0"/>
                <w:color w:val="2D2D2D"/>
                <w:sz w:val="19"/>
              </w:rPr>
              <w:t>Coordination desks operational</w:t>
            </w:r>
          </w:p>
        </w:tc>
        <w:tc>
          <w:tcPr>
            <w:tcW w:type="dxa" w:w="936"/>
            <w:shd w:fill="F0F3F6"/>
          </w:tcPr>
          <w:p>
            <w:r/>
            <w:r>
              <w:rPr>
                <w:rFonts w:ascii="Inter" w:hAnsi="Inter" w:cs="Inter"/>
                <w:b w:val="0"/>
                <w:i w:val="0"/>
                <w:color w:val="2D2D2D"/>
                <w:sz w:val="19"/>
              </w:rPr>
              <w:t>OTP-02: OBC coordination desks in partner LGUs</w:t>
            </w:r>
          </w:p>
        </w:tc>
        <w:tc>
          <w:tcPr>
            <w:tcW w:type="dxa" w:w="936"/>
            <w:shd w:fill="F0F3F6"/>
          </w:tcPr>
          <w:p>
            <w:r/>
            <w:r>
              <w:rPr>
                <w:rFonts w:ascii="Inter" w:hAnsi="Inter" w:cs="Inter"/>
                <w:b w:val="0"/>
                <w:i w:val="0"/>
                <w:color w:val="2D2D2D"/>
                <w:sz w:val="19"/>
              </w:rPr>
              <w:t>0</w:t>
            </w:r>
          </w:p>
        </w:tc>
        <w:tc>
          <w:tcPr>
            <w:tcW w:type="dxa" w:w="936"/>
            <w:shd w:fill="F0F3F6"/>
          </w:tcPr>
          <w:p>
            <w:r/>
            <w:r>
              <w:rPr>
                <w:rFonts w:ascii="Inter" w:hAnsi="Inter" w:cs="Inter"/>
                <w:b w:val="0"/>
                <w:i w:val="0"/>
                <w:color w:val="2D2D2D"/>
                <w:sz w:val="19"/>
              </w:rPr>
              <w:t>2</w:t>
            </w:r>
          </w:p>
        </w:tc>
        <w:tc>
          <w:tcPr>
            <w:tcW w:type="dxa" w:w="936"/>
            <w:shd w:fill="F0F3F6"/>
          </w:tcPr>
          <w:p>
            <w:r/>
            <w:r>
              <w:rPr>
                <w:rFonts w:ascii="Inter" w:hAnsi="Inter" w:cs="Inter"/>
                <w:b w:val="0"/>
                <w:i w:val="0"/>
                <w:color w:val="2D2D2D"/>
                <w:sz w:val="19"/>
              </w:rPr>
              <w:t>5</w:t>
            </w:r>
          </w:p>
        </w:tc>
        <w:tc>
          <w:tcPr>
            <w:tcW w:type="dxa" w:w="936"/>
            <w:shd w:fill="F0F3F6"/>
          </w:tcPr>
          <w:p>
            <w:r/>
            <w:r>
              <w:rPr>
                <w:rFonts w:ascii="Inter" w:hAnsi="Inter" w:cs="Inter"/>
                <w:b w:val="0"/>
                <w:i w:val="0"/>
                <w:color w:val="2D2D2D"/>
                <w:sz w:val="19"/>
              </w:rPr>
              <w:t>8</w:t>
            </w:r>
          </w:p>
        </w:tc>
        <w:tc>
          <w:tcPr>
            <w:tcW w:type="dxa" w:w="936"/>
            <w:shd w:fill="F0F3F6"/>
          </w:tcPr>
          <w:p>
            <w:r/>
            <w:r>
              <w:rPr>
                <w:rFonts w:ascii="Inter" w:hAnsi="Inter" w:cs="Inter"/>
                <w:b w:val="0"/>
                <w:i w:val="0"/>
                <w:color w:val="2D2D2D"/>
                <w:sz w:val="19"/>
              </w:rPr>
              <w:t>Field office reports</w:t>
            </w:r>
          </w:p>
        </w:tc>
        <w:tc>
          <w:tcPr>
            <w:tcW w:type="dxa" w:w="936"/>
            <w:shd w:fill="F0F3F6"/>
          </w:tcPr>
          <w:p>
            <w:r/>
            <w:r>
              <w:rPr>
                <w:rFonts w:ascii="Inter" w:hAnsi="Inter" w:cs="Inter"/>
                <w:b w:val="0"/>
                <w:i w:val="0"/>
                <w:color w:val="2D2D2D"/>
                <w:sz w:val="19"/>
              </w:rPr>
              <w:t>Quarterly</w:t>
            </w:r>
          </w:p>
        </w:tc>
        <w:tc>
          <w:tcPr>
            <w:tcW w:type="dxa" w:w="936"/>
            <w:shd w:fill="F0F3F6"/>
          </w:tcPr>
          <w:p>
            <w:r/>
            <w:r>
              <w:rPr>
                <w:rFonts w:ascii="Inter" w:hAnsi="Inter" w:cs="Inter"/>
                <w:b w:val="0"/>
                <w:i w:val="0"/>
                <w:color w:val="2D2D2D"/>
                <w:sz w:val="19"/>
              </w:rPr>
              <w:t>Deputy Executive Director</w:t>
            </w:r>
          </w:p>
        </w:tc>
      </w:tr>
    </w:tbl>
    <w:p/>
    <w:p>
      <w:pPr>
        <w:pStyle w:val="Heading4"/>
      </w:pPr>
      <w:r>
        <w:rPr>
          <w:rFonts w:ascii="Inter" w:hAnsi="Inter" w:cs="Inter"/>
          <w:b/>
          <w:i/>
          <w:color w:val="2C5F7C"/>
          <w:sz w:val="23"/>
        </w:rPr>
        <w:t>Section 5.2: Reporting Schedule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B365D"/>
          </w:tcPr>
          <w:p>
            <w:r/>
            <w:r>
              <w:rPr>
                <w:rFonts w:ascii="Inter" w:hAnsi="Inter" w:cs="Inter"/>
                <w:b/>
                <w:i w:val="0"/>
                <w:color w:val="FFFFFF"/>
                <w:sz w:val="19"/>
              </w:rPr>
              <w:t>Report</w:t>
            </w:r>
          </w:p>
        </w:tc>
        <w:tc>
          <w:tcPr>
            <w:tcW w:type="dxa" w:w="1872"/>
            <w:shd w:fill="1B365D"/>
          </w:tcPr>
          <w:p>
            <w:r/>
            <w:r>
              <w:rPr>
                <w:rFonts w:ascii="Inter" w:hAnsi="Inter" w:cs="Inter"/>
                <w:b/>
                <w:i w:val="0"/>
                <w:color w:val="FFFFFF"/>
                <w:sz w:val="19"/>
              </w:rPr>
              <w:t>Frequency</w:t>
            </w:r>
          </w:p>
        </w:tc>
        <w:tc>
          <w:tcPr>
            <w:tcW w:type="dxa" w:w="1872"/>
            <w:shd w:fill="1B365D"/>
          </w:tcPr>
          <w:p>
            <w:r/>
            <w:r>
              <w:rPr>
                <w:rFonts w:ascii="Inter" w:hAnsi="Inter" w:cs="Inter"/>
                <w:b/>
                <w:i w:val="0"/>
                <w:color w:val="FFFFFF"/>
                <w:sz w:val="19"/>
              </w:rPr>
              <w:t>Due Date</w:t>
            </w:r>
          </w:p>
        </w:tc>
        <w:tc>
          <w:tcPr>
            <w:tcW w:type="dxa" w:w="1872"/>
            <w:shd w:fill="1B365D"/>
          </w:tcPr>
          <w:p>
            <w:r/>
            <w:r>
              <w:rPr>
                <w:rFonts w:ascii="Inter" w:hAnsi="Inter" w:cs="Inter"/>
                <w:b/>
                <w:i w:val="0"/>
                <w:color w:val="FFFFFF"/>
                <w:sz w:val="19"/>
              </w:rPr>
              <w:t>Prepared By</w:t>
            </w:r>
          </w:p>
        </w:tc>
        <w:tc>
          <w:tcPr>
            <w:tcW w:type="dxa" w:w="1872"/>
            <w:shd w:fill="1B365D"/>
          </w:tcPr>
          <w:p>
            <w:r/>
            <w:r>
              <w:rPr>
                <w:rFonts w:ascii="Inter" w:hAnsi="Inter" w:cs="Inter"/>
                <w:b/>
                <w:i w:val="0"/>
                <w:color w:val="FFFFFF"/>
                <w:sz w:val="19"/>
              </w:rPr>
              <w:t>Submitted To</w:t>
            </w:r>
          </w:p>
        </w:tc>
      </w:tr>
      <w:tr>
        <w:tc>
          <w:tcPr>
            <w:tcW w:type="dxa" w:w="1872"/>
          </w:tcPr>
          <w:p>
            <w:r/>
            <w:r>
              <w:rPr>
                <w:rFonts w:ascii="Inter" w:hAnsi="Inter" w:cs="Inter"/>
                <w:b w:val="0"/>
                <w:i w:val="0"/>
                <w:color w:val="2D2D2D"/>
                <w:sz w:val="19"/>
              </w:rPr>
              <w:t>Monthly Progress Report</w:t>
            </w:r>
          </w:p>
        </w:tc>
        <w:tc>
          <w:tcPr>
            <w:tcW w:type="dxa" w:w="1872"/>
          </w:tcPr>
          <w:p>
            <w:r/>
            <w:r>
              <w:rPr>
                <w:rFonts w:ascii="Inter" w:hAnsi="Inter" w:cs="Inter"/>
                <w:b w:val="0"/>
                <w:i w:val="0"/>
                <w:color w:val="2D2D2D"/>
                <w:sz w:val="19"/>
              </w:rPr>
              <w:t>Monthly</w:t>
            </w:r>
          </w:p>
        </w:tc>
        <w:tc>
          <w:tcPr>
            <w:tcW w:type="dxa" w:w="1872"/>
          </w:tcPr>
          <w:p>
            <w:r/>
            <w:r>
              <w:rPr>
                <w:rFonts w:ascii="Inter" w:hAnsi="Inter" w:cs="Inter"/>
                <w:b w:val="0"/>
                <w:i w:val="0"/>
                <w:color w:val="2D2D2D"/>
                <w:sz w:val="19"/>
              </w:rPr>
              <w:t>5th working day of following month</w:t>
            </w:r>
          </w:p>
        </w:tc>
        <w:tc>
          <w:tcPr>
            <w:tcW w:type="dxa" w:w="1872"/>
          </w:tcPr>
          <w:p>
            <w:r/>
            <w:r>
              <w:rPr>
                <w:rFonts w:ascii="Inter" w:hAnsi="Inter" w:cs="Inter"/>
                <w:b w:val="0"/>
                <w:i w:val="0"/>
                <w:color w:val="2D2D2D"/>
                <w:sz w:val="19"/>
              </w:rPr>
              <w:t>Planning Officer</w:t>
            </w:r>
          </w:p>
        </w:tc>
        <w:tc>
          <w:tcPr>
            <w:tcW w:type="dxa" w:w="1872"/>
          </w:tcPr>
          <w:p>
            <w:r/>
            <w:r>
              <w:rPr>
                <w:rFonts w:ascii="Inter" w:hAnsi="Inter" w:cs="Inter"/>
                <w:b w:val="0"/>
                <w:i w:val="0"/>
                <w:color w:val="2D2D2D"/>
                <w:sz w:val="19"/>
              </w:rPr>
              <w:t>Executive Director, OCM Liaison</w:t>
            </w:r>
          </w:p>
        </w:tc>
      </w:tr>
      <w:tr>
        <w:tc>
          <w:tcPr>
            <w:tcW w:type="dxa" w:w="1872"/>
            <w:shd w:fill="F0F3F6"/>
          </w:tcPr>
          <w:p>
            <w:r/>
            <w:r>
              <w:rPr>
                <w:rFonts w:ascii="Inter" w:hAnsi="Inter" w:cs="Inter"/>
                <w:b w:val="0"/>
                <w:i w:val="0"/>
                <w:color w:val="2D2D2D"/>
                <w:sz w:val="19"/>
              </w:rPr>
              <w:t>Quarterly Performance Report</w:t>
            </w:r>
          </w:p>
        </w:tc>
        <w:tc>
          <w:tcPr>
            <w:tcW w:type="dxa" w:w="1872"/>
            <w:shd w:fill="F0F3F6"/>
          </w:tcPr>
          <w:p>
            <w:r/>
            <w:r>
              <w:rPr>
                <w:rFonts w:ascii="Inter" w:hAnsi="Inter" w:cs="Inter"/>
                <w:b w:val="0"/>
                <w:i w:val="0"/>
                <w:color w:val="2D2D2D"/>
                <w:sz w:val="19"/>
              </w:rPr>
              <w:t>Quarterly</w:t>
            </w:r>
          </w:p>
        </w:tc>
        <w:tc>
          <w:tcPr>
            <w:tcW w:type="dxa" w:w="1872"/>
            <w:shd w:fill="F0F3F6"/>
          </w:tcPr>
          <w:p>
            <w:r/>
            <w:r>
              <w:rPr>
                <w:rFonts w:ascii="Inter" w:hAnsi="Inter" w:cs="Inter"/>
                <w:b w:val="0"/>
                <w:i w:val="0"/>
                <w:color w:val="2D2D2D"/>
                <w:sz w:val="19"/>
              </w:rPr>
              <w:t>15th working day after quarter end</w:t>
            </w:r>
          </w:p>
        </w:tc>
        <w:tc>
          <w:tcPr>
            <w:tcW w:type="dxa" w:w="1872"/>
            <w:shd w:fill="F0F3F6"/>
          </w:tcPr>
          <w:p>
            <w:r/>
            <w:r>
              <w:rPr>
                <w:rFonts w:ascii="Inter" w:hAnsi="Inter" w:cs="Inter"/>
                <w:b w:val="0"/>
                <w:i w:val="0"/>
                <w:color w:val="2D2D2D"/>
                <w:sz w:val="19"/>
              </w:rPr>
              <w:t>Planning Officer</w:t>
            </w:r>
          </w:p>
        </w:tc>
        <w:tc>
          <w:tcPr>
            <w:tcW w:type="dxa" w:w="1872"/>
            <w:shd w:fill="F0F3F6"/>
          </w:tcPr>
          <w:p>
            <w:r/>
            <w:r>
              <w:rPr>
                <w:rFonts w:ascii="Inter" w:hAnsi="Inter" w:cs="Inter"/>
                <w:b w:val="0"/>
                <w:i w:val="0"/>
                <w:color w:val="2D2D2D"/>
                <w:sz w:val="19"/>
              </w:rPr>
              <w:t>Executive Director, MFBM, BPDA</w:t>
            </w:r>
          </w:p>
        </w:tc>
      </w:tr>
      <w:tr>
        <w:tc>
          <w:tcPr>
            <w:tcW w:type="dxa" w:w="1872"/>
          </w:tcPr>
          <w:p>
            <w:r/>
            <w:r>
              <w:rPr>
                <w:rFonts w:ascii="Inter" w:hAnsi="Inter" w:cs="Inter"/>
                <w:b w:val="0"/>
                <w:i w:val="0"/>
                <w:color w:val="2D2D2D"/>
                <w:sz w:val="19"/>
              </w:rPr>
              <w:t>Annual Performance Report</w:t>
            </w:r>
          </w:p>
        </w:tc>
        <w:tc>
          <w:tcPr>
            <w:tcW w:type="dxa" w:w="1872"/>
          </w:tcPr>
          <w:p>
            <w:r/>
            <w:r>
              <w:rPr>
                <w:rFonts w:ascii="Inter" w:hAnsi="Inter" w:cs="Inter"/>
                <w:b w:val="0"/>
                <w:i w:val="0"/>
                <w:color w:val="2D2D2D"/>
                <w:sz w:val="19"/>
              </w:rPr>
              <w:t>Annually</w:t>
            </w:r>
          </w:p>
        </w:tc>
        <w:tc>
          <w:tcPr>
            <w:tcW w:type="dxa" w:w="1872"/>
          </w:tcPr>
          <w:p>
            <w:r/>
            <w:r>
              <w:rPr>
                <w:rFonts w:ascii="Inter" w:hAnsi="Inter" w:cs="Inter"/>
                <w:b w:val="0"/>
                <w:i w:val="0"/>
                <w:color w:val="2D2D2D"/>
                <w:sz w:val="19"/>
              </w:rPr>
              <w:t>January 31</w:t>
            </w:r>
          </w:p>
        </w:tc>
        <w:tc>
          <w:tcPr>
            <w:tcW w:type="dxa" w:w="1872"/>
          </w:tcPr>
          <w:p>
            <w:r/>
            <w:r>
              <w:rPr>
                <w:rFonts w:ascii="Inter" w:hAnsi="Inter" w:cs="Inter"/>
                <w:b w:val="0"/>
                <w:i w:val="0"/>
                <w:color w:val="2D2D2D"/>
                <w:sz w:val="19"/>
              </w:rPr>
              <w:t>Planning Officer</w:t>
            </w:r>
          </w:p>
        </w:tc>
        <w:tc>
          <w:tcPr>
            <w:tcW w:type="dxa" w:w="1872"/>
          </w:tcPr>
          <w:p>
            <w:r/>
            <w:r>
              <w:rPr>
                <w:rFonts w:ascii="Inter" w:hAnsi="Inter" w:cs="Inter"/>
                <w:b w:val="0"/>
                <w:i w:val="0"/>
                <w:color w:val="2D2D2D"/>
                <w:sz w:val="19"/>
              </w:rPr>
              <w:t>Executive Director, BPDA, MFBM, OCM</w:t>
            </w:r>
          </w:p>
        </w:tc>
      </w:tr>
      <w:tr>
        <w:tc>
          <w:tcPr>
            <w:tcW w:type="dxa" w:w="1872"/>
            <w:shd w:fill="F0F3F6"/>
          </w:tcPr>
          <w:p>
            <w:r/>
            <w:r>
              <w:rPr>
                <w:rFonts w:ascii="Inter" w:hAnsi="Inter" w:cs="Inter"/>
                <w:b w:val="0"/>
                <w:i w:val="0"/>
                <w:color w:val="2D2D2D"/>
                <w:sz w:val="19"/>
              </w:rPr>
              <w:t>Mid-Term Review</w:t>
            </w:r>
          </w:p>
        </w:tc>
        <w:tc>
          <w:tcPr>
            <w:tcW w:type="dxa" w:w="1872"/>
            <w:shd w:fill="F0F3F6"/>
          </w:tcPr>
          <w:p>
            <w:r/>
            <w:r>
              <w:rPr>
                <w:rFonts w:ascii="Inter" w:hAnsi="Inter" w:cs="Inter"/>
                <w:b w:val="0"/>
                <w:i w:val="0"/>
                <w:color w:val="2D2D2D"/>
                <w:sz w:val="19"/>
              </w:rPr>
              <w:t>Once (Month 18)</w:t>
            </w:r>
          </w:p>
        </w:tc>
        <w:tc>
          <w:tcPr>
            <w:tcW w:type="dxa" w:w="1872"/>
            <w:shd w:fill="F0F3F6"/>
          </w:tcPr>
          <w:p>
            <w:r/>
            <w:r>
              <w:rPr>
                <w:rFonts w:ascii="Inter" w:hAnsi="Inter" w:cs="Inter"/>
                <w:b w:val="0"/>
                <w:i w:val="0"/>
                <w:color w:val="2D2D2D"/>
                <w:sz w:val="19"/>
              </w:rPr>
              <w:t>April Year 2</w:t>
            </w:r>
          </w:p>
        </w:tc>
        <w:tc>
          <w:tcPr>
            <w:tcW w:type="dxa" w:w="1872"/>
            <w:shd w:fill="F0F3F6"/>
          </w:tcPr>
          <w:p>
            <w:r/>
            <w:r>
              <w:rPr>
                <w:rFonts w:ascii="Inter" w:hAnsi="Inter" w:cs="Inter"/>
                <w:b w:val="0"/>
                <w:i w:val="0"/>
                <w:color w:val="2D2D2D"/>
                <w:sz w:val="19"/>
              </w:rPr>
              <w:t>External evaluator + Planning Officer</w:t>
            </w:r>
          </w:p>
        </w:tc>
        <w:tc>
          <w:tcPr>
            <w:tcW w:type="dxa" w:w="1872"/>
            <w:shd w:fill="F0F3F6"/>
          </w:tcPr>
          <w:p>
            <w:r/>
            <w:r>
              <w:rPr>
                <w:rFonts w:ascii="Inter" w:hAnsi="Inter" w:cs="Inter"/>
                <w:b w:val="0"/>
                <w:i w:val="0"/>
                <w:color w:val="2D2D2D"/>
                <w:sz w:val="19"/>
              </w:rPr>
              <w:t>Executive Director, OCM</w:t>
            </w:r>
          </w:p>
        </w:tc>
      </w:tr>
      <w:tr>
        <w:tc>
          <w:tcPr>
            <w:tcW w:type="dxa" w:w="1872"/>
          </w:tcPr>
          <w:p>
            <w:r/>
            <w:r>
              <w:rPr>
                <w:rFonts w:ascii="Inter" w:hAnsi="Inter" w:cs="Inter"/>
                <w:b w:val="0"/>
                <w:i w:val="0"/>
                <w:color w:val="2D2D2D"/>
                <w:sz w:val="19"/>
              </w:rPr>
              <w:t>End-of-Plan Evaluation</w:t>
            </w:r>
          </w:p>
        </w:tc>
        <w:tc>
          <w:tcPr>
            <w:tcW w:type="dxa" w:w="1872"/>
          </w:tcPr>
          <w:p>
            <w:r/>
            <w:r>
              <w:rPr>
                <w:rFonts w:ascii="Inter" w:hAnsi="Inter" w:cs="Inter"/>
                <w:b w:val="0"/>
                <w:i w:val="0"/>
                <w:color w:val="2D2D2D"/>
                <w:sz w:val="19"/>
              </w:rPr>
              <w:t>Once (final quarter)</w:t>
            </w:r>
          </w:p>
        </w:tc>
        <w:tc>
          <w:tcPr>
            <w:tcW w:type="dxa" w:w="1872"/>
          </w:tcPr>
          <w:p>
            <w:r/>
            <w:r>
              <w:rPr>
                <w:rFonts w:ascii="Inter" w:hAnsi="Inter" w:cs="Inter"/>
                <w:b w:val="0"/>
                <w:i w:val="0"/>
                <w:color w:val="2D2D2D"/>
                <w:sz w:val="19"/>
              </w:rPr>
              <w:t>Q4 Year 3</w:t>
            </w:r>
          </w:p>
        </w:tc>
        <w:tc>
          <w:tcPr>
            <w:tcW w:type="dxa" w:w="1872"/>
          </w:tcPr>
          <w:p>
            <w:r/>
            <w:r>
              <w:rPr>
                <w:rFonts w:ascii="Inter" w:hAnsi="Inter" w:cs="Inter"/>
                <w:b w:val="0"/>
                <w:i w:val="0"/>
                <w:color w:val="2D2D2D"/>
                <w:sz w:val="19"/>
              </w:rPr>
              <w:t>External evaluator</w:t>
            </w:r>
          </w:p>
        </w:tc>
        <w:tc>
          <w:tcPr>
            <w:tcW w:type="dxa" w:w="1872"/>
          </w:tcPr>
          <w:p>
            <w:r/>
            <w:r>
              <w:rPr>
                <w:rFonts w:ascii="Inter" w:hAnsi="Inter" w:cs="Inter"/>
                <w:b w:val="0"/>
                <w:i w:val="0"/>
                <w:color w:val="2D2D2D"/>
                <w:sz w:val="19"/>
              </w:rPr>
              <w:t>Executive Director, BPDA, OCM</w:t>
            </w:r>
          </w:p>
        </w:tc>
      </w:tr>
    </w:tbl>
    <w:p/>
    <w:p>
      <w:pPr>
        <w:pStyle w:val="Heading4"/>
      </w:pPr>
      <w:r>
        <w:rPr>
          <w:rFonts w:ascii="Inter" w:hAnsi="Inter" w:cs="Inter"/>
          <w:b/>
          <w:i/>
          <w:color w:val="2C5F7C"/>
          <w:sz w:val="23"/>
        </w:rPr>
        <w:t>Section 5.3: Adaptive Management Trigger</w:t>
      </w:r>
    </w:p>
    <w:p>
      <w:pPr>
        <w:spacing w:after="120" w:line="276" w:lineRule="auto"/>
      </w:pPr>
      <w:r>
        <w:rPr>
          <w:rFonts w:ascii="Inter" w:hAnsi="Inter" w:cs="Inter"/>
          <w:b w:val="0"/>
          <w:i w:val="0"/>
          <w:color w:val="2D2D2D"/>
          <w:sz w:val="22"/>
        </w:rPr>
        <w:t>If indicator OUT-01 (Provinces with Completed Community Profiles) achieves less than 50% of its quarterly target for two consecutive quarters, the Program Coordinator must convene a review within 10 working days, identify the root cause (staffing, field access, community cooperation, or budget), develop a corrective action plan with deadlines and responsible officers, and submit the plan to the Executive Director within 15 working days.</w:t>
      </w:r>
    </w:p>
    <w:p>
      <w:pPr>
        <w:spacing w:after="120" w:line="276" w:lineRule="auto"/>
      </w:pPr>
      <w:r>
        <w:rPr>
          <w:rFonts w:ascii="Inter" w:hAnsi="Inter" w:cs="Inter"/>
          <w:b w:val="0"/>
          <w:i w:val="0"/>
          <w:color w:val="2D2D2D"/>
          <w:sz w:val="22"/>
        </w:rPr>
        <w:t>*End of OOBC Strategic Plan FY 2026--2028 Worked Example.*</w:t>
      </w:r>
    </w:p>
    <w:p>
      <w:pPr>
        <w:pStyle w:val="Heading2"/>
      </w:pPr>
      <w:r>
        <w:rPr>
          <w:rFonts w:ascii="Inter" w:hAnsi="Inter" w:cs="Inter"/>
          <w:b/>
          <w:i w:val="0"/>
          <w:color w:val="1B365D"/>
          <w:sz w:val="32"/>
        </w:rPr>
        <w:t>Appendix F: Glossary of Planning Terms</w:t>
      </w:r>
    </w:p>
    <w:p>
      <w:pPr>
        <w:spacing w:after="120" w:line="276" w:lineRule="auto"/>
      </w:pPr>
      <w:r>
        <w:rPr>
          <w:rFonts w:ascii="Inter" w:hAnsi="Inter" w:cs="Inter"/>
          <w:b w:val="0"/>
          <w:i w:val="0"/>
          <w:color w:val="2D2D2D"/>
          <w:sz w:val="22"/>
        </w:rPr>
        <w:t>The following glossary defines key terms used throughout this guidebook. Each entry provides the full form (where applicable) and a BARMM-specific definition.</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Term</w:t>
            </w:r>
          </w:p>
        </w:tc>
        <w:tc>
          <w:tcPr>
            <w:tcW w:type="dxa" w:w="3120"/>
            <w:shd w:fill="1B365D"/>
          </w:tcPr>
          <w:p>
            <w:r/>
            <w:r>
              <w:rPr>
                <w:rFonts w:ascii="Inter" w:hAnsi="Inter" w:cs="Inter"/>
                <w:b/>
                <w:i w:val="0"/>
                <w:color w:val="FFFFFF"/>
                <w:sz w:val="19"/>
              </w:rPr>
              <w:t>Full Form</w:t>
            </w:r>
          </w:p>
        </w:tc>
        <w:tc>
          <w:tcPr>
            <w:tcW w:type="dxa" w:w="3120"/>
            <w:shd w:fill="1B365D"/>
          </w:tcPr>
          <w:p>
            <w:r/>
            <w:r>
              <w:rPr>
                <w:rFonts w:ascii="Inter" w:hAnsi="Inter" w:cs="Inter"/>
                <w:b/>
                <w:i w:val="0"/>
                <w:color w:val="FFFFFF"/>
                <w:sz w:val="19"/>
              </w:rPr>
              <w:t>Definition</w:t>
            </w:r>
          </w:p>
        </w:tc>
      </w:tr>
      <w:tr>
        <w:tc>
          <w:tcPr>
            <w:tcW w:type="dxa" w:w="3120"/>
          </w:tcPr>
          <w:p>
            <w:r/>
            <w:r>
              <w:rPr>
                <w:rFonts w:ascii="Inter" w:hAnsi="Inter" w:cs="Inter"/>
                <w:b w:val="0"/>
                <w:i w:val="0"/>
                <w:color w:val="2D2D2D"/>
                <w:sz w:val="19"/>
              </w:rPr>
              <w:t>AFP</w:t>
            </w:r>
          </w:p>
        </w:tc>
        <w:tc>
          <w:tcPr>
            <w:tcW w:type="dxa" w:w="3120"/>
          </w:tcPr>
          <w:p>
            <w:r/>
            <w:r>
              <w:rPr>
                <w:rFonts w:ascii="Inter" w:hAnsi="Inter" w:cs="Inter"/>
                <w:b w:val="0"/>
                <w:i w:val="0"/>
                <w:color w:val="2D2D2D"/>
                <w:sz w:val="19"/>
              </w:rPr>
              <w:t>Annual Financial Plan</w:t>
            </w:r>
          </w:p>
        </w:tc>
        <w:tc>
          <w:tcPr>
            <w:tcW w:type="dxa" w:w="3120"/>
          </w:tcPr>
          <w:p>
            <w:r/>
            <w:r>
              <w:rPr>
                <w:rFonts w:ascii="Inter" w:hAnsi="Inter" w:cs="Inter"/>
                <w:b w:val="0"/>
                <w:i w:val="0"/>
                <w:color w:val="2D2D2D"/>
                <w:sz w:val="19"/>
              </w:rPr>
              <w:t>The MOA's detailed budget allocation by expense class (Personal Services, Maintenance and Other Operating Expenses, Capital Outlay) for a single fiscal year, linked to specific programs, projects, and activities.</w:t>
            </w:r>
          </w:p>
        </w:tc>
      </w:tr>
      <w:tr>
        <w:tc>
          <w:tcPr>
            <w:tcW w:type="dxa" w:w="3120"/>
            <w:shd w:fill="F0F3F6"/>
          </w:tcPr>
          <w:p>
            <w:r/>
            <w:r>
              <w:rPr>
                <w:rFonts w:ascii="Inter" w:hAnsi="Inter" w:cs="Inter"/>
                <w:b w:val="0"/>
                <w:i w:val="0"/>
                <w:color w:val="2D2D2D"/>
                <w:sz w:val="19"/>
              </w:rPr>
              <w:t>APP</w:t>
            </w:r>
          </w:p>
        </w:tc>
        <w:tc>
          <w:tcPr>
            <w:tcW w:type="dxa" w:w="3120"/>
            <w:shd w:fill="F0F3F6"/>
          </w:tcPr>
          <w:p>
            <w:r/>
            <w:r>
              <w:rPr>
                <w:rFonts w:ascii="Inter" w:hAnsi="Inter" w:cs="Inter"/>
                <w:b w:val="0"/>
                <w:i w:val="0"/>
                <w:color w:val="2D2D2D"/>
                <w:sz w:val="19"/>
              </w:rPr>
              <w:t>Annual Procurement Plan</w:t>
            </w:r>
          </w:p>
        </w:tc>
        <w:tc>
          <w:tcPr>
            <w:tcW w:type="dxa" w:w="3120"/>
            <w:shd w:fill="F0F3F6"/>
          </w:tcPr>
          <w:p>
            <w:r/>
            <w:r>
              <w:rPr>
                <w:rFonts w:ascii="Inter" w:hAnsi="Inter" w:cs="Inter"/>
                <w:b w:val="0"/>
                <w:i w:val="0"/>
                <w:color w:val="2D2D2D"/>
                <w:sz w:val="19"/>
              </w:rPr>
              <w:t>A yearly schedule of all goods, services, and infrastructure procurements an MOA intends to undertake, certified compliant with BAA No. 38 (Procurement Code) and aligned with the Annual Work Plan.</w:t>
            </w:r>
          </w:p>
        </w:tc>
      </w:tr>
      <w:tr>
        <w:tc>
          <w:tcPr>
            <w:tcW w:type="dxa" w:w="3120"/>
          </w:tcPr>
          <w:p>
            <w:r/>
            <w:r>
              <w:rPr>
                <w:rFonts w:ascii="Inter" w:hAnsi="Inter" w:cs="Inter"/>
                <w:b w:val="0"/>
                <w:i w:val="0"/>
                <w:color w:val="2D2D2D"/>
                <w:sz w:val="19"/>
              </w:rPr>
              <w:t>AWP</w:t>
            </w:r>
          </w:p>
        </w:tc>
        <w:tc>
          <w:tcPr>
            <w:tcW w:type="dxa" w:w="3120"/>
          </w:tcPr>
          <w:p>
            <w:r/>
            <w:r>
              <w:rPr>
                <w:rFonts w:ascii="Inter" w:hAnsi="Inter" w:cs="Inter"/>
                <w:b w:val="0"/>
                <w:i w:val="0"/>
                <w:color w:val="2D2D2D"/>
                <w:sz w:val="19"/>
              </w:rPr>
              <w:t>Annual Work Plan</w:t>
            </w:r>
          </w:p>
        </w:tc>
        <w:tc>
          <w:tcPr>
            <w:tcW w:type="dxa" w:w="3120"/>
          </w:tcPr>
          <w:p>
            <w:r/>
            <w:r>
              <w:rPr>
                <w:rFonts w:ascii="Inter" w:hAnsi="Inter" w:cs="Inter"/>
                <w:b w:val="0"/>
                <w:i w:val="0"/>
                <w:color w:val="2D2D2D"/>
                <w:sz w:val="19"/>
              </w:rPr>
              <w:t>The one-year operational breakdown of the MOA's multi-year strategic plan, detailing quarterly targets, milestones, responsible units, and expected deliverables for each program, project, and activity.</w:t>
            </w:r>
          </w:p>
        </w:tc>
      </w:tr>
      <w:tr>
        <w:tc>
          <w:tcPr>
            <w:tcW w:type="dxa" w:w="3120"/>
            <w:shd w:fill="F0F3F6"/>
          </w:tcPr>
          <w:p>
            <w:r/>
            <w:r>
              <w:rPr>
                <w:rFonts w:ascii="Inter" w:hAnsi="Inter" w:cs="Inter"/>
                <w:b w:val="0"/>
                <w:i w:val="0"/>
                <w:color w:val="2D2D2D"/>
                <w:sz w:val="19"/>
              </w:rPr>
              <w:t>BAA</w:t>
            </w:r>
          </w:p>
        </w:tc>
        <w:tc>
          <w:tcPr>
            <w:tcW w:type="dxa" w:w="3120"/>
            <w:shd w:fill="F0F3F6"/>
          </w:tcPr>
          <w:p>
            <w:r/>
            <w:r>
              <w:rPr>
                <w:rFonts w:ascii="Inter" w:hAnsi="Inter" w:cs="Inter"/>
                <w:b w:val="0"/>
                <w:i w:val="0"/>
                <w:color w:val="2D2D2D"/>
                <w:sz w:val="19"/>
              </w:rPr>
              <w:t>Bangsamoro Autonomy Act</w:t>
            </w:r>
          </w:p>
        </w:tc>
        <w:tc>
          <w:tcPr>
            <w:tcW w:type="dxa" w:w="3120"/>
            <w:shd w:fill="F0F3F6"/>
          </w:tcPr>
          <w:p>
            <w:r/>
            <w:r>
              <w:rPr>
                <w:rFonts w:ascii="Inter" w:hAnsi="Inter" w:cs="Inter"/>
                <w:b w:val="0"/>
                <w:i w:val="0"/>
                <w:color w:val="2D2D2D"/>
                <w:sz w:val="19"/>
              </w:rPr>
              <w:t>A law enacted by the Bangsamoro Parliament on matters within the BARMM's legislative authority, including appropriations, sector policies, and administrative mandates; numbered sequentially (e.g., BAA No. 13 is the Administrative Code).</w:t>
            </w:r>
          </w:p>
        </w:tc>
      </w:tr>
      <w:tr>
        <w:tc>
          <w:tcPr>
            <w:tcW w:type="dxa" w:w="3120"/>
          </w:tcPr>
          <w:p>
            <w:r/>
            <w:r>
              <w:rPr>
                <w:rFonts w:ascii="Inter" w:hAnsi="Inter" w:cs="Inter"/>
                <w:b w:val="0"/>
                <w:i w:val="0"/>
                <w:color w:val="2D2D2D"/>
                <w:sz w:val="19"/>
              </w:rPr>
              <w:t>BDP</w:t>
            </w:r>
          </w:p>
        </w:tc>
        <w:tc>
          <w:tcPr>
            <w:tcW w:type="dxa" w:w="3120"/>
          </w:tcPr>
          <w:p>
            <w:r/>
            <w:r>
              <w:rPr>
                <w:rFonts w:ascii="Inter" w:hAnsi="Inter" w:cs="Inter"/>
                <w:b w:val="0"/>
                <w:i w:val="0"/>
                <w:color w:val="2D2D2D"/>
                <w:sz w:val="19"/>
              </w:rPr>
              <w:t>Bangsamoro Development Plan</w:t>
            </w:r>
          </w:p>
        </w:tc>
        <w:tc>
          <w:tcPr>
            <w:tcW w:type="dxa" w:w="3120"/>
          </w:tcPr>
          <w:p>
            <w:r/>
            <w:r>
              <w:rPr>
                <w:rFonts w:ascii="Inter" w:hAnsi="Inter" w:cs="Inter"/>
                <w:b w:val="0"/>
                <w:i w:val="0"/>
                <w:color w:val="2D2D2D"/>
                <w:sz w:val="19"/>
              </w:rPr>
              <w:t>The medium-term (usually five-year) development framework adopted by Parliament that sets regional development goals, cross-cutting strategies, and sector-specific targets to which all MOA strategic plans must align.</w:t>
            </w:r>
          </w:p>
        </w:tc>
      </w:tr>
      <w:tr>
        <w:tc>
          <w:tcPr>
            <w:tcW w:type="dxa" w:w="3120"/>
            <w:shd w:fill="F0F3F6"/>
          </w:tcPr>
          <w:p>
            <w:r/>
            <w:r>
              <w:rPr>
                <w:rFonts w:ascii="Inter" w:hAnsi="Inter" w:cs="Inter"/>
                <w:b w:val="0"/>
                <w:i w:val="0"/>
                <w:color w:val="2D2D2D"/>
                <w:sz w:val="19"/>
              </w:rPr>
              <w:t>BEDC</w:t>
            </w:r>
          </w:p>
        </w:tc>
        <w:tc>
          <w:tcPr>
            <w:tcW w:type="dxa" w:w="3120"/>
            <w:shd w:fill="F0F3F6"/>
          </w:tcPr>
          <w:p>
            <w:r/>
            <w:r>
              <w:rPr>
                <w:rFonts w:ascii="Inter" w:hAnsi="Inter" w:cs="Inter"/>
                <w:b w:val="0"/>
                <w:i w:val="0"/>
                <w:color w:val="2D2D2D"/>
                <w:sz w:val="19"/>
              </w:rPr>
              <w:t>Bangsamoro Economic and Development Council</w:t>
            </w:r>
          </w:p>
        </w:tc>
        <w:tc>
          <w:tcPr>
            <w:tcW w:type="dxa" w:w="3120"/>
            <w:shd w:fill="F0F3F6"/>
          </w:tcPr>
          <w:p>
            <w:r/>
            <w:r>
              <w:rPr>
                <w:rFonts w:ascii="Inter" w:hAnsi="Inter" w:cs="Inter"/>
                <w:b w:val="0"/>
                <w:i w:val="0"/>
                <w:color w:val="2D2D2D"/>
                <w:sz w:val="19"/>
              </w:rPr>
              <w:t>The chief policy-making body for regional development, chaired by the Chief Minister, responsible for directing plan formulation and recommending the Bangsamoro Development Plan for parliamentary approval.</w:t>
            </w:r>
          </w:p>
        </w:tc>
      </w:tr>
      <w:tr>
        <w:tc>
          <w:tcPr>
            <w:tcW w:type="dxa" w:w="3120"/>
          </w:tcPr>
          <w:p>
            <w:r/>
            <w:r>
              <w:rPr>
                <w:rFonts w:ascii="Inter" w:hAnsi="Inter" w:cs="Inter"/>
                <w:b w:val="0"/>
                <w:i w:val="0"/>
                <w:color w:val="2D2D2D"/>
                <w:sz w:val="19"/>
              </w:rPr>
              <w:t>BOL</w:t>
            </w:r>
          </w:p>
        </w:tc>
        <w:tc>
          <w:tcPr>
            <w:tcW w:type="dxa" w:w="3120"/>
          </w:tcPr>
          <w:p>
            <w:r/>
            <w:r>
              <w:rPr>
                <w:rFonts w:ascii="Inter" w:hAnsi="Inter" w:cs="Inter"/>
                <w:b w:val="0"/>
                <w:i w:val="0"/>
                <w:color w:val="2D2D2D"/>
                <w:sz w:val="19"/>
              </w:rPr>
              <w:t>Bangsamoro Organic Law (Republic Act No. 11054)</w:t>
            </w:r>
          </w:p>
        </w:tc>
        <w:tc>
          <w:tcPr>
            <w:tcW w:type="dxa" w:w="3120"/>
          </w:tcPr>
          <w:p>
            <w:r/>
            <w:r>
              <w:rPr>
                <w:rFonts w:ascii="Inter" w:hAnsi="Inter" w:cs="Inter"/>
                <w:b w:val="0"/>
                <w:i w:val="0"/>
                <w:color w:val="2D2D2D"/>
                <w:sz w:val="19"/>
              </w:rPr>
              <w:t>The constitutional organic law that created the Bangsamoro Autonomous Region, defined its powers, established the parliamentary form of government, and granted authority over 55 enumerated areas including administration, budgeting, health, education, and environment.</w:t>
            </w:r>
          </w:p>
        </w:tc>
      </w:tr>
      <w:tr>
        <w:tc>
          <w:tcPr>
            <w:tcW w:type="dxa" w:w="3120"/>
            <w:shd w:fill="F0F3F6"/>
          </w:tcPr>
          <w:p>
            <w:r/>
            <w:r>
              <w:rPr>
                <w:rFonts w:ascii="Inter" w:hAnsi="Inter" w:cs="Inter"/>
                <w:b w:val="0"/>
                <w:i w:val="0"/>
                <w:color w:val="2D2D2D"/>
                <w:sz w:val="19"/>
              </w:rPr>
              <w:t>BPDA</w:t>
            </w:r>
          </w:p>
        </w:tc>
        <w:tc>
          <w:tcPr>
            <w:tcW w:type="dxa" w:w="3120"/>
            <w:shd w:fill="F0F3F6"/>
          </w:tcPr>
          <w:p>
            <w:r/>
            <w:r>
              <w:rPr>
                <w:rFonts w:ascii="Inter" w:hAnsi="Inter" w:cs="Inter"/>
                <w:b w:val="0"/>
                <w:i w:val="0"/>
                <w:color w:val="2D2D2D"/>
                <w:sz w:val="19"/>
              </w:rPr>
              <w:t>Bangsamoro Planning and Development Authority</w:t>
            </w:r>
          </w:p>
        </w:tc>
        <w:tc>
          <w:tcPr>
            <w:tcW w:type="dxa" w:w="3120"/>
            <w:shd w:fill="F0F3F6"/>
          </w:tcPr>
          <w:p>
            <w:r/>
            <w:r>
              <w:rPr>
                <w:rFonts w:ascii="Inter" w:hAnsi="Inter" w:cs="Inter"/>
                <w:b w:val="0"/>
                <w:i w:val="0"/>
                <w:color w:val="2D2D2D"/>
                <w:sz w:val="19"/>
              </w:rPr>
              <w:t>The technical secretariat to the BEDC and the central planning, coordinating, and monitoring agency for all BARMM development plans, policies, programs, and projects; serves as the primary reviewer of MOA strategic plans.</w:t>
            </w:r>
          </w:p>
        </w:tc>
      </w:tr>
      <w:tr>
        <w:tc>
          <w:tcPr>
            <w:tcW w:type="dxa" w:w="3120"/>
          </w:tcPr>
          <w:p>
            <w:r/>
            <w:r>
              <w:rPr>
                <w:rFonts w:ascii="Inter" w:hAnsi="Inter" w:cs="Inter"/>
                <w:b w:val="0"/>
                <w:i w:val="0"/>
                <w:color w:val="2D2D2D"/>
                <w:sz w:val="19"/>
              </w:rPr>
              <w:t>BTA</w:t>
            </w:r>
          </w:p>
        </w:tc>
        <w:tc>
          <w:tcPr>
            <w:tcW w:type="dxa" w:w="3120"/>
          </w:tcPr>
          <w:p>
            <w:r/>
            <w:r>
              <w:rPr>
                <w:rFonts w:ascii="Inter" w:hAnsi="Inter" w:cs="Inter"/>
                <w:b w:val="0"/>
                <w:i w:val="0"/>
                <w:color w:val="2D2D2D"/>
                <w:sz w:val="19"/>
              </w:rPr>
              <w:t>Bangsamoro Transition Authority</w:t>
            </w:r>
          </w:p>
        </w:tc>
        <w:tc>
          <w:tcPr>
            <w:tcW w:type="dxa" w:w="3120"/>
          </w:tcPr>
          <w:p>
            <w:r/>
            <w:r>
              <w:rPr>
                <w:rFonts w:ascii="Inter" w:hAnsi="Inter" w:cs="Inter"/>
                <w:b w:val="0"/>
                <w:i w:val="0"/>
                <w:color w:val="2D2D2D"/>
                <w:sz w:val="19"/>
              </w:rPr>
              <w:t>The interim parliament (2019-2025) established under the BOL to transition the BARMM from provisional to permanent governance structures; enacted foundational laws and conducted the 2025 elections for the permanent Bangsamoro Parliament.</w:t>
            </w:r>
          </w:p>
        </w:tc>
      </w:tr>
      <w:tr>
        <w:tc>
          <w:tcPr>
            <w:tcW w:type="dxa" w:w="3120"/>
            <w:shd w:fill="F0F3F6"/>
          </w:tcPr>
          <w:p>
            <w:r/>
            <w:r>
              <w:rPr>
                <w:rFonts w:ascii="Inter" w:hAnsi="Inter" w:cs="Inter"/>
                <w:b w:val="0"/>
                <w:i w:val="0"/>
                <w:color w:val="2D2D2D"/>
                <w:sz w:val="19"/>
              </w:rPr>
              <w:t>CO</w:t>
            </w:r>
          </w:p>
        </w:tc>
        <w:tc>
          <w:tcPr>
            <w:tcW w:type="dxa" w:w="3120"/>
            <w:shd w:fill="F0F3F6"/>
          </w:tcPr>
          <w:p>
            <w:r/>
            <w:r>
              <w:rPr>
                <w:rFonts w:ascii="Inter" w:hAnsi="Inter" w:cs="Inter"/>
                <w:b w:val="0"/>
                <w:i w:val="0"/>
                <w:color w:val="2D2D2D"/>
                <w:sz w:val="19"/>
              </w:rPr>
              <w:t>Capital Outlay</w:t>
            </w:r>
          </w:p>
        </w:tc>
        <w:tc>
          <w:tcPr>
            <w:tcW w:type="dxa" w:w="3120"/>
            <w:shd w:fill="F0F3F6"/>
          </w:tcPr>
          <w:p>
            <w:r/>
            <w:r>
              <w:rPr>
                <w:rFonts w:ascii="Inter" w:hAnsi="Inter" w:cs="Inter"/>
                <w:b w:val="0"/>
                <w:i w:val="0"/>
                <w:color w:val="2D2D2D"/>
                <w:sz w:val="19"/>
              </w:rPr>
              <w:t>The budget expense class for procurement of equipment, infrastructure, and assets with a useful life exceeding one year; tracked separately from operational expenses under the Unified Accounts Code Structure (UACS).</w:t>
            </w:r>
          </w:p>
        </w:tc>
      </w:tr>
      <w:tr>
        <w:tc>
          <w:tcPr>
            <w:tcW w:type="dxa" w:w="3120"/>
          </w:tcPr>
          <w:p>
            <w:r/>
            <w:r>
              <w:rPr>
                <w:rFonts w:ascii="Inter" w:hAnsi="Inter" w:cs="Inter"/>
                <w:b w:val="0"/>
                <w:i w:val="0"/>
                <w:color w:val="2D2D2D"/>
                <w:sz w:val="19"/>
              </w:rPr>
              <w:t>CSO</w:t>
            </w:r>
          </w:p>
        </w:tc>
        <w:tc>
          <w:tcPr>
            <w:tcW w:type="dxa" w:w="3120"/>
          </w:tcPr>
          <w:p>
            <w:r/>
            <w:r>
              <w:rPr>
                <w:rFonts w:ascii="Inter" w:hAnsi="Inter" w:cs="Inter"/>
                <w:b w:val="0"/>
                <w:i w:val="0"/>
                <w:color w:val="2D2D2D"/>
                <w:sz w:val="19"/>
              </w:rPr>
              <w:t>Civil Society Organization</w:t>
            </w:r>
          </w:p>
        </w:tc>
        <w:tc>
          <w:tcPr>
            <w:tcW w:type="dxa" w:w="3120"/>
          </w:tcPr>
          <w:p>
            <w:r/>
            <w:r>
              <w:rPr>
                <w:rFonts w:ascii="Inter" w:hAnsi="Inter" w:cs="Inter"/>
                <w:b w:val="0"/>
                <w:i w:val="0"/>
                <w:color w:val="2D2D2D"/>
                <w:sz w:val="19"/>
              </w:rPr>
              <w:t>A non-governmental organization, community-based organization, faith-based group, or professional association that represents constituencies and stakeholder interests outside government; engaged in MOA planning through stakeholder analysis and consultation processes.</w:t>
            </w:r>
          </w:p>
        </w:tc>
      </w:tr>
      <w:tr>
        <w:tc>
          <w:tcPr>
            <w:tcW w:type="dxa" w:w="3120"/>
            <w:shd w:fill="F0F3F6"/>
          </w:tcPr>
          <w:p>
            <w:r/>
            <w:r>
              <w:rPr>
                <w:rFonts w:ascii="Inter" w:hAnsi="Inter" w:cs="Inter"/>
                <w:b w:val="0"/>
                <w:i w:val="0"/>
                <w:color w:val="2D2D2D"/>
                <w:sz w:val="19"/>
              </w:rPr>
              <w:t>FTE</w:t>
            </w:r>
          </w:p>
        </w:tc>
        <w:tc>
          <w:tcPr>
            <w:tcW w:type="dxa" w:w="3120"/>
            <w:shd w:fill="F0F3F6"/>
          </w:tcPr>
          <w:p>
            <w:r/>
            <w:r>
              <w:rPr>
                <w:rFonts w:ascii="Inter" w:hAnsi="Inter" w:cs="Inter"/>
                <w:b w:val="0"/>
                <w:i w:val="0"/>
                <w:color w:val="2D2D2D"/>
                <w:sz w:val="19"/>
              </w:rPr>
              <w:t>Full-Time Equivalent</w:t>
            </w:r>
          </w:p>
        </w:tc>
        <w:tc>
          <w:tcPr>
            <w:tcW w:type="dxa" w:w="3120"/>
            <w:shd w:fill="F0F3F6"/>
          </w:tcPr>
          <w:p>
            <w:r/>
            <w:r>
              <w:rPr>
                <w:rFonts w:ascii="Inter" w:hAnsi="Inter" w:cs="Inter"/>
                <w:b w:val="0"/>
                <w:i w:val="0"/>
                <w:color w:val="2D2D2D"/>
                <w:sz w:val="19"/>
              </w:rPr>
              <w:t>A unit of measurement representing one employee working at full capacity for one fiscal year; used in resource planning to calculate staffing requirements, salary allocations, and organizational plantilla compliance.</w:t>
            </w:r>
          </w:p>
        </w:tc>
      </w:tr>
      <w:tr>
        <w:tc>
          <w:tcPr>
            <w:tcW w:type="dxa" w:w="3120"/>
          </w:tcPr>
          <w:p>
            <w:r/>
            <w:r>
              <w:rPr>
                <w:rFonts w:ascii="Inter" w:hAnsi="Inter" w:cs="Inter"/>
                <w:b w:val="0"/>
                <w:i w:val="0"/>
                <w:color w:val="2D2D2D"/>
                <w:sz w:val="19"/>
              </w:rPr>
              <w:t>GAD</w:t>
            </w:r>
          </w:p>
        </w:tc>
        <w:tc>
          <w:tcPr>
            <w:tcW w:type="dxa" w:w="3120"/>
          </w:tcPr>
          <w:p>
            <w:r/>
            <w:r>
              <w:rPr>
                <w:rFonts w:ascii="Inter" w:hAnsi="Inter" w:cs="Inter"/>
                <w:b w:val="0"/>
                <w:i w:val="0"/>
                <w:color w:val="2D2D2D"/>
                <w:sz w:val="19"/>
              </w:rPr>
              <w:t>Gender and Development</w:t>
            </w:r>
          </w:p>
        </w:tc>
        <w:tc>
          <w:tcPr>
            <w:tcW w:type="dxa" w:w="3120"/>
          </w:tcPr>
          <w:p>
            <w:r/>
            <w:r>
              <w:rPr>
                <w:rFonts w:ascii="Inter" w:hAnsi="Inter" w:cs="Inter"/>
                <w:b w:val="0"/>
                <w:i w:val="0"/>
                <w:color w:val="2D2D2D"/>
                <w:sz w:val="19"/>
              </w:rPr>
              <w:t>The BARMM's mainstreaming approach to ensure that all MOA programs, policies, and budgets explicitly address gender equality, women's empowerment, and social inclusion; requires at least 5% budget allocation for gender-responsive programs.</w:t>
            </w:r>
          </w:p>
        </w:tc>
      </w:tr>
      <w:tr>
        <w:tc>
          <w:tcPr>
            <w:tcW w:type="dxa" w:w="3120"/>
            <w:shd w:fill="F0F3F6"/>
          </w:tcPr>
          <w:p>
            <w:r/>
            <w:r>
              <w:rPr>
                <w:rFonts w:ascii="Inter" w:hAnsi="Inter" w:cs="Inter"/>
                <w:b w:val="0"/>
                <w:i w:val="0"/>
                <w:color w:val="2D2D2D"/>
                <w:sz w:val="19"/>
              </w:rPr>
              <w:t>LGU</w:t>
            </w:r>
          </w:p>
        </w:tc>
        <w:tc>
          <w:tcPr>
            <w:tcW w:type="dxa" w:w="3120"/>
            <w:shd w:fill="F0F3F6"/>
          </w:tcPr>
          <w:p>
            <w:r/>
            <w:r>
              <w:rPr>
                <w:rFonts w:ascii="Inter" w:hAnsi="Inter" w:cs="Inter"/>
                <w:b w:val="0"/>
                <w:i w:val="0"/>
                <w:color w:val="2D2D2D"/>
                <w:sz w:val="19"/>
              </w:rPr>
              <w:t>Local Government Unit</w:t>
            </w:r>
          </w:p>
        </w:tc>
        <w:tc>
          <w:tcPr>
            <w:tcW w:type="dxa" w:w="3120"/>
            <w:shd w:fill="F0F3F6"/>
          </w:tcPr>
          <w:p>
            <w:r/>
            <w:r>
              <w:rPr>
                <w:rFonts w:ascii="Inter" w:hAnsi="Inter" w:cs="Inter"/>
                <w:b w:val="0"/>
                <w:i w:val="0"/>
                <w:color w:val="2D2D2D"/>
                <w:sz w:val="19"/>
              </w:rPr>
              <w:t>A municipality, city, or barangay within the BARMM that implements regional and local development programs; significant stakeholder and implementation partner in MOA strategic plans for service delivery and community-level execution.</w:t>
            </w:r>
          </w:p>
        </w:tc>
      </w:tr>
      <w:tr>
        <w:tc>
          <w:tcPr>
            <w:tcW w:type="dxa" w:w="3120"/>
          </w:tcPr>
          <w:p>
            <w:r/>
            <w:r>
              <w:rPr>
                <w:rFonts w:ascii="Inter" w:hAnsi="Inter" w:cs="Inter"/>
                <w:b w:val="0"/>
                <w:i w:val="0"/>
                <w:color w:val="2D2D2D"/>
                <w:sz w:val="19"/>
              </w:rPr>
              <w:t>Legal Mandate Matrix</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A planning tool that systematically maps each functional area or program of an MOA to its legal basis across the 7-tier BARMM legal hierarchy (Constitution, BOL, Administrative Code, BAAs, national laws, executive orders, jurisprudence).</w:t>
            </w:r>
          </w:p>
        </w:tc>
      </w:tr>
      <w:tr>
        <w:tc>
          <w:tcPr>
            <w:tcW w:type="dxa" w:w="3120"/>
            <w:shd w:fill="F0F3F6"/>
          </w:tcPr>
          <w:p>
            <w:r/>
            <w:r>
              <w:rPr>
                <w:rFonts w:ascii="Inter" w:hAnsi="Inter" w:cs="Inter"/>
                <w:b w:val="0"/>
                <w:i w:val="0"/>
                <w:color w:val="2D2D2D"/>
                <w:sz w:val="19"/>
              </w:rPr>
              <w:t>M&amp;E</w:t>
            </w:r>
          </w:p>
        </w:tc>
        <w:tc>
          <w:tcPr>
            <w:tcW w:type="dxa" w:w="3120"/>
            <w:shd w:fill="F0F3F6"/>
          </w:tcPr>
          <w:p>
            <w:r/>
            <w:r>
              <w:rPr>
                <w:rFonts w:ascii="Inter" w:hAnsi="Inter" w:cs="Inter"/>
                <w:b w:val="0"/>
                <w:i w:val="0"/>
                <w:color w:val="2D2D2D"/>
                <w:sz w:val="19"/>
              </w:rPr>
              <w:t>Monitoring and Evaluation</w:t>
            </w:r>
          </w:p>
        </w:tc>
        <w:tc>
          <w:tcPr>
            <w:tcW w:type="dxa" w:w="3120"/>
            <w:shd w:fill="F0F3F6"/>
          </w:tcPr>
          <w:p>
            <w:r/>
            <w:r>
              <w:rPr>
                <w:rFonts w:ascii="Inter" w:hAnsi="Inter" w:cs="Inter"/>
                <w:b w:val="0"/>
                <w:i w:val="0"/>
                <w:color w:val="2D2D2D"/>
                <w:sz w:val="19"/>
              </w:rPr>
              <w:t>The systematic process of tracking program implementation progress (monitoring) and assessing whether programs achieved their intended results and impact (evaluation); distinct from routine reporting and essential to Results-Based M&amp;E.</w:t>
            </w:r>
          </w:p>
        </w:tc>
      </w:tr>
      <w:tr>
        <w:tc>
          <w:tcPr>
            <w:tcW w:type="dxa" w:w="3120"/>
          </w:tcPr>
          <w:p>
            <w:r/>
            <w:r>
              <w:rPr>
                <w:rFonts w:ascii="Inter" w:hAnsi="Inter" w:cs="Inter"/>
                <w:b w:val="0"/>
                <w:i w:val="0"/>
                <w:color w:val="2D2D2D"/>
                <w:sz w:val="19"/>
              </w:rPr>
              <w:t>MFBM</w:t>
            </w:r>
          </w:p>
        </w:tc>
        <w:tc>
          <w:tcPr>
            <w:tcW w:type="dxa" w:w="3120"/>
          </w:tcPr>
          <w:p>
            <w:r/>
            <w:r>
              <w:rPr>
                <w:rFonts w:ascii="Inter" w:hAnsi="Inter" w:cs="Inter"/>
                <w:b w:val="0"/>
                <w:i w:val="0"/>
                <w:color w:val="2D2D2D"/>
                <w:sz w:val="19"/>
              </w:rPr>
              <w:t>Ministry of Finance, Budget and Management</w:t>
            </w:r>
          </w:p>
        </w:tc>
        <w:tc>
          <w:tcPr>
            <w:tcW w:type="dxa" w:w="3120"/>
          </w:tcPr>
          <w:p>
            <w:r/>
            <w:r>
              <w:rPr>
                <w:rFonts w:ascii="Inter" w:hAnsi="Inter" w:cs="Inter"/>
                <w:b w:val="0"/>
                <w:i w:val="0"/>
                <w:color w:val="2D2D2D"/>
                <w:sz w:val="19"/>
              </w:rPr>
              <w:t>The MOA responsible for preparing the General Appropriations Act, managing public funds, managing state finances, and evaluating whether MOA budget proposals align with strategic plans and fiscal priorities.</w:t>
            </w:r>
          </w:p>
        </w:tc>
      </w:tr>
      <w:tr>
        <w:tc>
          <w:tcPr>
            <w:tcW w:type="dxa" w:w="3120"/>
            <w:shd w:fill="F0F3F6"/>
          </w:tcPr>
          <w:p>
            <w:r/>
            <w:r>
              <w:rPr>
                <w:rFonts w:ascii="Inter" w:hAnsi="Inter" w:cs="Inter"/>
                <w:b w:val="0"/>
                <w:i w:val="0"/>
                <w:color w:val="2D2D2D"/>
                <w:sz w:val="19"/>
              </w:rPr>
              <w:t>MOA</w:t>
            </w:r>
          </w:p>
        </w:tc>
        <w:tc>
          <w:tcPr>
            <w:tcW w:type="dxa" w:w="3120"/>
            <w:shd w:fill="F0F3F6"/>
          </w:tcPr>
          <w:p>
            <w:r/>
            <w:r>
              <w:rPr>
                <w:rFonts w:ascii="Inter" w:hAnsi="Inter" w:cs="Inter"/>
                <w:b w:val="0"/>
                <w:i w:val="0"/>
                <w:color w:val="2D2D2D"/>
                <w:sz w:val="19"/>
              </w:rPr>
              <w:t>Ministry, Office, or Agency</w:t>
            </w:r>
          </w:p>
        </w:tc>
        <w:tc>
          <w:tcPr>
            <w:tcW w:type="dxa" w:w="3120"/>
            <w:shd w:fill="F0F3F6"/>
          </w:tcPr>
          <w:p>
            <w:r/>
            <w:r>
              <w:rPr>
                <w:rFonts w:ascii="Inter" w:hAnsi="Inter" w:cs="Inter"/>
                <w:b w:val="0"/>
                <w:i w:val="0"/>
                <w:color w:val="2D2D2D"/>
                <w:sz w:val="19"/>
              </w:rPr>
              <w:t>Any organizational unit of the Bangsamoro Government that exercises defined mandate, operates a budget, and files a strategic plan; includes 15 primary ministries, independent offices, attached agencies, and autonomous bodies.</w:t>
            </w:r>
          </w:p>
        </w:tc>
      </w:tr>
      <w:tr>
        <w:tc>
          <w:tcPr>
            <w:tcW w:type="dxa" w:w="3120"/>
          </w:tcPr>
          <w:p>
            <w:r/>
            <w:r>
              <w:rPr>
                <w:rFonts w:ascii="Inter" w:hAnsi="Inter" w:cs="Inter"/>
                <w:b w:val="0"/>
                <w:i w:val="0"/>
                <w:color w:val="2D2D2D"/>
                <w:sz w:val="19"/>
              </w:rPr>
              <w:t>MOOE</w:t>
            </w:r>
          </w:p>
        </w:tc>
        <w:tc>
          <w:tcPr>
            <w:tcW w:type="dxa" w:w="3120"/>
          </w:tcPr>
          <w:p>
            <w:r/>
            <w:r>
              <w:rPr>
                <w:rFonts w:ascii="Inter" w:hAnsi="Inter" w:cs="Inter"/>
                <w:b w:val="0"/>
                <w:i w:val="0"/>
                <w:color w:val="2D2D2D"/>
                <w:sz w:val="19"/>
              </w:rPr>
              <w:t>Maintenance and Other Operating Expenses</w:t>
            </w:r>
          </w:p>
        </w:tc>
        <w:tc>
          <w:tcPr>
            <w:tcW w:type="dxa" w:w="3120"/>
          </w:tcPr>
          <w:p>
            <w:r/>
            <w:r>
              <w:rPr>
                <w:rFonts w:ascii="Inter" w:hAnsi="Inter" w:cs="Inter"/>
                <w:b w:val="0"/>
                <w:i w:val="0"/>
                <w:color w:val="2D2D2D"/>
                <w:sz w:val="19"/>
              </w:rPr>
              <w:t>The budget expense class for routine operational costs such as utilities, repairs, supplies, contracted services, and travel; does not include personnel salaries or capital purchases.</w:t>
            </w:r>
          </w:p>
        </w:tc>
      </w:tr>
      <w:tr>
        <w:tc>
          <w:tcPr>
            <w:tcW w:type="dxa" w:w="3120"/>
            <w:shd w:fill="F0F3F6"/>
          </w:tcPr>
          <w:p>
            <w:r/>
            <w:r>
              <w:rPr>
                <w:rFonts w:ascii="Inter" w:hAnsi="Inter" w:cs="Inter"/>
                <w:b w:val="0"/>
                <w:i w:val="0"/>
                <w:color w:val="2D2D2D"/>
                <w:sz w:val="19"/>
              </w:rPr>
              <w:t>OCM</w:t>
            </w:r>
          </w:p>
        </w:tc>
        <w:tc>
          <w:tcPr>
            <w:tcW w:type="dxa" w:w="3120"/>
            <w:shd w:fill="F0F3F6"/>
          </w:tcPr>
          <w:p>
            <w:r/>
            <w:r>
              <w:rPr>
                <w:rFonts w:ascii="Inter" w:hAnsi="Inter" w:cs="Inter"/>
                <w:b w:val="0"/>
                <w:i w:val="0"/>
                <w:color w:val="2D2D2D"/>
                <w:sz w:val="19"/>
              </w:rPr>
              <w:t>Office of the Chief Minister</w:t>
            </w:r>
          </w:p>
        </w:tc>
        <w:tc>
          <w:tcPr>
            <w:tcW w:type="dxa" w:w="3120"/>
            <w:shd w:fill="F0F3F6"/>
          </w:tcPr>
          <w:p>
            <w:r/>
            <w:r>
              <w:rPr>
                <w:rFonts w:ascii="Inter" w:hAnsi="Inter" w:cs="Inter"/>
                <w:b w:val="0"/>
                <w:i w:val="0"/>
                <w:color w:val="2D2D2D"/>
                <w:sz w:val="19"/>
              </w:rPr>
              <w:t>The principal staff office of the Chief Minister responsible for policy coordination, inter-agency liaison, special projects, and overall executive administration of the Bangsamoro Government.</w:t>
            </w:r>
          </w:p>
        </w:tc>
      </w:tr>
      <w:tr>
        <w:tc>
          <w:tcPr>
            <w:tcW w:type="dxa" w:w="3120"/>
          </w:tcPr>
          <w:p>
            <w:r/>
            <w:r>
              <w:rPr>
                <w:rFonts w:ascii="Inter" w:hAnsi="Inter" w:cs="Inter"/>
                <w:b w:val="0"/>
                <w:i w:val="0"/>
                <w:color w:val="2D2D2D"/>
                <w:sz w:val="19"/>
              </w:rPr>
              <w:t>Outcome</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The medium-term result of a program or project, typically achieved within 1-3 years, representing a change in knowledge, attitude, behavior, practice, or condition among target beneficiaries; sits between outputs and impact in the Results-Based M&amp;E framework.</w:t>
            </w:r>
          </w:p>
        </w:tc>
      </w:tr>
      <w:tr>
        <w:tc>
          <w:tcPr>
            <w:tcW w:type="dxa" w:w="3120"/>
            <w:shd w:fill="F0F3F6"/>
          </w:tcPr>
          <w:p>
            <w:r/>
            <w:r>
              <w:rPr>
                <w:rFonts w:ascii="Inter" w:hAnsi="Inter" w:cs="Inter"/>
                <w:b w:val="0"/>
                <w:i w:val="0"/>
                <w:color w:val="2D2D2D"/>
                <w:sz w:val="19"/>
              </w:rPr>
              <w:t>Output</w:t>
            </w:r>
          </w:p>
        </w:tc>
        <w:tc>
          <w:tcPr>
            <w:tcW w:type="dxa" w:w="3120"/>
            <w:shd w:fill="F0F3F6"/>
          </w:tcPr>
          <w:p>
            <w:r/>
            <w:r>
              <w:rPr>
                <w:rFonts w:ascii="Inter" w:hAnsi="Inter" w:cs="Inter"/>
                <w:b w:val="0"/>
                <w:i w:val="0"/>
                <w:color w:val="2D2D2D"/>
                <w:sz w:val="19"/>
              </w:rPr>
              <w:t>---</w:t>
            </w:r>
          </w:p>
        </w:tc>
        <w:tc>
          <w:tcPr>
            <w:tcW w:type="dxa" w:w="3120"/>
            <w:shd w:fill="F0F3F6"/>
          </w:tcPr>
          <w:p>
            <w:r/>
            <w:r>
              <w:rPr>
                <w:rFonts w:ascii="Inter" w:hAnsi="Inter" w:cs="Inter"/>
                <w:b w:val="0"/>
                <w:i w:val="0"/>
                <w:color w:val="2D2D2D"/>
                <w:sz w:val="19"/>
              </w:rPr>
              <w:t>The immediate, tangible product or service delivered through a program or project (e.g., number of training participants, curriculum developed, health clinics established); measured at the completion of implementation.</w:t>
            </w:r>
          </w:p>
        </w:tc>
      </w:tr>
      <w:tr>
        <w:tc>
          <w:tcPr>
            <w:tcW w:type="dxa" w:w="3120"/>
          </w:tcPr>
          <w:p>
            <w:r/>
            <w:r>
              <w:rPr>
                <w:rFonts w:ascii="Inter" w:hAnsi="Inter" w:cs="Inter"/>
                <w:b w:val="0"/>
                <w:i w:val="0"/>
                <w:color w:val="2D2D2D"/>
                <w:sz w:val="19"/>
              </w:rPr>
              <w:t>Plantilla</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The official staffing pattern and organizational structure of an MOA, specifying the number and position titles authorized by law; determines salary obligations, FTE calculations, and human resource planning constraints.</w:t>
            </w:r>
          </w:p>
        </w:tc>
      </w:tr>
      <w:tr>
        <w:tc>
          <w:tcPr>
            <w:tcW w:type="dxa" w:w="3120"/>
            <w:shd w:fill="F0F3F6"/>
          </w:tcPr>
          <w:p>
            <w:r/>
            <w:r>
              <w:rPr>
                <w:rFonts w:ascii="Inter" w:hAnsi="Inter" w:cs="Inter"/>
                <w:b w:val="0"/>
                <w:i w:val="0"/>
                <w:color w:val="2D2D2D"/>
                <w:sz w:val="19"/>
              </w:rPr>
              <w:t>PPA</w:t>
            </w:r>
          </w:p>
        </w:tc>
        <w:tc>
          <w:tcPr>
            <w:tcW w:type="dxa" w:w="3120"/>
            <w:shd w:fill="F0F3F6"/>
          </w:tcPr>
          <w:p>
            <w:r/>
            <w:r>
              <w:rPr>
                <w:rFonts w:ascii="Inter" w:hAnsi="Inter" w:cs="Inter"/>
                <w:b w:val="0"/>
                <w:i w:val="0"/>
                <w:color w:val="2D2D2D"/>
                <w:sz w:val="19"/>
              </w:rPr>
              <w:t>Program, Project, Activity</w:t>
            </w:r>
          </w:p>
        </w:tc>
        <w:tc>
          <w:tcPr>
            <w:tcW w:type="dxa" w:w="3120"/>
            <w:shd w:fill="F0F3F6"/>
          </w:tcPr>
          <w:p>
            <w:r/>
            <w:r>
              <w:rPr>
                <w:rFonts w:ascii="Inter" w:hAnsi="Inter" w:cs="Inter"/>
                <w:b w:val="0"/>
                <w:i w:val="0"/>
                <w:color w:val="2D2D2D"/>
                <w:sz w:val="19"/>
              </w:rPr>
              <w:t>The three-level classification of all MOA work: Programs are ongoing sectoral initiatives, Projects are time-bounded deliverables with defined output, and Activities are routine tasks supporting program/project delivery.</w:t>
            </w:r>
          </w:p>
        </w:tc>
      </w:tr>
      <w:tr>
        <w:tc>
          <w:tcPr>
            <w:tcW w:type="dxa" w:w="3120"/>
          </w:tcPr>
          <w:p>
            <w:r/>
            <w:r>
              <w:rPr>
                <w:rFonts w:ascii="Inter" w:hAnsi="Inter" w:cs="Inter"/>
                <w:b w:val="0"/>
                <w:i w:val="0"/>
                <w:color w:val="2D2D2D"/>
                <w:sz w:val="19"/>
              </w:rPr>
              <w:t>PS</w:t>
            </w:r>
          </w:p>
        </w:tc>
        <w:tc>
          <w:tcPr>
            <w:tcW w:type="dxa" w:w="3120"/>
          </w:tcPr>
          <w:p>
            <w:r/>
            <w:r>
              <w:rPr>
                <w:rFonts w:ascii="Inter" w:hAnsi="Inter" w:cs="Inter"/>
                <w:b w:val="0"/>
                <w:i w:val="0"/>
                <w:color w:val="2D2D2D"/>
                <w:sz w:val="19"/>
              </w:rPr>
              <w:t>Personal Services</w:t>
            </w:r>
          </w:p>
        </w:tc>
        <w:tc>
          <w:tcPr>
            <w:tcW w:type="dxa" w:w="3120"/>
          </w:tcPr>
          <w:p>
            <w:r/>
            <w:r>
              <w:rPr>
                <w:rFonts w:ascii="Inter" w:hAnsi="Inter" w:cs="Inter"/>
                <w:b w:val="0"/>
                <w:i w:val="0"/>
                <w:color w:val="2D2D2D"/>
                <w:sz w:val="19"/>
              </w:rPr>
              <w:t>The budget expense class for employee salaries, wages, benefits, and compensation; the largest operating cost for most MOAs and subject to plantilla authorization.</w:t>
            </w:r>
          </w:p>
        </w:tc>
      </w:tr>
      <w:tr>
        <w:tc>
          <w:tcPr>
            <w:tcW w:type="dxa" w:w="3120"/>
            <w:shd w:fill="F0F3F6"/>
          </w:tcPr>
          <w:p>
            <w:r/>
            <w:r>
              <w:rPr>
                <w:rFonts w:ascii="Inter" w:hAnsi="Inter" w:cs="Inter"/>
                <w:b w:val="0"/>
                <w:i w:val="0"/>
                <w:color w:val="2D2D2D"/>
                <w:sz w:val="19"/>
              </w:rPr>
              <w:t>RBME</w:t>
            </w:r>
          </w:p>
        </w:tc>
        <w:tc>
          <w:tcPr>
            <w:tcW w:type="dxa" w:w="3120"/>
            <w:shd w:fill="F0F3F6"/>
          </w:tcPr>
          <w:p>
            <w:r/>
            <w:r>
              <w:rPr>
                <w:rFonts w:ascii="Inter" w:hAnsi="Inter" w:cs="Inter"/>
                <w:b w:val="0"/>
                <w:i w:val="0"/>
                <w:color w:val="2D2D2D"/>
                <w:sz w:val="19"/>
              </w:rPr>
              <w:t>Results-Based Monitoring and Evaluation</w:t>
            </w:r>
          </w:p>
        </w:tc>
        <w:tc>
          <w:tcPr>
            <w:tcW w:type="dxa" w:w="3120"/>
            <w:shd w:fill="F0F3F6"/>
          </w:tcPr>
          <w:p>
            <w:r/>
            <w:r>
              <w:rPr>
                <w:rFonts w:ascii="Inter" w:hAnsi="Inter" w:cs="Inter"/>
                <w:b w:val="0"/>
                <w:i w:val="0"/>
                <w:color w:val="2D2D2D"/>
                <w:sz w:val="19"/>
              </w:rPr>
              <w:t>A systematic approach to monitoring and evaluation that tracks inputs, processes, outputs, outcomes, and impact using specific performance indicators aligned with the Theory of Change; BARMM's required standard for MOA performance measurement.</w:t>
            </w:r>
          </w:p>
        </w:tc>
      </w:tr>
      <w:tr>
        <w:tc>
          <w:tcPr>
            <w:tcW w:type="dxa" w:w="3120"/>
          </w:tcPr>
          <w:p>
            <w:r/>
            <w:r>
              <w:rPr>
                <w:rFonts w:ascii="Inter" w:hAnsi="Inter" w:cs="Inter"/>
                <w:b w:val="0"/>
                <w:i w:val="0"/>
                <w:color w:val="2D2D2D"/>
                <w:sz w:val="19"/>
              </w:rPr>
              <w:t>SMART</w:t>
            </w:r>
          </w:p>
        </w:tc>
        <w:tc>
          <w:tcPr>
            <w:tcW w:type="dxa" w:w="3120"/>
          </w:tcPr>
          <w:p>
            <w:r/>
            <w:r>
              <w:rPr>
                <w:rFonts w:ascii="Inter" w:hAnsi="Inter" w:cs="Inter"/>
                <w:b w:val="0"/>
                <w:i w:val="0"/>
                <w:color w:val="2D2D2D"/>
                <w:sz w:val="19"/>
              </w:rPr>
              <w:t>Specific, Measurable, Achievable, Relevant, Time-bound</w:t>
            </w:r>
          </w:p>
        </w:tc>
        <w:tc>
          <w:tcPr>
            <w:tcW w:type="dxa" w:w="3120"/>
          </w:tcPr>
          <w:p>
            <w:r/>
            <w:r>
              <w:rPr>
                <w:rFonts w:ascii="Inter" w:hAnsi="Inter" w:cs="Inter"/>
                <w:b w:val="0"/>
                <w:i w:val="0"/>
                <w:color w:val="2D2D2D"/>
                <w:sz w:val="19"/>
              </w:rPr>
              <w:t>The criteria for designing strategic objectives and performance targets; Specific (clear and unambiguous), Measurable (quantifiable), Achievable (realistic), Relevant (aligned with MOA mandate and BDP), and Time-bound (with a defined deadline).</w:t>
            </w:r>
          </w:p>
        </w:tc>
      </w:tr>
      <w:tr>
        <w:tc>
          <w:tcPr>
            <w:tcW w:type="dxa" w:w="3120"/>
            <w:shd w:fill="F0F3F6"/>
          </w:tcPr>
          <w:p>
            <w:r/>
            <w:r>
              <w:rPr>
                <w:rFonts w:ascii="Inter" w:hAnsi="Inter" w:cs="Inter"/>
                <w:b w:val="0"/>
                <w:i w:val="0"/>
                <w:color w:val="2D2D2D"/>
                <w:sz w:val="19"/>
              </w:rPr>
              <w:t>Stakeholder</w:t>
            </w:r>
          </w:p>
        </w:tc>
        <w:tc>
          <w:tcPr>
            <w:tcW w:type="dxa" w:w="3120"/>
            <w:shd w:fill="F0F3F6"/>
          </w:tcPr>
          <w:p>
            <w:r/>
            <w:r>
              <w:rPr>
                <w:rFonts w:ascii="Inter" w:hAnsi="Inter" w:cs="Inter"/>
                <w:b w:val="0"/>
                <w:i w:val="0"/>
                <w:color w:val="2D2D2D"/>
                <w:sz w:val="19"/>
              </w:rPr>
              <w:t>---</w:t>
            </w:r>
          </w:p>
        </w:tc>
        <w:tc>
          <w:tcPr>
            <w:tcW w:type="dxa" w:w="3120"/>
            <w:shd w:fill="F0F3F6"/>
          </w:tcPr>
          <w:p>
            <w:r/>
            <w:r>
              <w:rPr>
                <w:rFonts w:ascii="Inter" w:hAnsi="Inter" w:cs="Inter"/>
                <w:b w:val="0"/>
                <w:i w:val="0"/>
                <w:color w:val="2D2D2D"/>
                <w:sz w:val="19"/>
              </w:rPr>
              <w:t>Any individual, group, or organization with a legitimate interest in or power to influence an MOA's strategic plan; includes primary beneficiaries, implementing partners, oversight bodies, funding agencies, and affected communities.</w:t>
            </w:r>
          </w:p>
        </w:tc>
      </w:tr>
      <w:tr>
        <w:tc>
          <w:tcPr>
            <w:tcW w:type="dxa" w:w="3120"/>
          </w:tcPr>
          <w:p>
            <w:r/>
            <w:r>
              <w:rPr>
                <w:rFonts w:ascii="Inter" w:hAnsi="Inter" w:cs="Inter"/>
                <w:b w:val="0"/>
                <w:i w:val="0"/>
                <w:color w:val="2D2D2D"/>
                <w:sz w:val="19"/>
              </w:rPr>
              <w:t>Strategic Objective</w:t>
            </w:r>
          </w:p>
        </w:tc>
        <w:tc>
          <w:tcPr>
            <w:tcW w:type="dxa" w:w="3120"/>
          </w:tcPr>
          <w:p>
            <w:r/>
            <w:r>
              <w:rPr>
                <w:rFonts w:ascii="Inter" w:hAnsi="Inter" w:cs="Inter"/>
                <w:b w:val="0"/>
                <w:i w:val="0"/>
                <w:color w:val="2D2D2D"/>
                <w:sz w:val="19"/>
              </w:rPr>
              <w:t>---</w:t>
            </w:r>
          </w:p>
        </w:tc>
        <w:tc>
          <w:tcPr>
            <w:tcW w:type="dxa" w:w="3120"/>
          </w:tcPr>
          <w:p>
            <w:r/>
            <w:r>
              <w:rPr>
                <w:rFonts w:ascii="Inter" w:hAnsi="Inter" w:cs="Inter"/>
                <w:b w:val="0"/>
                <w:i w:val="0"/>
                <w:color w:val="2D2D2D"/>
                <w:sz w:val="19"/>
              </w:rPr>
              <w:t>A SMART-formatted statement of what an MOA intends to achieve in support of its mission and in alignment with the BDP goals; sits at the midpoint between broad vision and specific programs, and is the foundation for Results-Based M&amp;E.</w:t>
            </w:r>
          </w:p>
        </w:tc>
      </w:tr>
      <w:tr>
        <w:tc>
          <w:tcPr>
            <w:tcW w:type="dxa" w:w="3120"/>
            <w:shd w:fill="F0F3F6"/>
          </w:tcPr>
          <w:p>
            <w:r/>
            <w:r>
              <w:rPr>
                <w:rFonts w:ascii="Inter" w:hAnsi="Inter" w:cs="Inter"/>
                <w:b w:val="0"/>
                <w:i w:val="0"/>
                <w:color w:val="2D2D2D"/>
                <w:sz w:val="19"/>
              </w:rPr>
              <w:t>SWOT</w:t>
            </w:r>
          </w:p>
        </w:tc>
        <w:tc>
          <w:tcPr>
            <w:tcW w:type="dxa" w:w="3120"/>
            <w:shd w:fill="F0F3F6"/>
          </w:tcPr>
          <w:p>
            <w:r/>
            <w:r>
              <w:rPr>
                <w:rFonts w:ascii="Inter" w:hAnsi="Inter" w:cs="Inter"/>
                <w:b w:val="0"/>
                <w:i w:val="0"/>
                <w:color w:val="2D2D2D"/>
                <w:sz w:val="19"/>
              </w:rPr>
              <w:t>Strengths, Weaknesses, Opportunities, Threats</w:t>
            </w:r>
          </w:p>
        </w:tc>
        <w:tc>
          <w:tcPr>
            <w:tcW w:type="dxa" w:w="3120"/>
            <w:shd w:fill="F0F3F6"/>
          </w:tcPr>
          <w:p>
            <w:r/>
            <w:r>
              <w:rPr>
                <w:rFonts w:ascii="Inter" w:hAnsi="Inter" w:cs="Inter"/>
                <w:b w:val="0"/>
                <w:i w:val="0"/>
                <w:color w:val="2D2D2D"/>
                <w:sz w:val="19"/>
              </w:rPr>
              <w:t>A strategic analysis tool used in Point 5 (Strategy Analysis) to assess the MOA's internal capacity (strengths, weaknesses) and external context (opportunities, threats); informs the definition of strategic objectives and competitive positioning.</w:t>
            </w:r>
          </w:p>
        </w:tc>
      </w:tr>
      <w:tr>
        <w:tc>
          <w:tcPr>
            <w:tcW w:type="dxa" w:w="3120"/>
          </w:tcPr>
          <w:p>
            <w:r/>
            <w:r>
              <w:rPr>
                <w:rFonts w:ascii="Inter" w:hAnsi="Inter" w:cs="Inter"/>
                <w:b w:val="0"/>
                <w:i w:val="0"/>
                <w:color w:val="2D2D2D"/>
                <w:sz w:val="19"/>
              </w:rPr>
              <w:t>Theory of Change</w:t>
            </w:r>
          </w:p>
        </w:tc>
        <w:tc>
          <w:tcPr>
            <w:tcW w:type="dxa" w:w="3120"/>
          </w:tcPr>
          <w:p>
            <w:r/>
            <w:r>
              <w:rPr>
                <w:rFonts w:ascii="Inter" w:hAnsi="Inter" w:cs="Inter"/>
                <w:b w:val="0"/>
                <w:i w:val="0"/>
                <w:color w:val="2D2D2D"/>
                <w:sz w:val="19"/>
              </w:rPr>
              <w:t>ToC</w:t>
            </w:r>
          </w:p>
        </w:tc>
        <w:tc>
          <w:tcPr>
            <w:tcW w:type="dxa" w:w="3120"/>
          </w:tcPr>
          <w:p>
            <w:r/>
            <w:r>
              <w:rPr>
                <w:rFonts w:ascii="Inter" w:hAnsi="Inter" w:cs="Inter"/>
                <w:b w:val="0"/>
                <w:i w:val="0"/>
                <w:color w:val="2D2D2D"/>
                <w:sz w:val="19"/>
              </w:rPr>
              <w:t>A visual and narrative model that explains the causal pathway by which an MOA's activities will produce outputs, then outcomes, then impact; explicitly states assumptions and preconditions at each stage; foundation for Results-Based M&amp;E design.</w:t>
            </w:r>
          </w:p>
        </w:tc>
      </w:tr>
      <w:tr>
        <w:tc>
          <w:tcPr>
            <w:tcW w:type="dxa" w:w="3120"/>
            <w:shd w:fill="F0F3F6"/>
          </w:tcPr>
          <w:p>
            <w:r/>
            <w:r>
              <w:rPr>
                <w:rFonts w:ascii="Inter" w:hAnsi="Inter" w:cs="Inter"/>
                <w:b w:val="0"/>
                <w:i w:val="0"/>
                <w:color w:val="2D2D2D"/>
                <w:sz w:val="19"/>
              </w:rPr>
              <w:t>UACS</w:t>
            </w:r>
          </w:p>
        </w:tc>
        <w:tc>
          <w:tcPr>
            <w:tcW w:type="dxa" w:w="3120"/>
            <w:shd w:fill="F0F3F6"/>
          </w:tcPr>
          <w:p>
            <w:r/>
            <w:r>
              <w:rPr>
                <w:rFonts w:ascii="Inter" w:hAnsi="Inter" w:cs="Inter"/>
                <w:b w:val="0"/>
                <w:i w:val="0"/>
                <w:color w:val="2D2D2D"/>
                <w:sz w:val="19"/>
              </w:rPr>
              <w:t>Unified Accounts Code Structure</w:t>
            </w:r>
          </w:p>
        </w:tc>
        <w:tc>
          <w:tcPr>
            <w:tcW w:type="dxa" w:w="3120"/>
            <w:shd w:fill="F0F3F6"/>
          </w:tcPr>
          <w:p>
            <w:r/>
            <w:r>
              <w:rPr>
                <w:rFonts w:ascii="Inter" w:hAnsi="Inter" w:cs="Inter"/>
                <w:b w:val="0"/>
                <w:i w:val="0"/>
                <w:color w:val="2D2D2D"/>
                <w:sz w:val="19"/>
              </w:rPr>
              <w:t>The standardized classification system for government budget accounts, used to code all MOA expenditures (Personal Services, MOOE, Capital Outlay) and link spending to specific programs, projects, and activities for audit and reporting.</w:t>
            </w:r>
          </w:p>
        </w:tc>
      </w:tr>
    </w:tbl>
    <w:p/>
    <w:p>
      <w:pPr>
        <w:pStyle w:val="Heading2"/>
      </w:pPr>
      <w:r>
        <w:rPr>
          <w:rFonts w:ascii="Inter" w:hAnsi="Inter" w:cs="Inter"/>
          <w:b/>
          <w:i w:val="0"/>
          <w:color w:val="1B365D"/>
          <w:sz w:val="32"/>
        </w:rPr>
        <w:t>Appendix G: Legal References</w:t>
      </w:r>
    </w:p>
    <w:p>
      <w:pPr>
        <w:spacing w:after="120" w:line="276" w:lineRule="auto"/>
      </w:pPr>
      <w:r>
        <w:rPr>
          <w:rFonts w:ascii="Inter" w:hAnsi="Inter" w:cs="Inter"/>
          <w:b w:val="0"/>
          <w:i w:val="0"/>
          <w:color w:val="2D2D2D"/>
          <w:sz w:val="22"/>
        </w:rPr>
        <w:t>This appendix collects key legal provisions that MOA planning officers will reference most frequently during the strategic planning process. For each provision, the appendix identifies the law, the relevant section, a summary of its content, and its application to strategic planning.</w:t>
      </w:r>
    </w:p>
    <w:p>
      <w:pPr>
        <w:pStyle w:val="Heading3"/>
      </w:pPr>
      <w:r>
        <w:rPr>
          <w:rFonts w:ascii="Inter" w:hAnsi="Inter" w:cs="Inter"/>
          <w:b/>
          <w:i w:val="0"/>
          <w:color w:val="2C5F7C"/>
          <w:sz w:val="26"/>
        </w:rPr>
        <w:t>Republic Act No. 11054 --- Bangsamoro Organic Law (BOL)</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Provision</w:t>
            </w:r>
          </w:p>
        </w:tc>
        <w:tc>
          <w:tcPr>
            <w:tcW w:type="dxa" w:w="3120"/>
            <w:shd w:fill="1B365D"/>
          </w:tcPr>
          <w:p>
            <w:r/>
            <w:r>
              <w:rPr>
                <w:rFonts w:ascii="Inter" w:hAnsi="Inter" w:cs="Inter"/>
                <w:b/>
                <w:i w:val="0"/>
                <w:color w:val="FFFFFF"/>
                <w:sz w:val="19"/>
              </w:rPr>
              <w:t>Content Summary</w:t>
            </w:r>
          </w:p>
        </w:tc>
        <w:tc>
          <w:tcPr>
            <w:tcW w:type="dxa" w:w="3120"/>
            <w:shd w:fill="1B365D"/>
          </w:tcPr>
          <w:p>
            <w:r/>
            <w:r>
              <w:rPr>
                <w:rFonts w:ascii="Inter" w:hAnsi="Inter" w:cs="Inter"/>
                <w:b/>
                <w:i w:val="0"/>
                <w:color w:val="FFFFFF"/>
                <w:sz w:val="19"/>
              </w:rPr>
              <w:t>Application to Strategic Planning</w:t>
            </w:r>
          </w:p>
        </w:tc>
      </w:tr>
      <w:tr>
        <w:tc>
          <w:tcPr>
            <w:tcW w:type="dxa" w:w="3120"/>
          </w:tcPr>
          <w:p>
            <w:r/>
            <w:r>
              <w:rPr>
                <w:rFonts w:ascii="Inter" w:hAnsi="Inter" w:cs="Inter"/>
                <w:b w:val="0"/>
                <w:i w:val="0"/>
                <w:color w:val="2D2D2D"/>
                <w:sz w:val="19"/>
              </w:rPr>
              <w:t>Art. I, Sec. 3</w:t>
            </w:r>
          </w:p>
        </w:tc>
        <w:tc>
          <w:tcPr>
            <w:tcW w:type="dxa" w:w="3120"/>
          </w:tcPr>
          <w:p>
            <w:r/>
            <w:r>
              <w:rPr>
                <w:rFonts w:ascii="Inter" w:hAnsi="Inter" w:cs="Inter"/>
                <w:b w:val="0"/>
                <w:i w:val="0"/>
                <w:color w:val="2D2D2D"/>
                <w:sz w:val="19"/>
              </w:rPr>
              <w:t>Establishes the BARMM for "meaningful self-governance within the framework of the Constitution."[^60]</w:t>
            </w:r>
          </w:p>
        </w:tc>
        <w:tc>
          <w:tcPr>
            <w:tcW w:type="dxa" w:w="3120"/>
          </w:tcPr>
          <w:p>
            <w:r/>
            <w:r>
              <w:rPr>
                <w:rFonts w:ascii="Inter" w:hAnsi="Inter" w:cs="Inter"/>
                <w:b w:val="0"/>
                <w:i w:val="0"/>
                <w:color w:val="2D2D2D"/>
                <w:sz w:val="19"/>
              </w:rPr>
              <w:t>Constitutional purpose underpinning all MOA mandates.</w:t>
            </w:r>
          </w:p>
        </w:tc>
      </w:tr>
      <w:tr>
        <w:tc>
          <w:tcPr>
            <w:tcW w:type="dxa" w:w="3120"/>
            <w:shd w:fill="F0F3F6"/>
          </w:tcPr>
          <w:p>
            <w:r/>
            <w:r>
              <w:rPr>
                <w:rFonts w:ascii="Inter" w:hAnsi="Inter" w:cs="Inter"/>
                <w:b w:val="0"/>
                <w:i w:val="0"/>
                <w:color w:val="2D2D2D"/>
                <w:sz w:val="19"/>
              </w:rPr>
              <w:t>Art. IV, Sec. 2</w:t>
            </w:r>
          </w:p>
        </w:tc>
        <w:tc>
          <w:tcPr>
            <w:tcW w:type="dxa" w:w="3120"/>
            <w:shd w:fill="F0F3F6"/>
          </w:tcPr>
          <w:p>
            <w:r/>
            <w:r>
              <w:rPr>
                <w:rFonts w:ascii="Inter" w:hAnsi="Inter" w:cs="Inter"/>
                <w:b w:val="0"/>
                <w:i w:val="0"/>
                <w:color w:val="2D2D2D"/>
                <w:sz w:val="19"/>
              </w:rPr>
              <w:t>The BARMM "is free to pursue its political, economic, social, and cultural development."[^61]</w:t>
            </w:r>
          </w:p>
        </w:tc>
        <w:tc>
          <w:tcPr>
            <w:tcW w:type="dxa" w:w="3120"/>
            <w:shd w:fill="F0F3F6"/>
          </w:tcPr>
          <w:p>
            <w:r/>
            <w:r>
              <w:rPr>
                <w:rFonts w:ascii="Inter" w:hAnsi="Inter" w:cs="Inter"/>
                <w:b w:val="0"/>
                <w:i w:val="0"/>
                <w:color w:val="2D2D2D"/>
                <w:sz w:val="19"/>
              </w:rPr>
              <w:t>Legal basis for autonomous development planning.</w:t>
            </w:r>
          </w:p>
        </w:tc>
      </w:tr>
      <w:tr>
        <w:tc>
          <w:tcPr>
            <w:tcW w:type="dxa" w:w="3120"/>
          </w:tcPr>
          <w:p>
            <w:r/>
            <w:r>
              <w:rPr>
                <w:rFonts w:ascii="Inter" w:hAnsi="Inter" w:cs="Inter"/>
                <w:b w:val="0"/>
                <w:i w:val="0"/>
                <w:color w:val="2D2D2D"/>
                <w:sz w:val="19"/>
              </w:rPr>
              <w:t>Art. V, Sec. 2</w:t>
            </w:r>
          </w:p>
        </w:tc>
        <w:tc>
          <w:tcPr>
            <w:tcW w:type="dxa" w:w="3120"/>
          </w:tcPr>
          <w:p>
            <w:r/>
            <w:r>
              <w:rPr>
                <w:rFonts w:ascii="Inter" w:hAnsi="Inter" w:cs="Inter"/>
                <w:b w:val="0"/>
                <w:i w:val="0"/>
                <w:color w:val="2D2D2D"/>
                <w:sz w:val="19"/>
              </w:rPr>
              <w:t>Enumerates 55 exclusive powers of the Bangsamoro Government, from (a) administration of justice through (ccc) water supply and services.[^62]</w:t>
            </w:r>
          </w:p>
        </w:tc>
        <w:tc>
          <w:tcPr>
            <w:tcW w:type="dxa" w:w="3120"/>
          </w:tcPr>
          <w:p>
            <w:r/>
            <w:r>
              <w:rPr>
                <w:rFonts w:ascii="Inter" w:hAnsi="Inter" w:cs="Inter"/>
                <w:b w:val="0"/>
                <w:i w:val="0"/>
                <w:color w:val="2D2D2D"/>
                <w:sz w:val="19"/>
              </w:rPr>
              <w:t>Every MOA's mandate traces to one or more of these enumerated powers. The foundation of the Legal Mandate Matrix.</w:t>
            </w:r>
          </w:p>
        </w:tc>
      </w:tr>
      <w:tr>
        <w:tc>
          <w:tcPr>
            <w:tcW w:type="dxa" w:w="3120"/>
            <w:shd w:fill="F0F3F6"/>
          </w:tcPr>
          <w:p>
            <w:r/>
            <w:r>
              <w:rPr>
                <w:rFonts w:ascii="Inter" w:hAnsi="Inter" w:cs="Inter"/>
                <w:b w:val="0"/>
                <w:i w:val="0"/>
                <w:color w:val="2D2D2D"/>
                <w:sz w:val="19"/>
              </w:rPr>
              <w:t>Art. V, Sec. 3</w:t>
            </w:r>
          </w:p>
        </w:tc>
        <w:tc>
          <w:tcPr>
            <w:tcW w:type="dxa" w:w="3120"/>
            <w:shd w:fill="F0F3F6"/>
          </w:tcPr>
          <w:p>
            <w:r/>
            <w:r>
              <w:rPr>
                <w:rFonts w:ascii="Inter" w:hAnsi="Inter" w:cs="Inter"/>
                <w:b w:val="0"/>
                <w:i w:val="0"/>
                <w:color w:val="2D2D2D"/>
                <w:sz w:val="19"/>
              </w:rPr>
              <w:t>General welfare clause: powers "expressly granted, those necessarily implied therefrom, as well as powers necessary, appropriate, or incidental for its efficient and effective governance."[^63]</w:t>
            </w:r>
          </w:p>
        </w:tc>
        <w:tc>
          <w:tcPr>
            <w:tcW w:type="dxa" w:w="3120"/>
            <w:shd w:fill="F0F3F6"/>
          </w:tcPr>
          <w:p>
            <w:r/>
            <w:r>
              <w:rPr>
                <w:rFonts w:ascii="Inter" w:hAnsi="Inter" w:cs="Inter"/>
                <w:b w:val="0"/>
                <w:i w:val="0"/>
                <w:color w:val="2D2D2D"/>
                <w:sz w:val="19"/>
              </w:rPr>
              <w:t>Permits MOAs to include incidental functions in strategic plans when traceable to an express grant.</w:t>
            </w:r>
          </w:p>
        </w:tc>
      </w:tr>
      <w:tr>
        <w:tc>
          <w:tcPr>
            <w:tcW w:type="dxa" w:w="3120"/>
          </w:tcPr>
          <w:p>
            <w:r/>
            <w:r>
              <w:rPr>
                <w:rFonts w:ascii="Inter" w:hAnsi="Inter" w:cs="Inter"/>
                <w:b w:val="0"/>
                <w:i w:val="0"/>
                <w:color w:val="2D2D2D"/>
                <w:sz w:val="19"/>
              </w:rPr>
              <w:t>Art. VII, Sec. 2</w:t>
            </w:r>
          </w:p>
        </w:tc>
        <w:tc>
          <w:tcPr>
            <w:tcW w:type="dxa" w:w="3120"/>
          </w:tcPr>
          <w:p>
            <w:r/>
            <w:r>
              <w:rPr>
                <w:rFonts w:ascii="Inter" w:hAnsi="Inter" w:cs="Inter"/>
                <w:b w:val="0"/>
                <w:i w:val="0"/>
                <w:color w:val="2D2D2D"/>
                <w:sz w:val="19"/>
              </w:rPr>
              <w:t>Parliament exercises powers and "shall set policies, legislate on matters within its authority, and elect a Chief Minister who shall exercise executive authority."[^64]</w:t>
            </w:r>
          </w:p>
        </w:tc>
        <w:tc>
          <w:tcPr>
            <w:tcW w:type="dxa" w:w="3120"/>
          </w:tcPr>
          <w:p>
            <w:r/>
            <w:r>
              <w:rPr>
                <w:rFonts w:ascii="Inter" w:hAnsi="Inter" w:cs="Inter"/>
                <w:b w:val="0"/>
                <w:i w:val="0"/>
                <w:color w:val="2D2D2D"/>
                <w:sz w:val="19"/>
              </w:rPr>
              <w:t>Parliamentary authority over policy direction that MOA plans must implement.</w:t>
            </w:r>
          </w:p>
        </w:tc>
      </w:tr>
      <w:tr>
        <w:tc>
          <w:tcPr>
            <w:tcW w:type="dxa" w:w="3120"/>
            <w:shd w:fill="F0F3F6"/>
          </w:tcPr>
          <w:p>
            <w:r/>
            <w:r>
              <w:rPr>
                <w:rFonts w:ascii="Inter" w:hAnsi="Inter" w:cs="Inter"/>
                <w:b w:val="0"/>
                <w:i w:val="0"/>
                <w:color w:val="2D2D2D"/>
                <w:sz w:val="19"/>
              </w:rPr>
              <w:t>Art. VII, Sec. 27</w:t>
            </w:r>
          </w:p>
        </w:tc>
        <w:tc>
          <w:tcPr>
            <w:tcW w:type="dxa" w:w="3120"/>
            <w:shd w:fill="F0F3F6"/>
          </w:tcPr>
          <w:p>
            <w:r/>
            <w:r>
              <w:rPr>
                <w:rFonts w:ascii="Inter" w:hAnsi="Inter" w:cs="Inter"/>
                <w:b w:val="0"/>
                <w:i w:val="0"/>
                <w:color w:val="2D2D2D"/>
                <w:sz w:val="19"/>
              </w:rPr>
              <w:t>"No public money... shall be spent without an appropriations law clearly defining the purpose."[^65]</w:t>
            </w:r>
          </w:p>
        </w:tc>
        <w:tc>
          <w:tcPr>
            <w:tcW w:type="dxa" w:w="3120"/>
            <w:shd w:fill="F0F3F6"/>
          </w:tcPr>
          <w:p>
            <w:r/>
            <w:r>
              <w:rPr>
                <w:rFonts w:ascii="Inter" w:hAnsi="Inter" w:cs="Inter"/>
                <w:b w:val="0"/>
                <w:i w:val="0"/>
                <w:color w:val="2D2D2D"/>
                <w:sz w:val="19"/>
              </w:rPr>
              <w:t>All MOA expenditures must have appropriation authority; basis for AFP compliance.</w:t>
            </w:r>
          </w:p>
        </w:tc>
      </w:tr>
      <w:tr>
        <w:tc>
          <w:tcPr>
            <w:tcW w:type="dxa" w:w="3120"/>
          </w:tcPr>
          <w:p>
            <w:r/>
            <w:r>
              <w:rPr>
                <w:rFonts w:ascii="Inter" w:hAnsi="Inter" w:cs="Inter"/>
                <w:b w:val="0"/>
                <w:i w:val="0"/>
                <w:color w:val="2D2D2D"/>
                <w:sz w:val="19"/>
              </w:rPr>
              <w:t>Art. VII, Sec. 28</w:t>
            </w:r>
          </w:p>
        </w:tc>
        <w:tc>
          <w:tcPr>
            <w:tcW w:type="dxa" w:w="3120"/>
          </w:tcPr>
          <w:p>
            <w:r/>
            <w:r>
              <w:rPr>
                <w:rFonts w:ascii="Inter" w:hAnsi="Inter" w:cs="Inter"/>
                <w:b w:val="0"/>
                <w:i w:val="0"/>
                <w:color w:val="2D2D2D"/>
                <w:sz w:val="19"/>
              </w:rPr>
              <w:t>"The form, content, and manner of preparation of the Bangsamoro budget shall be prescribed by law."[^66]</w:t>
            </w:r>
          </w:p>
        </w:tc>
        <w:tc>
          <w:tcPr>
            <w:tcW w:type="dxa" w:w="3120"/>
          </w:tcPr>
          <w:p>
            <w:r/>
            <w:r>
              <w:rPr>
                <w:rFonts w:ascii="Inter" w:hAnsi="Inter" w:cs="Inter"/>
                <w:b w:val="0"/>
                <w:i w:val="0"/>
                <w:color w:val="2D2D2D"/>
                <w:sz w:val="19"/>
              </w:rPr>
              <w:t>Legal basis for BAA No. 84 (Budget System Act) and MFBM budget guidelines.</w:t>
            </w:r>
          </w:p>
        </w:tc>
      </w:tr>
      <w:tr>
        <w:tc>
          <w:tcPr>
            <w:tcW w:type="dxa" w:w="3120"/>
            <w:shd w:fill="F0F3F6"/>
          </w:tcPr>
          <w:p>
            <w:r/>
            <w:r>
              <w:rPr>
                <w:rFonts w:ascii="Inter" w:hAnsi="Inter" w:cs="Inter"/>
                <w:b w:val="0"/>
                <w:i w:val="0"/>
                <w:color w:val="2D2D2D"/>
                <w:sz w:val="19"/>
              </w:rPr>
              <w:t>Art. VII, Sec. 32(d)</w:t>
            </w:r>
          </w:p>
        </w:tc>
        <w:tc>
          <w:tcPr>
            <w:tcW w:type="dxa" w:w="3120"/>
            <w:shd w:fill="F0F3F6"/>
          </w:tcPr>
          <w:p>
            <w:r/>
            <w:r>
              <w:rPr>
                <w:rFonts w:ascii="Inter" w:hAnsi="Inter" w:cs="Inter"/>
                <w:b w:val="0"/>
                <w:i w:val="0"/>
                <w:color w:val="2D2D2D"/>
                <w:sz w:val="19"/>
              </w:rPr>
              <w:t>Chief Minister shall "formulate a platform of government subject to the approval of the Parliament."[^67]</w:t>
            </w:r>
          </w:p>
        </w:tc>
        <w:tc>
          <w:tcPr>
            <w:tcW w:type="dxa" w:w="3120"/>
            <w:shd w:fill="F0F3F6"/>
          </w:tcPr>
          <w:p>
            <w:r/>
            <w:r>
              <w:rPr>
                <w:rFonts w:ascii="Inter" w:hAnsi="Inter" w:cs="Inter"/>
                <w:b w:val="0"/>
                <w:i w:val="0"/>
                <w:color w:val="2D2D2D"/>
                <w:sz w:val="19"/>
              </w:rPr>
              <w:t>Legal basis for the 12-Point Priority Agenda.</w:t>
            </w:r>
          </w:p>
        </w:tc>
      </w:tr>
      <w:tr>
        <w:tc>
          <w:tcPr>
            <w:tcW w:type="dxa" w:w="3120"/>
          </w:tcPr>
          <w:p>
            <w:r/>
            <w:r>
              <w:rPr>
                <w:rFonts w:ascii="Inter" w:hAnsi="Inter" w:cs="Inter"/>
                <w:b w:val="0"/>
                <w:i w:val="0"/>
                <w:color w:val="2D2D2D"/>
                <w:sz w:val="19"/>
              </w:rPr>
              <w:t>Art. VII, Sec. 38</w:t>
            </w:r>
          </w:p>
        </w:tc>
        <w:tc>
          <w:tcPr>
            <w:tcW w:type="dxa" w:w="3120"/>
          </w:tcPr>
          <w:p>
            <w:r/>
            <w:r>
              <w:rPr>
                <w:rFonts w:ascii="Inter" w:hAnsi="Inter" w:cs="Inter"/>
                <w:b w:val="0"/>
                <w:i w:val="0"/>
                <w:color w:val="2D2D2D"/>
                <w:sz w:val="19"/>
              </w:rPr>
              <w:t>"The Bangsamoro Government shall have the power to create offices and organize its own bureaucracy."[^68]</w:t>
            </w:r>
          </w:p>
        </w:tc>
        <w:tc>
          <w:tcPr>
            <w:tcW w:type="dxa" w:w="3120"/>
          </w:tcPr>
          <w:p>
            <w:r/>
            <w:r>
              <w:rPr>
                <w:rFonts w:ascii="Inter" w:hAnsi="Inter" w:cs="Inter"/>
                <w:b w:val="0"/>
                <w:i w:val="0"/>
                <w:color w:val="2D2D2D"/>
                <w:sz w:val="19"/>
              </w:rPr>
              <w:t>Authority for MOA organizational structures.</w:t>
            </w:r>
          </w:p>
        </w:tc>
      </w:tr>
      <w:tr>
        <w:tc>
          <w:tcPr>
            <w:tcW w:type="dxa" w:w="3120"/>
            <w:shd w:fill="F0F3F6"/>
          </w:tcPr>
          <w:p>
            <w:r/>
            <w:r>
              <w:rPr>
                <w:rFonts w:ascii="Inter" w:hAnsi="Inter" w:cs="Inter"/>
                <w:b w:val="0"/>
                <w:i w:val="0"/>
                <w:color w:val="2D2D2D"/>
                <w:sz w:val="19"/>
              </w:rPr>
              <w:t>Art. VII, Sec. 42</w:t>
            </w:r>
          </w:p>
        </w:tc>
        <w:tc>
          <w:tcPr>
            <w:tcW w:type="dxa" w:w="3120"/>
            <w:shd w:fill="F0F3F6"/>
          </w:tcPr>
          <w:p>
            <w:r/>
            <w:r>
              <w:rPr>
                <w:rFonts w:ascii="Inter" w:hAnsi="Inter" w:cs="Inter"/>
                <w:b w:val="0"/>
                <w:i w:val="0"/>
                <w:color w:val="2D2D2D"/>
                <w:sz w:val="19"/>
              </w:rPr>
              <w:t>Parliament may create offices "for planning and development."[^69]</w:t>
            </w:r>
          </w:p>
        </w:tc>
        <w:tc>
          <w:tcPr>
            <w:tcW w:type="dxa" w:w="3120"/>
            <w:shd w:fill="F0F3F6"/>
          </w:tcPr>
          <w:p>
            <w:r/>
            <w:r>
              <w:rPr>
                <w:rFonts w:ascii="Inter" w:hAnsi="Inter" w:cs="Inter"/>
                <w:b w:val="0"/>
                <w:i w:val="0"/>
                <w:color w:val="2D2D2D"/>
                <w:sz w:val="19"/>
              </w:rPr>
              <w:t>Basis for BPDA and BEDC mandates.</w:t>
            </w:r>
          </w:p>
        </w:tc>
      </w:tr>
      <w:tr>
        <w:tc>
          <w:tcPr>
            <w:tcW w:type="dxa" w:w="3120"/>
          </w:tcPr>
          <w:p>
            <w:r/>
            <w:r>
              <w:rPr>
                <w:rFonts w:ascii="Inter" w:hAnsi="Inter" w:cs="Inter"/>
                <w:b w:val="0"/>
                <w:i w:val="0"/>
                <w:color w:val="2D2D2D"/>
                <w:sz w:val="19"/>
              </w:rPr>
              <w:t>Art. XII, Sec. 1</w:t>
            </w:r>
          </w:p>
        </w:tc>
        <w:tc>
          <w:tcPr>
            <w:tcW w:type="dxa" w:w="3120"/>
          </w:tcPr>
          <w:p>
            <w:r/>
            <w:r>
              <w:rPr>
                <w:rFonts w:ascii="Inter" w:hAnsi="Inter" w:cs="Inter"/>
                <w:b w:val="0"/>
                <w:i w:val="0"/>
                <w:color w:val="2D2D2D"/>
                <w:sz w:val="19"/>
              </w:rPr>
              <w:t>Fiscal autonomy: "shall prepare its budget and allocate funds in accordance with an annual appropriations law."[^70]</w:t>
            </w:r>
          </w:p>
        </w:tc>
        <w:tc>
          <w:tcPr>
            <w:tcW w:type="dxa" w:w="3120"/>
          </w:tcPr>
          <w:p>
            <w:r/>
            <w:r>
              <w:rPr>
                <w:rFonts w:ascii="Inter" w:hAnsi="Inter" w:cs="Inter"/>
                <w:b w:val="0"/>
                <w:i w:val="0"/>
                <w:color w:val="2D2D2D"/>
                <w:sz w:val="19"/>
              </w:rPr>
              <w:t>Foundation of MOA budgetary independence.</w:t>
            </w:r>
          </w:p>
        </w:tc>
      </w:tr>
      <w:tr>
        <w:tc>
          <w:tcPr>
            <w:tcW w:type="dxa" w:w="3120"/>
            <w:shd w:fill="F0F3F6"/>
          </w:tcPr>
          <w:p>
            <w:r/>
            <w:r>
              <w:rPr>
                <w:rFonts w:ascii="Inter" w:hAnsi="Inter" w:cs="Inter"/>
                <w:b w:val="0"/>
                <w:i w:val="0"/>
                <w:color w:val="2D2D2D"/>
                <w:sz w:val="19"/>
              </w:rPr>
              <w:t>Art. XII, Sec. 6</w:t>
            </w:r>
          </w:p>
        </w:tc>
        <w:tc>
          <w:tcPr>
            <w:tcW w:type="dxa" w:w="3120"/>
            <w:shd w:fill="F0F3F6"/>
          </w:tcPr>
          <w:p>
            <w:r/>
            <w:r>
              <w:rPr>
                <w:rFonts w:ascii="Inter" w:hAnsi="Inter" w:cs="Inter"/>
                <w:b w:val="0"/>
                <w:i w:val="0"/>
                <w:color w:val="2D2D2D"/>
                <w:sz w:val="19"/>
              </w:rPr>
              <w:t>Sources of revenues: taxes, block grants, natural resource revenues, development assistance.[^71]</w:t>
            </w:r>
          </w:p>
        </w:tc>
        <w:tc>
          <w:tcPr>
            <w:tcW w:type="dxa" w:w="3120"/>
            <w:shd w:fill="F0F3F6"/>
          </w:tcPr>
          <w:p>
            <w:r/>
            <w:r>
              <w:rPr>
                <w:rFonts w:ascii="Inter" w:hAnsi="Inter" w:cs="Inter"/>
                <w:b w:val="0"/>
                <w:i w:val="0"/>
                <w:color w:val="2D2D2D"/>
                <w:sz w:val="19"/>
              </w:rPr>
              <w:t>Relevant to resource planning and partnership development.</w:t>
            </w:r>
          </w:p>
        </w:tc>
      </w:tr>
      <w:tr>
        <w:tc>
          <w:tcPr>
            <w:tcW w:type="dxa" w:w="3120"/>
          </w:tcPr>
          <w:p>
            <w:r/>
            <w:r>
              <w:rPr>
                <w:rFonts w:ascii="Inter" w:hAnsi="Inter" w:cs="Inter"/>
                <w:b w:val="0"/>
                <w:i w:val="0"/>
                <w:color w:val="2D2D2D"/>
                <w:sz w:val="19"/>
              </w:rPr>
              <w:t>Art. XIII, Sec. 40</w:t>
            </w:r>
          </w:p>
        </w:tc>
        <w:tc>
          <w:tcPr>
            <w:tcW w:type="dxa" w:w="3120"/>
          </w:tcPr>
          <w:p>
            <w:r/>
            <w:r>
              <w:rPr>
                <w:rFonts w:ascii="Inter" w:hAnsi="Inter" w:cs="Inter"/>
                <w:b w:val="0"/>
                <w:i w:val="0"/>
                <w:color w:val="2D2D2D"/>
                <w:sz w:val="19"/>
              </w:rPr>
              <w:t>Full disclosure policy for budget, finances, bids, and public offerings.[^72]</w:t>
            </w:r>
          </w:p>
        </w:tc>
        <w:tc>
          <w:tcPr>
            <w:tcW w:type="dxa" w:w="3120"/>
          </w:tcPr>
          <w:p>
            <w:r/>
            <w:r>
              <w:rPr>
                <w:rFonts w:ascii="Inter" w:hAnsi="Inter" w:cs="Inter"/>
                <w:b w:val="0"/>
                <w:i w:val="0"/>
                <w:color w:val="2D2D2D"/>
                <w:sz w:val="19"/>
              </w:rPr>
              <w:t>Transparency requirements for plan publication and budget reporting.</w:t>
            </w:r>
          </w:p>
        </w:tc>
      </w:tr>
      <w:tr>
        <w:tc>
          <w:tcPr>
            <w:tcW w:type="dxa" w:w="3120"/>
            <w:shd w:fill="F0F3F6"/>
          </w:tcPr>
          <w:p>
            <w:r/>
            <w:r>
              <w:rPr>
                <w:rFonts w:ascii="Inter" w:hAnsi="Inter" w:cs="Inter"/>
                <w:b w:val="0"/>
                <w:i w:val="0"/>
                <w:color w:val="2D2D2D"/>
                <w:sz w:val="19"/>
              </w:rPr>
              <w:t>Art. XIII, Sec. 2</w:t>
            </w:r>
          </w:p>
        </w:tc>
        <w:tc>
          <w:tcPr>
            <w:tcW w:type="dxa" w:w="3120"/>
            <w:shd w:fill="F0F3F6"/>
          </w:tcPr>
          <w:p>
            <w:r/>
            <w:r>
              <w:rPr>
                <w:rFonts w:ascii="Inter" w:hAnsi="Inter" w:cs="Inter"/>
                <w:b w:val="0"/>
                <w:i w:val="0"/>
                <w:color w:val="2D2D2D"/>
                <w:sz w:val="19"/>
              </w:rPr>
              <w:t>Development "shall be carefully planned taking into consideration the ecological balance."[^73]</w:t>
            </w:r>
          </w:p>
        </w:tc>
        <w:tc>
          <w:tcPr>
            <w:tcW w:type="dxa" w:w="3120"/>
            <w:shd w:fill="F0F3F6"/>
          </w:tcPr>
          <w:p>
            <w:r/>
            <w:r>
              <w:rPr>
                <w:rFonts w:ascii="Inter" w:hAnsi="Inter" w:cs="Inter"/>
                <w:b w:val="0"/>
                <w:i w:val="0"/>
                <w:color w:val="2D2D2D"/>
                <w:sz w:val="19"/>
              </w:rPr>
              <w:t>Requirement for environmental considerations in all MOA plans.</w:t>
            </w:r>
          </w:p>
        </w:tc>
      </w:tr>
      <w:tr>
        <w:tc>
          <w:tcPr>
            <w:tcW w:type="dxa" w:w="3120"/>
          </w:tcPr>
          <w:p>
            <w:r/>
            <w:r>
              <w:rPr>
                <w:rFonts w:ascii="Inter" w:hAnsi="Inter" w:cs="Inter"/>
                <w:b w:val="0"/>
                <w:i w:val="0"/>
                <w:color w:val="2D2D2D"/>
                <w:sz w:val="19"/>
              </w:rPr>
              <w:t>Art. XIII, Sec. 4</w:t>
            </w:r>
          </w:p>
        </w:tc>
        <w:tc>
          <w:tcPr>
            <w:tcW w:type="dxa" w:w="3120"/>
          </w:tcPr>
          <w:p>
            <w:r/>
            <w:r>
              <w:rPr>
                <w:rFonts w:ascii="Inter" w:hAnsi="Inter" w:cs="Inter"/>
                <w:b w:val="0"/>
                <w:i w:val="0"/>
                <w:color w:val="2D2D2D"/>
                <w:sz w:val="19"/>
              </w:rPr>
              <w:t>BEDC serves as "the planning, monitoring, and coordinating agency for all development plans."[^74]</w:t>
            </w:r>
          </w:p>
        </w:tc>
        <w:tc>
          <w:tcPr>
            <w:tcW w:type="dxa" w:w="3120"/>
          </w:tcPr>
          <w:p>
            <w:r/>
            <w:r>
              <w:rPr>
                <w:rFonts w:ascii="Inter" w:hAnsi="Inter" w:cs="Inter"/>
                <w:b w:val="0"/>
                <w:i w:val="0"/>
                <w:color w:val="2D2D2D"/>
                <w:sz w:val="19"/>
              </w:rPr>
              <w:t>Legal authority for BEDC's oversight of MOA strategic plans.</w:t>
            </w:r>
          </w:p>
        </w:tc>
      </w:tr>
      <w:tr>
        <w:tc>
          <w:tcPr>
            <w:tcW w:type="dxa" w:w="3120"/>
            <w:shd w:fill="F0F3F6"/>
          </w:tcPr>
          <w:p>
            <w:r/>
            <w:r>
              <w:rPr>
                <w:rFonts w:ascii="Inter" w:hAnsi="Inter" w:cs="Inter"/>
                <w:b w:val="0"/>
                <w:i w:val="0"/>
                <w:color w:val="2D2D2D"/>
                <w:sz w:val="19"/>
              </w:rPr>
              <w:t>Art. XIII, Sec. 5</w:t>
            </w:r>
          </w:p>
        </w:tc>
        <w:tc>
          <w:tcPr>
            <w:tcW w:type="dxa" w:w="3120"/>
            <w:shd w:fill="F0F3F6"/>
          </w:tcPr>
          <w:p>
            <w:r/>
            <w:r>
              <w:rPr>
                <w:rFonts w:ascii="Inter" w:hAnsi="Inter" w:cs="Inter"/>
                <w:b w:val="0"/>
                <w:i w:val="0"/>
                <w:color w:val="2D2D2D"/>
                <w:sz w:val="19"/>
              </w:rPr>
              <w:t>At least 5% of each MOA's budget for gender-responsive programs.[^75]</w:t>
            </w:r>
          </w:p>
        </w:tc>
        <w:tc>
          <w:tcPr>
            <w:tcW w:type="dxa" w:w="3120"/>
            <w:shd w:fill="F0F3F6"/>
          </w:tcPr>
          <w:p>
            <w:r/>
            <w:r>
              <w:rPr>
                <w:rFonts w:ascii="Inter" w:hAnsi="Inter" w:cs="Inter"/>
                <w:b w:val="0"/>
                <w:i w:val="0"/>
                <w:color w:val="2D2D2D"/>
                <w:sz w:val="19"/>
              </w:rPr>
              <w:t>Mandatory GAD budget allocation in all MOA financial plans.</w:t>
            </w:r>
          </w:p>
        </w:tc>
      </w:tr>
      <w:tr>
        <w:tc>
          <w:tcPr>
            <w:tcW w:type="dxa" w:w="3120"/>
          </w:tcPr>
          <w:p>
            <w:r/>
            <w:r>
              <w:rPr>
                <w:rFonts w:ascii="Inter" w:hAnsi="Inter" w:cs="Inter"/>
                <w:b w:val="0"/>
                <w:i w:val="0"/>
                <w:color w:val="2D2D2D"/>
                <w:sz w:val="19"/>
              </w:rPr>
              <w:t>Art. XVI, Sec. 4</w:t>
            </w:r>
          </w:p>
        </w:tc>
        <w:tc>
          <w:tcPr>
            <w:tcW w:type="dxa" w:w="3120"/>
          </w:tcPr>
          <w:p>
            <w:r/>
            <w:r>
              <w:rPr>
                <w:rFonts w:ascii="Inter" w:hAnsi="Inter" w:cs="Inter"/>
                <w:b w:val="0"/>
                <w:i w:val="0"/>
                <w:color w:val="2D2D2D"/>
                <w:sz w:val="19"/>
              </w:rPr>
              <w:t>BTA priorities including priority legislations, organization of bureaucracy, and transition planning.[^76]</w:t>
            </w:r>
          </w:p>
        </w:tc>
        <w:tc>
          <w:tcPr>
            <w:tcW w:type="dxa" w:w="3120"/>
          </w:tcPr>
          <w:p>
            <w:r/>
            <w:r>
              <w:rPr>
                <w:rFonts w:ascii="Inter" w:hAnsi="Inter" w:cs="Inter"/>
                <w:b w:val="0"/>
                <w:i w:val="0"/>
                <w:color w:val="2D2D2D"/>
                <w:sz w:val="19"/>
              </w:rPr>
              <w:t>Historical context for the legal framework within which current MOAs operate.</w:t>
            </w:r>
          </w:p>
        </w:tc>
      </w:tr>
    </w:tbl>
    <w:p/>
    <w:p>
      <w:pPr>
        <w:pStyle w:val="Heading3"/>
      </w:pPr>
      <w:r>
        <w:rPr>
          <w:rFonts w:ascii="Inter" w:hAnsi="Inter" w:cs="Inter"/>
          <w:b/>
          <w:i w:val="0"/>
          <w:color w:val="2C5F7C"/>
          <w:sz w:val="26"/>
        </w:rPr>
        <w:t>Bangsamoro Autonomy Act No. 13 --- Bangsamoro Administrative Code</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Provision</w:t>
            </w:r>
          </w:p>
        </w:tc>
        <w:tc>
          <w:tcPr>
            <w:tcW w:type="dxa" w:w="3120"/>
            <w:shd w:fill="1B365D"/>
          </w:tcPr>
          <w:p>
            <w:r/>
            <w:r>
              <w:rPr>
                <w:rFonts w:ascii="Inter" w:hAnsi="Inter" w:cs="Inter"/>
                <w:b/>
                <w:i w:val="0"/>
                <w:color w:val="FFFFFF"/>
                <w:sz w:val="19"/>
              </w:rPr>
              <w:t>Content Summary</w:t>
            </w:r>
          </w:p>
        </w:tc>
        <w:tc>
          <w:tcPr>
            <w:tcW w:type="dxa" w:w="3120"/>
            <w:shd w:fill="1B365D"/>
          </w:tcPr>
          <w:p>
            <w:r/>
            <w:r>
              <w:rPr>
                <w:rFonts w:ascii="Inter" w:hAnsi="Inter" w:cs="Inter"/>
                <w:b/>
                <w:i w:val="0"/>
                <w:color w:val="FFFFFF"/>
                <w:sz w:val="19"/>
              </w:rPr>
              <w:t>Application to Strategic Planning</w:t>
            </w:r>
          </w:p>
        </w:tc>
      </w:tr>
      <w:tr>
        <w:tc>
          <w:tcPr>
            <w:tcW w:type="dxa" w:w="3120"/>
          </w:tcPr>
          <w:p>
            <w:r/>
            <w:r>
              <w:rPr>
                <w:rFonts w:ascii="Inter" w:hAnsi="Inter" w:cs="Inter"/>
                <w:b w:val="0"/>
                <w:i w:val="0"/>
                <w:color w:val="2D2D2D"/>
                <w:sz w:val="19"/>
              </w:rPr>
              <w:t>Sec. 2</w:t>
            </w:r>
          </w:p>
        </w:tc>
        <w:tc>
          <w:tcPr>
            <w:tcW w:type="dxa" w:w="3120"/>
          </w:tcPr>
          <w:p>
            <w:r/>
            <w:r>
              <w:rPr>
                <w:rFonts w:ascii="Inter" w:hAnsi="Inter" w:cs="Inter"/>
                <w:b w:val="0"/>
                <w:i w:val="0"/>
                <w:color w:val="2D2D2D"/>
                <w:sz w:val="19"/>
              </w:rPr>
              <w:t>Purpose: prescribes structural, functional, and procedural principles of BARMM governance.[^77]</w:t>
            </w:r>
          </w:p>
        </w:tc>
        <w:tc>
          <w:tcPr>
            <w:tcW w:type="dxa" w:w="3120"/>
          </w:tcPr>
          <w:p>
            <w:r/>
            <w:r>
              <w:rPr>
                <w:rFonts w:ascii="Inter" w:hAnsi="Inter" w:cs="Inter"/>
                <w:b w:val="0"/>
                <w:i w:val="0"/>
                <w:color w:val="2D2D2D"/>
                <w:sz w:val="19"/>
              </w:rPr>
              <w:t>Overarching organizational framework for all MOAs.</w:t>
            </w:r>
          </w:p>
        </w:tc>
      </w:tr>
      <w:tr>
        <w:tc>
          <w:tcPr>
            <w:tcW w:type="dxa" w:w="3120"/>
            <w:shd w:fill="F0F3F6"/>
          </w:tcPr>
          <w:p>
            <w:r/>
            <w:r>
              <w:rPr>
                <w:rFonts w:ascii="Inter" w:hAnsi="Inter" w:cs="Inter"/>
                <w:b w:val="0"/>
                <w:i w:val="0"/>
                <w:color w:val="2D2D2D"/>
                <w:sz w:val="19"/>
              </w:rPr>
              <w:t>Sec. 3</w:t>
            </w:r>
          </w:p>
        </w:tc>
        <w:tc>
          <w:tcPr>
            <w:tcW w:type="dxa" w:w="3120"/>
            <w:shd w:fill="F0F3F6"/>
          </w:tcPr>
          <w:p>
            <w:r/>
            <w:r>
              <w:rPr>
                <w:rFonts w:ascii="Inter" w:hAnsi="Inter" w:cs="Inter"/>
                <w:b w:val="0"/>
                <w:i w:val="0"/>
                <w:color w:val="2D2D2D"/>
                <w:sz w:val="19"/>
              </w:rPr>
              <w:t>Declaration of Principles: moral governance, transparency, accountability, participation.[^78]</w:t>
            </w:r>
          </w:p>
        </w:tc>
        <w:tc>
          <w:tcPr>
            <w:tcW w:type="dxa" w:w="3120"/>
            <w:shd w:fill="F0F3F6"/>
          </w:tcPr>
          <w:p>
            <w:r/>
            <w:r>
              <w:rPr>
                <w:rFonts w:ascii="Inter" w:hAnsi="Inter" w:cs="Inter"/>
                <w:b w:val="0"/>
                <w:i w:val="0"/>
                <w:color w:val="2D2D2D"/>
                <w:sz w:val="19"/>
              </w:rPr>
              <w:t>Values that must be reflected in every MOA's strategic direction.</w:t>
            </w:r>
          </w:p>
        </w:tc>
      </w:tr>
      <w:tr>
        <w:tc>
          <w:tcPr>
            <w:tcW w:type="dxa" w:w="3120"/>
          </w:tcPr>
          <w:p>
            <w:r/>
            <w:r>
              <w:rPr>
                <w:rFonts w:ascii="Inter" w:hAnsi="Inter" w:cs="Inter"/>
                <w:b w:val="0"/>
                <w:i w:val="0"/>
                <w:color w:val="2D2D2D"/>
                <w:sz w:val="19"/>
              </w:rPr>
              <w:t>Sec. 4</w:t>
            </w:r>
          </w:p>
        </w:tc>
        <w:tc>
          <w:tcPr>
            <w:tcW w:type="dxa" w:w="3120"/>
          </w:tcPr>
          <w:p>
            <w:r/>
            <w:r>
              <w:rPr>
                <w:rFonts w:ascii="Inter" w:hAnsi="Inter" w:cs="Inter"/>
                <w:b w:val="0"/>
                <w:i w:val="0"/>
                <w:color w:val="2D2D2D"/>
                <w:sz w:val="19"/>
              </w:rPr>
              <w:t>Definitions: Ministry, Office, Instrumentality, Government of the Day, Moral Governance.[^79]</w:t>
            </w:r>
          </w:p>
        </w:tc>
        <w:tc>
          <w:tcPr>
            <w:tcW w:type="dxa" w:w="3120"/>
          </w:tcPr>
          <w:p>
            <w:r/>
            <w:r>
              <w:rPr>
                <w:rFonts w:ascii="Inter" w:hAnsi="Inter" w:cs="Inter"/>
                <w:b w:val="0"/>
                <w:i w:val="0"/>
                <w:color w:val="2D2D2D"/>
                <w:sz w:val="19"/>
              </w:rPr>
              <w:t>Standard terminology for strategic planning documents.</w:t>
            </w:r>
          </w:p>
        </w:tc>
      </w:tr>
      <w:tr>
        <w:tc>
          <w:tcPr>
            <w:tcW w:type="dxa" w:w="3120"/>
            <w:shd w:fill="F0F3F6"/>
          </w:tcPr>
          <w:p>
            <w:r/>
            <w:r>
              <w:rPr>
                <w:rFonts w:ascii="Inter" w:hAnsi="Inter" w:cs="Inter"/>
                <w:b w:val="0"/>
                <w:i w:val="0"/>
                <w:color w:val="2D2D2D"/>
                <w:sz w:val="19"/>
              </w:rPr>
              <w:t>Book I, Ch. 5</w:t>
            </w:r>
          </w:p>
        </w:tc>
        <w:tc>
          <w:tcPr>
            <w:tcW w:type="dxa" w:w="3120"/>
            <w:shd w:fill="F0F3F6"/>
          </w:tcPr>
          <w:p>
            <w:r/>
            <w:r>
              <w:rPr>
                <w:rFonts w:ascii="Inter" w:hAnsi="Inter" w:cs="Inter"/>
                <w:b w:val="0"/>
                <w:i w:val="0"/>
                <w:color w:val="2D2D2D"/>
                <w:sz w:val="19"/>
              </w:rPr>
              <w:t>Public office as "sacred public trust"; Oath of Moral Governance.[^80]</w:t>
            </w:r>
          </w:p>
        </w:tc>
        <w:tc>
          <w:tcPr>
            <w:tcW w:type="dxa" w:w="3120"/>
            <w:shd w:fill="F0F3F6"/>
          </w:tcPr>
          <w:p>
            <w:r/>
            <w:r>
              <w:rPr>
                <w:rFonts w:ascii="Inter" w:hAnsi="Inter" w:cs="Inter"/>
                <w:b w:val="0"/>
                <w:i w:val="0"/>
                <w:color w:val="2D2D2D"/>
                <w:sz w:val="19"/>
              </w:rPr>
              <w:t>Accountability framework underlying all MOA performance systems.</w:t>
            </w:r>
          </w:p>
        </w:tc>
      </w:tr>
      <w:tr>
        <w:tc>
          <w:tcPr>
            <w:tcW w:type="dxa" w:w="3120"/>
          </w:tcPr>
          <w:p>
            <w:r/>
            <w:r>
              <w:rPr>
                <w:rFonts w:ascii="Inter" w:hAnsi="Inter" w:cs="Inter"/>
                <w:b w:val="0"/>
                <w:i w:val="0"/>
                <w:color w:val="2D2D2D"/>
                <w:sz w:val="19"/>
              </w:rPr>
              <w:t>Book II, Title IV</w:t>
            </w:r>
          </w:p>
        </w:tc>
        <w:tc>
          <w:tcPr>
            <w:tcW w:type="dxa" w:w="3120"/>
          </w:tcPr>
          <w:p>
            <w:r/>
            <w:r>
              <w:rPr>
                <w:rFonts w:ascii="Inter" w:hAnsi="Inter" w:cs="Inter"/>
                <w:b w:val="0"/>
                <w:i w:val="0"/>
                <w:color w:val="2D2D2D"/>
                <w:sz w:val="19"/>
              </w:rPr>
              <w:t>Lists 15 primary ministries and their mandates.[^81]</w:t>
            </w:r>
          </w:p>
        </w:tc>
        <w:tc>
          <w:tcPr>
            <w:tcW w:type="dxa" w:w="3120"/>
          </w:tcPr>
          <w:p>
            <w:r/>
            <w:r>
              <w:rPr>
                <w:rFonts w:ascii="Inter" w:hAnsi="Inter" w:cs="Inter"/>
                <w:b w:val="0"/>
                <w:i w:val="0"/>
                <w:color w:val="2D2D2D"/>
                <w:sz w:val="19"/>
              </w:rPr>
              <w:t>Structural basis for MOA-specific strategic plans.</w:t>
            </w:r>
          </w:p>
        </w:tc>
      </w:tr>
      <w:tr>
        <w:tc>
          <w:tcPr>
            <w:tcW w:type="dxa" w:w="3120"/>
            <w:shd w:fill="F0F3F6"/>
          </w:tcPr>
          <w:p>
            <w:r/>
            <w:r>
              <w:rPr>
                <w:rFonts w:ascii="Inter" w:hAnsi="Inter" w:cs="Inter"/>
                <w:b w:val="0"/>
                <w:i w:val="0"/>
                <w:color w:val="2D2D2D"/>
                <w:sz w:val="19"/>
              </w:rPr>
              <w:t>Secs. 12-15</w:t>
            </w:r>
          </w:p>
        </w:tc>
        <w:tc>
          <w:tcPr>
            <w:tcW w:type="dxa" w:w="3120"/>
            <w:shd w:fill="F0F3F6"/>
          </w:tcPr>
          <w:p>
            <w:r/>
            <w:r>
              <w:rPr>
                <w:rFonts w:ascii="Inter" w:hAnsi="Inter" w:cs="Inter"/>
                <w:b w:val="0"/>
                <w:i w:val="0"/>
                <w:color w:val="2D2D2D"/>
                <w:sz w:val="19"/>
              </w:rPr>
              <w:t>BEDC functions: directs plan formulation, recommends BDP for parliamentary approval.[^82]</w:t>
            </w:r>
          </w:p>
        </w:tc>
        <w:tc>
          <w:tcPr>
            <w:tcW w:type="dxa" w:w="3120"/>
            <w:shd w:fill="F0F3F6"/>
          </w:tcPr>
          <w:p>
            <w:r/>
            <w:r>
              <w:rPr>
                <w:rFonts w:ascii="Inter" w:hAnsi="Inter" w:cs="Inter"/>
                <w:b w:val="0"/>
                <w:i w:val="0"/>
                <w:color w:val="2D2D2D"/>
                <w:sz w:val="19"/>
              </w:rPr>
              <w:t>Authority for the development planning system.</w:t>
            </w:r>
          </w:p>
        </w:tc>
      </w:tr>
      <w:tr>
        <w:tc>
          <w:tcPr>
            <w:tcW w:type="dxa" w:w="3120"/>
          </w:tcPr>
          <w:p>
            <w:r/>
            <w:r>
              <w:rPr>
                <w:rFonts w:ascii="Inter" w:hAnsi="Inter" w:cs="Inter"/>
                <w:b w:val="0"/>
                <w:i w:val="0"/>
                <w:color w:val="2D2D2D"/>
                <w:sz w:val="19"/>
              </w:rPr>
              <w:t>Secs. 39-42</w:t>
            </w:r>
          </w:p>
        </w:tc>
        <w:tc>
          <w:tcPr>
            <w:tcW w:type="dxa" w:w="3120"/>
          </w:tcPr>
          <w:p>
            <w:r/>
            <w:r>
              <w:rPr>
                <w:rFonts w:ascii="Inter" w:hAnsi="Inter" w:cs="Inter"/>
                <w:b w:val="0"/>
                <w:i w:val="0"/>
                <w:color w:val="2D2D2D"/>
                <w:sz w:val="19"/>
              </w:rPr>
              <w:t>BPDA as the planning, coordinating, and monitoring agency.[^83]</w:t>
            </w:r>
          </w:p>
        </w:tc>
        <w:tc>
          <w:tcPr>
            <w:tcW w:type="dxa" w:w="3120"/>
          </w:tcPr>
          <w:p>
            <w:r/>
            <w:r>
              <w:rPr>
                <w:rFonts w:ascii="Inter" w:hAnsi="Inter" w:cs="Inter"/>
                <w:b w:val="0"/>
                <w:i w:val="0"/>
                <w:color w:val="2D2D2D"/>
                <w:sz w:val="19"/>
              </w:rPr>
              <w:t>Authority for BPDA's review and certification of MOA strategic plans.</w:t>
            </w:r>
          </w:p>
        </w:tc>
      </w:tr>
    </w:tbl>
    <w:p/>
    <w:p>
      <w:pPr>
        <w:pStyle w:val="Heading3"/>
      </w:pPr>
      <w:r>
        <w:rPr>
          <w:rFonts w:ascii="Inter" w:hAnsi="Inter" w:cs="Inter"/>
          <w:b/>
          <w:i w:val="0"/>
          <w:color w:val="2C5F7C"/>
          <w:sz w:val="26"/>
        </w:rPr>
        <w:t>Bangsamoro Autonomy Act No. 84 --- Bangsamoro Budget System Act</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Provision</w:t>
            </w:r>
          </w:p>
        </w:tc>
        <w:tc>
          <w:tcPr>
            <w:tcW w:type="dxa" w:w="3120"/>
            <w:shd w:fill="1B365D"/>
          </w:tcPr>
          <w:p>
            <w:r/>
            <w:r>
              <w:rPr>
                <w:rFonts w:ascii="Inter" w:hAnsi="Inter" w:cs="Inter"/>
                <w:b/>
                <w:i w:val="0"/>
                <w:color w:val="FFFFFF"/>
                <w:sz w:val="19"/>
              </w:rPr>
              <w:t>Content Summary</w:t>
            </w:r>
          </w:p>
        </w:tc>
        <w:tc>
          <w:tcPr>
            <w:tcW w:type="dxa" w:w="3120"/>
            <w:shd w:fill="1B365D"/>
          </w:tcPr>
          <w:p>
            <w:r/>
            <w:r>
              <w:rPr>
                <w:rFonts w:ascii="Inter" w:hAnsi="Inter" w:cs="Inter"/>
                <w:b/>
                <w:i w:val="0"/>
                <w:color w:val="FFFFFF"/>
                <w:sz w:val="19"/>
              </w:rPr>
              <w:t>Application to Strategic Planning</w:t>
            </w:r>
          </w:p>
        </w:tc>
      </w:tr>
      <w:tr>
        <w:tc>
          <w:tcPr>
            <w:tcW w:type="dxa" w:w="3120"/>
          </w:tcPr>
          <w:p>
            <w:r/>
            <w:r>
              <w:rPr>
                <w:rFonts w:ascii="Inter" w:hAnsi="Inter" w:cs="Inter"/>
                <w:b w:val="0"/>
                <w:i w:val="0"/>
                <w:color w:val="2D2D2D"/>
                <w:sz w:val="19"/>
              </w:rPr>
              <w:t>Sec. 2</w:t>
            </w:r>
          </w:p>
        </w:tc>
        <w:tc>
          <w:tcPr>
            <w:tcW w:type="dxa" w:w="3120"/>
          </w:tcPr>
          <w:p>
            <w:r/>
            <w:r>
              <w:rPr>
                <w:rFonts w:ascii="Inter" w:hAnsi="Inter" w:cs="Inter"/>
                <w:b w:val="0"/>
                <w:i w:val="0"/>
                <w:color w:val="2D2D2D"/>
                <w:sz w:val="19"/>
              </w:rPr>
              <w:t>Declaration of Policy: accountability, integrity, moral governance, fiscal responsibility, results orientation.[^84]</w:t>
            </w:r>
          </w:p>
        </w:tc>
        <w:tc>
          <w:tcPr>
            <w:tcW w:type="dxa" w:w="3120"/>
          </w:tcPr>
          <w:p>
            <w:r/>
            <w:r>
              <w:rPr>
                <w:rFonts w:ascii="Inter" w:hAnsi="Inter" w:cs="Inter"/>
                <w:b w:val="0"/>
                <w:i w:val="0"/>
                <w:color w:val="2D2D2D"/>
                <w:sz w:val="19"/>
              </w:rPr>
              <w:t>Policy foundation for integrating planning and budgeting.</w:t>
            </w:r>
          </w:p>
        </w:tc>
      </w:tr>
      <w:tr>
        <w:tc>
          <w:tcPr>
            <w:tcW w:type="dxa" w:w="3120"/>
            <w:shd w:fill="F0F3F6"/>
          </w:tcPr>
          <w:p>
            <w:r/>
            <w:r>
              <w:rPr>
                <w:rFonts w:ascii="Inter" w:hAnsi="Inter" w:cs="Inter"/>
                <w:b w:val="0"/>
                <w:i w:val="0"/>
                <w:color w:val="2D2D2D"/>
                <w:sz w:val="19"/>
              </w:rPr>
              <w:t>Sec. 3</w:t>
            </w:r>
          </w:p>
        </w:tc>
        <w:tc>
          <w:tcPr>
            <w:tcW w:type="dxa" w:w="3120"/>
            <w:shd w:fill="F0F3F6"/>
          </w:tcPr>
          <w:p>
            <w:r/>
            <w:r>
              <w:rPr>
                <w:rFonts w:ascii="Inter" w:hAnsi="Inter" w:cs="Inter"/>
                <w:b w:val="0"/>
                <w:i w:val="0"/>
                <w:color w:val="2D2D2D"/>
                <w:sz w:val="19"/>
              </w:rPr>
              <w:t>Scope: governs preparation, authorization, execution, and accountability of the Bangsamoro budget; applies to all MOAs.[^85]</w:t>
            </w:r>
          </w:p>
        </w:tc>
        <w:tc>
          <w:tcPr>
            <w:tcW w:type="dxa" w:w="3120"/>
            <w:shd w:fill="F0F3F6"/>
          </w:tcPr>
          <w:p>
            <w:r/>
            <w:r>
              <w:rPr>
                <w:rFonts w:ascii="Inter" w:hAnsi="Inter" w:cs="Inter"/>
                <w:b w:val="0"/>
                <w:i w:val="0"/>
                <w:color w:val="2D2D2D"/>
                <w:sz w:val="19"/>
              </w:rPr>
              <w:t>Universal applicability to all MOA budget proposals.</w:t>
            </w:r>
          </w:p>
        </w:tc>
      </w:tr>
      <w:tr>
        <w:tc>
          <w:tcPr>
            <w:tcW w:type="dxa" w:w="3120"/>
          </w:tcPr>
          <w:p>
            <w:r/>
            <w:r>
              <w:rPr>
                <w:rFonts w:ascii="Inter" w:hAnsi="Inter" w:cs="Inter"/>
                <w:b w:val="0"/>
                <w:i w:val="0"/>
                <w:color w:val="2D2D2D"/>
                <w:sz w:val="19"/>
              </w:rPr>
              <w:t>Sec. 4</w:t>
            </w:r>
          </w:p>
        </w:tc>
        <w:tc>
          <w:tcPr>
            <w:tcW w:type="dxa" w:w="3120"/>
          </w:tcPr>
          <w:p>
            <w:r/>
            <w:r>
              <w:rPr>
                <w:rFonts w:ascii="Inter" w:hAnsi="Inter" w:cs="Inter"/>
                <w:b w:val="0"/>
                <w:i w:val="0"/>
                <w:color w:val="2D2D2D"/>
                <w:sz w:val="19"/>
              </w:rPr>
              <w:t>Definitions: allotment, allotment class (PS, MOOE, CO), appropriation, program, project, activity.[^86]</w:t>
            </w:r>
          </w:p>
        </w:tc>
        <w:tc>
          <w:tcPr>
            <w:tcW w:type="dxa" w:w="3120"/>
          </w:tcPr>
          <w:p>
            <w:r/>
            <w:r>
              <w:rPr>
                <w:rFonts w:ascii="Inter" w:hAnsi="Inter" w:cs="Inter"/>
                <w:b w:val="0"/>
                <w:i w:val="0"/>
                <w:color w:val="2D2D2D"/>
                <w:sz w:val="19"/>
              </w:rPr>
              <w:t>Standard budget terminology used in AFP and Resource Requirements Matrix.</w:t>
            </w:r>
          </w:p>
        </w:tc>
      </w:tr>
      <w:tr>
        <w:tc>
          <w:tcPr>
            <w:tcW w:type="dxa" w:w="3120"/>
            <w:shd w:fill="F0F3F6"/>
          </w:tcPr>
          <w:p>
            <w:r/>
            <w:r>
              <w:rPr>
                <w:rFonts w:ascii="Inter" w:hAnsi="Inter" w:cs="Inter"/>
                <w:b w:val="0"/>
                <w:i w:val="0"/>
                <w:color w:val="2D2D2D"/>
                <w:sz w:val="19"/>
              </w:rPr>
              <w:t>Sec. 5</w:t>
            </w:r>
          </w:p>
        </w:tc>
        <w:tc>
          <w:tcPr>
            <w:tcW w:type="dxa" w:w="3120"/>
            <w:shd w:fill="F0F3F6"/>
          </w:tcPr>
          <w:p>
            <w:r/>
            <w:r>
              <w:rPr>
                <w:rFonts w:ascii="Inter" w:hAnsi="Inter" w:cs="Inter"/>
                <w:b w:val="0"/>
                <w:i w:val="0"/>
                <w:color w:val="2D2D2D"/>
                <w:sz w:val="19"/>
              </w:rPr>
              <w:t>Fiscal Responsibility Principles: sound economic and fiscal policies, sustainable public debt, manage fiscal risks prudently.[^87]</w:t>
            </w:r>
          </w:p>
        </w:tc>
        <w:tc>
          <w:tcPr>
            <w:tcW w:type="dxa" w:w="3120"/>
            <w:shd w:fill="F0F3F6"/>
          </w:tcPr>
          <w:p>
            <w:r/>
            <w:r>
              <w:rPr>
                <w:rFonts w:ascii="Inter" w:hAnsi="Inter" w:cs="Inter"/>
                <w:b w:val="0"/>
                <w:i w:val="0"/>
                <w:color w:val="2D2D2D"/>
                <w:sz w:val="19"/>
              </w:rPr>
              <w:t>Principles that constrain MOA budget ambitions to fiscal sustainability.</w:t>
            </w:r>
          </w:p>
        </w:tc>
      </w:tr>
      <w:tr>
        <w:tc>
          <w:tcPr>
            <w:tcW w:type="dxa" w:w="3120"/>
          </w:tcPr>
          <w:p>
            <w:r/>
            <w:r>
              <w:rPr>
                <w:rFonts w:ascii="Inter" w:hAnsi="Inter" w:cs="Inter"/>
                <w:b w:val="0"/>
                <w:i w:val="0"/>
                <w:color w:val="2D2D2D"/>
                <w:sz w:val="19"/>
              </w:rPr>
              <w:t>Secs. 6-7</w:t>
            </w:r>
          </w:p>
        </w:tc>
        <w:tc>
          <w:tcPr>
            <w:tcW w:type="dxa" w:w="3120"/>
          </w:tcPr>
          <w:p>
            <w:r/>
            <w:r>
              <w:rPr>
                <w:rFonts w:ascii="Inter" w:hAnsi="Inter" w:cs="Inter"/>
                <w:b w:val="0"/>
                <w:i w:val="0"/>
                <w:color w:val="2D2D2D"/>
                <w:sz w:val="19"/>
              </w:rPr>
              <w:t>Bangsamoro Budget Coordinating Committee: composition and functions, including ensuring alignment of BDP, AIP, and annual budget.[^88]</w:t>
            </w:r>
          </w:p>
        </w:tc>
        <w:tc>
          <w:tcPr>
            <w:tcW w:type="dxa" w:w="3120"/>
          </w:tcPr>
          <w:p>
            <w:r/>
            <w:r>
              <w:rPr>
                <w:rFonts w:ascii="Inter" w:hAnsi="Inter" w:cs="Inter"/>
                <w:b w:val="0"/>
                <w:i w:val="0"/>
                <w:color w:val="2D2D2D"/>
                <w:sz w:val="19"/>
              </w:rPr>
              <w:t>Institutional mechanism for plan-budget integration.</w:t>
            </w:r>
          </w:p>
        </w:tc>
      </w:tr>
      <w:tr>
        <w:tc>
          <w:tcPr>
            <w:tcW w:type="dxa" w:w="3120"/>
            <w:shd w:fill="F0F3F6"/>
          </w:tcPr>
          <w:p>
            <w:r/>
            <w:r>
              <w:rPr>
                <w:rFonts w:ascii="Inter" w:hAnsi="Inter" w:cs="Inter"/>
                <w:b w:val="0"/>
                <w:i w:val="0"/>
                <w:color w:val="2D2D2D"/>
                <w:sz w:val="19"/>
              </w:rPr>
              <w:t>Sec. 8</w:t>
            </w:r>
          </w:p>
        </w:tc>
        <w:tc>
          <w:tcPr>
            <w:tcW w:type="dxa" w:w="3120"/>
            <w:shd w:fill="F0F3F6"/>
          </w:tcPr>
          <w:p>
            <w:r/>
            <w:r>
              <w:rPr>
                <w:rFonts w:ascii="Inter" w:hAnsi="Inter" w:cs="Inter"/>
                <w:b w:val="0"/>
                <w:i w:val="0"/>
                <w:color w:val="2D2D2D"/>
                <w:sz w:val="19"/>
              </w:rPr>
              <w:t>Statement of Fiscal Policy: measurable medium-term macroeconomic and fiscal objectives.[^89]</w:t>
            </w:r>
          </w:p>
        </w:tc>
        <w:tc>
          <w:tcPr>
            <w:tcW w:type="dxa" w:w="3120"/>
            <w:shd w:fill="F0F3F6"/>
          </w:tcPr>
          <w:p>
            <w:r/>
            <w:r>
              <w:rPr>
                <w:rFonts w:ascii="Inter" w:hAnsi="Inter" w:cs="Inter"/>
                <w:b w:val="0"/>
                <w:i w:val="0"/>
                <w:color w:val="2D2D2D"/>
                <w:sz w:val="19"/>
              </w:rPr>
              <w:t>Framework for medium-term expenditure planning in MOA resource matrices.</w:t>
            </w:r>
          </w:p>
        </w:tc>
      </w:tr>
      <w:tr>
        <w:tc>
          <w:tcPr>
            <w:tcW w:type="dxa" w:w="3120"/>
          </w:tcPr>
          <w:p>
            <w:r/>
            <w:r>
              <w:rPr>
                <w:rFonts w:ascii="Inter" w:hAnsi="Inter" w:cs="Inter"/>
                <w:b w:val="0"/>
                <w:i w:val="0"/>
                <w:color w:val="2D2D2D"/>
                <w:sz w:val="19"/>
              </w:rPr>
              <w:t>Sec. 9</w:t>
            </w:r>
          </w:p>
        </w:tc>
        <w:tc>
          <w:tcPr>
            <w:tcW w:type="dxa" w:w="3120"/>
          </w:tcPr>
          <w:p>
            <w:r/>
            <w:r>
              <w:rPr>
                <w:rFonts w:ascii="Inter" w:hAnsi="Inter" w:cs="Inter"/>
                <w:b w:val="0"/>
                <w:i w:val="0"/>
                <w:color w:val="2D2D2D"/>
                <w:sz w:val="19"/>
              </w:rPr>
              <w:t>Medium-Term Fiscal Strategy: consistent with fiscal objectives, submitted annually to Parliament.[^90]</w:t>
            </w:r>
          </w:p>
        </w:tc>
        <w:tc>
          <w:tcPr>
            <w:tcW w:type="dxa" w:w="3120"/>
          </w:tcPr>
          <w:p>
            <w:r/>
            <w:r>
              <w:rPr>
                <w:rFonts w:ascii="Inter" w:hAnsi="Inter" w:cs="Inter"/>
                <w:b w:val="0"/>
                <w:i w:val="0"/>
                <w:color w:val="2D2D2D"/>
                <w:sz w:val="19"/>
              </w:rPr>
              <w:t>Basis for multi-year budget projections in strategic plans.</w:t>
            </w:r>
          </w:p>
        </w:tc>
      </w:tr>
      <w:tr>
        <w:tc>
          <w:tcPr>
            <w:tcW w:type="dxa" w:w="3120"/>
            <w:shd w:fill="F0F3F6"/>
          </w:tcPr>
          <w:p>
            <w:r/>
            <w:r>
              <w:rPr>
                <w:rFonts w:ascii="Inter" w:hAnsi="Inter" w:cs="Inter"/>
                <w:b w:val="0"/>
                <w:i w:val="0"/>
                <w:color w:val="2D2D2D"/>
                <w:sz w:val="19"/>
              </w:rPr>
              <w:t>Sec. 12</w:t>
            </w:r>
          </w:p>
        </w:tc>
        <w:tc>
          <w:tcPr>
            <w:tcW w:type="dxa" w:w="3120"/>
            <w:shd w:fill="F0F3F6"/>
          </w:tcPr>
          <w:p>
            <w:r/>
            <w:r>
              <w:rPr>
                <w:rFonts w:ascii="Inter" w:hAnsi="Inter" w:cs="Inter"/>
                <w:b w:val="0"/>
                <w:i w:val="0"/>
                <w:color w:val="2D2D2D"/>
                <w:sz w:val="19"/>
              </w:rPr>
              <w:t>Shared Fiscal Discipline: all proposed expenditure bills must include Financial and Budgetary Information Sheets.[^91]</w:t>
            </w:r>
          </w:p>
        </w:tc>
        <w:tc>
          <w:tcPr>
            <w:tcW w:type="dxa" w:w="3120"/>
            <w:shd w:fill="F0F3F6"/>
          </w:tcPr>
          <w:p>
            <w:r/>
            <w:r>
              <w:rPr>
                <w:rFonts w:ascii="Inter" w:hAnsi="Inter" w:cs="Inter"/>
                <w:b w:val="0"/>
                <w:i w:val="0"/>
                <w:color w:val="2D2D2D"/>
                <w:sz w:val="19"/>
              </w:rPr>
              <w:t>Requirement for fiscal impact analysis in MOA program proposals.</w:t>
            </w:r>
          </w:p>
        </w:tc>
      </w:tr>
    </w:tbl>
    <w:p/>
    <w:p>
      <w:pPr>
        <w:pStyle w:val="Heading3"/>
      </w:pPr>
      <w:r>
        <w:rPr>
          <w:rFonts w:ascii="Inter" w:hAnsi="Inter" w:cs="Inter"/>
          <w:b/>
          <w:i w:val="0"/>
          <w:color w:val="2C5F7C"/>
          <w:sz w:val="26"/>
        </w:rPr>
        <w:t>Bangsamoro Autonomy Act No. 85 --- General Appropriations Act of the Bangsamoro (GAAB)</w:t>
      </w:r>
    </w:p>
    <w:p>
      <w:pPr>
        <w:spacing w:after="120" w:line="276" w:lineRule="auto"/>
      </w:pPr>
      <w:r>
        <w:rPr>
          <w:rFonts w:ascii="Inter" w:hAnsi="Inter" w:cs="Inter"/>
          <w:b w:val="0"/>
          <w:i w:val="0"/>
          <w:color w:val="2D2D2D"/>
          <w:sz w:val="22"/>
        </w:rPr>
        <w:t>BAA No. 85 is the annual appropriations law that specifies each MOA's budget for the fiscal year. It authorizes the specific items of expenditure, classified by allotment class (Personnel Services, MOOE, Capital Outlay), that each MOA may incur. The GAAB is enacted by Parliament annually based on the Proposed Bangsamoro Budget submitted by the Chief Minister.[^92]</w:t>
      </w:r>
    </w:p>
    <w:p>
      <w:pPr>
        <w:spacing w:after="120" w:line="276" w:lineRule="auto"/>
      </w:pPr>
      <w:r>
        <w:rPr>
          <w:rFonts w:ascii="Inter" w:hAnsi="Inter" w:cs="Inter"/>
          <w:b w:val="0"/>
          <w:i w:val="0"/>
          <w:color w:val="2D2D2D"/>
          <w:sz w:val="22"/>
        </w:rPr>
      </w:r>
      <w:r>
        <w:rPr>
          <w:rFonts w:ascii="Inter" w:hAnsi="Inter" w:cs="Inter"/>
          <w:b/>
          <w:i w:val="0"/>
          <w:color w:val="2D2D2D"/>
          <w:sz w:val="22"/>
        </w:rPr>
        <w:t>Application to Strategic Planning:</w:t>
      </w:r>
      <w:r>
        <w:rPr>
          <w:rFonts w:ascii="Inter" w:hAnsi="Inter" w:cs="Inter"/>
          <w:b w:val="0"/>
          <w:i w:val="0"/>
          <w:color w:val="2D2D2D"/>
          <w:sz w:val="22"/>
        </w:rPr>
      </w:r>
    </w:p>
    <w:p>
      <w:pPr>
        <w:pStyle w:val="ListBullet"/>
      </w:pPr>
      <w:r>
        <w:rPr>
          <w:rFonts w:ascii="Inter" w:hAnsi="Inter" w:cs="Inter"/>
          <w:b w:val="0"/>
          <w:i w:val="0"/>
          <w:color w:val="2D2D2D"/>
          <w:sz w:val="22"/>
        </w:rPr>
        <w:t>The GAAB sets the legally binding budget ceiling for each MOA's Annual Financial Plan.</w:t>
      </w:r>
    </w:p>
    <w:p>
      <w:pPr>
        <w:pStyle w:val="ListBullet"/>
      </w:pPr>
      <w:r>
        <w:rPr>
          <w:rFonts w:ascii="Inter" w:hAnsi="Inter" w:cs="Inter"/>
          <w:b w:val="0"/>
          <w:i w:val="0"/>
          <w:color w:val="2D2D2D"/>
          <w:sz w:val="22"/>
        </w:rPr>
        <w:t>PPA codes in the AFP must correspond to items authorized in the GAAB.</w:t>
      </w:r>
    </w:p>
    <w:p>
      <w:pPr>
        <w:pStyle w:val="ListBullet"/>
      </w:pPr>
      <w:r>
        <w:rPr>
          <w:rFonts w:ascii="Inter" w:hAnsi="Inter" w:cs="Inter"/>
          <w:b w:val="0"/>
          <w:i w:val="0"/>
          <w:color w:val="2D2D2D"/>
          <w:sz w:val="22"/>
        </w:rPr>
        <w:t>The GAAB determines which programs receive funding and at what level; unfunded PPAs in the strategic plan cannot be implemented until subsequent appropriation.</w:t>
      </w:r>
    </w:p>
    <w:p>
      <w:pPr>
        <w:pStyle w:val="ListBullet"/>
      </w:pPr>
      <w:r>
        <w:rPr>
          <w:rFonts w:ascii="Inter" w:hAnsi="Inter" w:cs="Inter"/>
          <w:b w:val="0"/>
          <w:i w:val="0"/>
          <w:color w:val="2D2D2D"/>
          <w:sz w:val="22"/>
        </w:rPr>
        <w:t>MOAs should reference the current GAAB when preparing budget proposals to ensure consistency with authorized expenditure items and allotment class distributions.</w:t>
      </w:r>
    </w:p>
    <w:p>
      <w:pPr>
        <w:spacing w:after="120" w:line="276" w:lineRule="auto"/>
      </w:pPr>
      <w:r>
        <w:rPr>
          <w:rFonts w:ascii="Inter" w:hAnsi="Inter" w:cs="Inter"/>
          <w:b w:val="0"/>
          <w:i w:val="0"/>
          <w:color w:val="2D2D2D"/>
          <w:sz w:val="22"/>
        </w:rPr>
      </w:r>
      <w:r>
        <w:rPr>
          <w:rFonts w:ascii="Inter" w:hAnsi="Inter" w:cs="Inter"/>
          <w:b/>
          <w:i w:val="0"/>
          <w:color w:val="2D2D2D"/>
          <w:sz w:val="22"/>
        </w:rPr>
        <w:t>How to Access.</w:t>
      </w:r>
      <w:r>
        <w:rPr>
          <w:rFonts w:ascii="Inter" w:hAnsi="Inter" w:cs="Inter"/>
          <w:b w:val="0"/>
          <w:i w:val="0"/>
          <w:color w:val="2D2D2D"/>
          <w:sz w:val="22"/>
        </w:rPr>
        <w:t xml:space="preserve"> The GAAB is enacted annually by the Bangsamoro Parliament and published in the Bangsamoro Gazette. MFBM distributes implementation guidelines through the annual Budget Call memorandum.</w:t>
      </w:r>
    </w:p>
    <w:p>
      <w:pPr>
        <w:pStyle w:val="Heading3"/>
      </w:pPr>
      <w:r>
        <w:rPr>
          <w:rFonts w:ascii="Inter" w:hAnsi="Inter" w:cs="Inter"/>
          <w:b/>
          <w:i w:val="0"/>
          <w:color w:val="2C5F7C"/>
          <w:sz w:val="26"/>
        </w:rPr>
        <w:t>Footnotes</w:t>
      </w:r>
    </w:p>
    <w:p>
      <w:pPr>
        <w:spacing w:after="120" w:line="276" w:lineRule="auto"/>
      </w:pPr>
      <w:r>
        <w:rPr>
          <w:rFonts w:ascii="Inter" w:hAnsi="Inter" w:cs="Inter"/>
          <w:b w:val="0"/>
          <w:i w:val="0"/>
          <w:color w:val="2D2D2D"/>
          <w:sz w:val="22"/>
        </w:rPr>
        <w:t>[^1]: Phil. Const. (1987), art. X, secs. 15-21.</w:t>
      </w:r>
    </w:p>
    <w:p>
      <w:pPr>
        <w:spacing w:after="120" w:line="276" w:lineRule="auto"/>
      </w:pPr>
      <w:r>
        <w:rPr>
          <w:rFonts w:ascii="Inter" w:hAnsi="Inter" w:cs="Inter"/>
          <w:b w:val="0"/>
          <w:i w:val="0"/>
          <w:color w:val="2D2D2D"/>
          <w:sz w:val="22"/>
        </w:rPr>
        <w:t>[^2]: Phil. Const. (1987), art. X, sec. 20.</w:t>
      </w:r>
    </w:p>
    <w:p>
      <w:pPr>
        <w:spacing w:after="120" w:line="276" w:lineRule="auto"/>
      </w:pPr>
      <w:r>
        <w:rPr>
          <w:rFonts w:ascii="Inter" w:hAnsi="Inter" w:cs="Inter"/>
          <w:b w:val="0"/>
          <w:i w:val="0"/>
          <w:color w:val="2D2D2D"/>
          <w:sz w:val="22"/>
        </w:rPr>
        <w:t>[^3]: Phil. Const. (1987), art. VI, sec. 29.</w:t>
      </w:r>
    </w:p>
    <w:p>
      <w:pPr>
        <w:spacing w:after="120" w:line="276" w:lineRule="auto"/>
      </w:pPr>
      <w:r>
        <w:rPr>
          <w:rFonts w:ascii="Inter" w:hAnsi="Inter" w:cs="Inter"/>
          <w:b w:val="0"/>
          <w:i w:val="0"/>
          <w:color w:val="2D2D2D"/>
          <w:sz w:val="22"/>
        </w:rPr>
        <w:t>[^4]: Phil. Const. (1987), art. XI, secs. 1-2.</w:t>
      </w:r>
    </w:p>
    <w:p>
      <w:pPr>
        <w:spacing w:after="120" w:line="276" w:lineRule="auto"/>
      </w:pPr>
      <w:r>
        <w:rPr>
          <w:rFonts w:ascii="Inter" w:hAnsi="Inter" w:cs="Inter"/>
          <w:b w:val="0"/>
          <w:i w:val="0"/>
          <w:color w:val="2D2D2D"/>
          <w:sz w:val="22"/>
        </w:rPr>
        <w:t>[^5]: Phil. Const. (1987), art. XII, secs. 1-2.</w:t>
      </w:r>
    </w:p>
    <w:p>
      <w:pPr>
        <w:spacing w:after="120" w:line="276" w:lineRule="auto"/>
      </w:pPr>
      <w:r>
        <w:rPr>
          <w:rFonts w:ascii="Inter" w:hAnsi="Inter" w:cs="Inter"/>
          <w:b w:val="0"/>
          <w:i w:val="0"/>
          <w:color w:val="2D2D2D"/>
          <w:sz w:val="22"/>
        </w:rPr>
        <w:t>[^6]: Phil. Const. (1987), art. XIII, secs. 1-2.</w:t>
      </w:r>
    </w:p>
    <w:p>
      <w:pPr>
        <w:spacing w:after="120" w:line="276" w:lineRule="auto"/>
      </w:pPr>
      <w:r>
        <w:rPr>
          <w:rFonts w:ascii="Inter" w:hAnsi="Inter" w:cs="Inter"/>
          <w:b w:val="0"/>
          <w:i w:val="0"/>
          <w:color w:val="2D2D2D"/>
          <w:sz w:val="22"/>
        </w:rPr>
        <w:t>[^7]: Republic Act No. 11054, *Organic Law for the Bangsamoro Autonomous Region in Muslim Mindanao* [BOL] (2018).</w:t>
      </w:r>
    </w:p>
    <w:p>
      <w:pPr>
        <w:spacing w:after="120" w:line="276" w:lineRule="auto"/>
      </w:pPr>
      <w:r>
        <w:rPr>
          <w:rFonts w:ascii="Inter" w:hAnsi="Inter" w:cs="Inter"/>
          <w:b w:val="0"/>
          <w:i w:val="0"/>
          <w:color w:val="2D2D2D"/>
          <w:sz w:val="22"/>
        </w:rPr>
        <w:t>[^8]: BOL, art. I, sec. 3.</w:t>
      </w:r>
    </w:p>
    <w:p>
      <w:pPr>
        <w:spacing w:after="120" w:line="276" w:lineRule="auto"/>
      </w:pPr>
      <w:r>
        <w:rPr>
          <w:rFonts w:ascii="Inter" w:hAnsi="Inter" w:cs="Inter"/>
          <w:b w:val="0"/>
          <w:i w:val="0"/>
          <w:color w:val="2D2D2D"/>
          <w:sz w:val="22"/>
        </w:rPr>
        <w:t>[^9]: BOL, art. IV, sec. 2.</w:t>
      </w:r>
    </w:p>
    <w:p>
      <w:pPr>
        <w:spacing w:after="120" w:line="276" w:lineRule="auto"/>
      </w:pPr>
      <w:r>
        <w:rPr>
          <w:rFonts w:ascii="Inter" w:hAnsi="Inter" w:cs="Inter"/>
          <w:b w:val="0"/>
          <w:i w:val="0"/>
          <w:color w:val="2D2D2D"/>
          <w:sz w:val="22"/>
        </w:rPr>
        <w:t>[^10]: BOL, art. V, sec. 2.</w:t>
      </w:r>
    </w:p>
    <w:p>
      <w:pPr>
        <w:spacing w:after="120" w:line="276" w:lineRule="auto"/>
      </w:pPr>
      <w:r>
        <w:rPr>
          <w:rFonts w:ascii="Inter" w:hAnsi="Inter" w:cs="Inter"/>
          <w:b w:val="0"/>
          <w:i w:val="0"/>
          <w:color w:val="2D2D2D"/>
          <w:sz w:val="22"/>
        </w:rPr>
        <w:t>[^11]: BOL, art. V, sec. 3.</w:t>
      </w:r>
    </w:p>
    <w:p>
      <w:pPr>
        <w:spacing w:after="120" w:line="276" w:lineRule="auto"/>
      </w:pPr>
      <w:r>
        <w:rPr>
          <w:rFonts w:ascii="Inter" w:hAnsi="Inter" w:cs="Inter"/>
          <w:b w:val="0"/>
          <w:i w:val="0"/>
          <w:color w:val="2D2D2D"/>
          <w:sz w:val="22"/>
        </w:rPr>
        <w:t>[^12]: BOL, art. VII, sec. 2.</w:t>
      </w:r>
    </w:p>
    <w:p>
      <w:pPr>
        <w:spacing w:after="120" w:line="276" w:lineRule="auto"/>
      </w:pPr>
      <w:r>
        <w:rPr>
          <w:rFonts w:ascii="Inter" w:hAnsi="Inter" w:cs="Inter"/>
          <w:b w:val="0"/>
          <w:i w:val="0"/>
          <w:color w:val="2D2D2D"/>
          <w:sz w:val="22"/>
        </w:rPr>
        <w:t>[^13]: BOL, art. VII, sec. 27.</w:t>
      </w:r>
    </w:p>
    <w:p>
      <w:pPr>
        <w:spacing w:after="120" w:line="276" w:lineRule="auto"/>
      </w:pPr>
      <w:r>
        <w:rPr>
          <w:rFonts w:ascii="Inter" w:hAnsi="Inter" w:cs="Inter"/>
          <w:b w:val="0"/>
          <w:i w:val="0"/>
          <w:color w:val="2D2D2D"/>
          <w:sz w:val="22"/>
        </w:rPr>
        <w:t>[^14]: BOL, art. VII, sec. 28.</w:t>
      </w:r>
    </w:p>
    <w:p>
      <w:pPr>
        <w:spacing w:after="120" w:line="276" w:lineRule="auto"/>
      </w:pPr>
      <w:r>
        <w:rPr>
          <w:rFonts w:ascii="Inter" w:hAnsi="Inter" w:cs="Inter"/>
          <w:b w:val="0"/>
          <w:i w:val="0"/>
          <w:color w:val="2D2D2D"/>
          <w:sz w:val="22"/>
        </w:rPr>
        <w:t>[^15]: BOL, art. VII, sec. 32(d).</w:t>
      </w:r>
    </w:p>
    <w:p>
      <w:pPr>
        <w:spacing w:after="120" w:line="276" w:lineRule="auto"/>
      </w:pPr>
      <w:r>
        <w:rPr>
          <w:rFonts w:ascii="Inter" w:hAnsi="Inter" w:cs="Inter"/>
          <w:b w:val="0"/>
          <w:i w:val="0"/>
          <w:color w:val="2D2D2D"/>
          <w:sz w:val="22"/>
        </w:rPr>
        <w:t>[^16]: BOL, art. VII, sec. 38.</w:t>
      </w:r>
    </w:p>
    <w:p>
      <w:pPr>
        <w:spacing w:after="120" w:line="276" w:lineRule="auto"/>
      </w:pPr>
      <w:r>
        <w:rPr>
          <w:rFonts w:ascii="Inter" w:hAnsi="Inter" w:cs="Inter"/>
          <w:b w:val="0"/>
          <w:i w:val="0"/>
          <w:color w:val="2D2D2D"/>
          <w:sz w:val="22"/>
        </w:rPr>
        <w:t>[^17]: BOL, art. VII, sec. 42.</w:t>
      </w:r>
    </w:p>
    <w:p>
      <w:pPr>
        <w:spacing w:after="120" w:line="276" w:lineRule="auto"/>
      </w:pPr>
      <w:r>
        <w:rPr>
          <w:rFonts w:ascii="Inter" w:hAnsi="Inter" w:cs="Inter"/>
          <w:b w:val="0"/>
          <w:i w:val="0"/>
          <w:color w:val="2D2D2D"/>
          <w:sz w:val="22"/>
        </w:rPr>
        <w:t>[^18]: BOL, art. XII, sec. 1.</w:t>
      </w:r>
    </w:p>
    <w:p>
      <w:pPr>
        <w:spacing w:after="120" w:line="276" w:lineRule="auto"/>
      </w:pPr>
      <w:r>
        <w:rPr>
          <w:rFonts w:ascii="Inter" w:hAnsi="Inter" w:cs="Inter"/>
          <w:b w:val="0"/>
          <w:i w:val="0"/>
          <w:color w:val="2D2D2D"/>
          <w:sz w:val="22"/>
        </w:rPr>
        <w:t>[^19]: BOL, art. XII, sec. 6.</w:t>
      </w:r>
    </w:p>
    <w:p>
      <w:pPr>
        <w:spacing w:after="120" w:line="276" w:lineRule="auto"/>
      </w:pPr>
      <w:r>
        <w:rPr>
          <w:rFonts w:ascii="Inter" w:hAnsi="Inter" w:cs="Inter"/>
          <w:b w:val="0"/>
          <w:i w:val="0"/>
          <w:color w:val="2D2D2D"/>
          <w:sz w:val="22"/>
        </w:rPr>
        <w:t>[^20]: BOL, art. XII, sec. 40.</w:t>
      </w:r>
    </w:p>
    <w:p>
      <w:pPr>
        <w:spacing w:after="120" w:line="276" w:lineRule="auto"/>
      </w:pPr>
      <w:r>
        <w:rPr>
          <w:rFonts w:ascii="Inter" w:hAnsi="Inter" w:cs="Inter"/>
          <w:b w:val="0"/>
          <w:i w:val="0"/>
          <w:color w:val="2D2D2D"/>
          <w:sz w:val="22"/>
        </w:rPr>
        <w:t>[^21]: BOL, art. XIII, sec. 2.</w:t>
      </w:r>
    </w:p>
    <w:p>
      <w:pPr>
        <w:spacing w:after="120" w:line="276" w:lineRule="auto"/>
      </w:pPr>
      <w:r>
        <w:rPr>
          <w:rFonts w:ascii="Inter" w:hAnsi="Inter" w:cs="Inter"/>
          <w:b w:val="0"/>
          <w:i w:val="0"/>
          <w:color w:val="2D2D2D"/>
          <w:sz w:val="22"/>
        </w:rPr>
        <w:t>[^22]: BOL, art. XIII, sec. 4.</w:t>
      </w:r>
    </w:p>
    <w:p>
      <w:pPr>
        <w:spacing w:after="120" w:line="276" w:lineRule="auto"/>
      </w:pPr>
      <w:r>
        <w:rPr>
          <w:rFonts w:ascii="Inter" w:hAnsi="Inter" w:cs="Inter"/>
          <w:b w:val="0"/>
          <w:i w:val="0"/>
          <w:color w:val="2D2D2D"/>
          <w:sz w:val="22"/>
        </w:rPr>
        <w:t>[^23]: BOL, art. XIII, sec. 5.</w:t>
      </w:r>
    </w:p>
    <w:p>
      <w:pPr>
        <w:spacing w:after="120" w:line="276" w:lineRule="auto"/>
      </w:pPr>
      <w:r>
        <w:rPr>
          <w:rFonts w:ascii="Inter" w:hAnsi="Inter" w:cs="Inter"/>
          <w:b w:val="0"/>
          <w:i w:val="0"/>
          <w:color w:val="2D2D2D"/>
          <w:sz w:val="22"/>
        </w:rPr>
        <w:t>[^24]: BOL, art. XVI.</w:t>
      </w:r>
    </w:p>
    <w:p>
      <w:pPr>
        <w:spacing w:after="120" w:line="276" w:lineRule="auto"/>
      </w:pPr>
      <w:r>
        <w:rPr>
          <w:rFonts w:ascii="Inter" w:hAnsi="Inter" w:cs="Inter"/>
          <w:b w:val="0"/>
          <w:i w:val="0"/>
          <w:color w:val="2D2D2D"/>
          <w:sz w:val="22"/>
        </w:rPr>
        <w:t>[^25]: Bangsamoro Autonomy Act [BAA] No. 13, *Bangsamoro Administrative Code*, sec. 2 (2019).</w:t>
      </w:r>
    </w:p>
    <w:p>
      <w:pPr>
        <w:spacing w:after="120" w:line="276" w:lineRule="auto"/>
      </w:pPr>
      <w:r>
        <w:rPr>
          <w:rFonts w:ascii="Inter" w:hAnsi="Inter" w:cs="Inter"/>
          <w:b w:val="0"/>
          <w:i w:val="0"/>
          <w:color w:val="2D2D2D"/>
          <w:sz w:val="22"/>
        </w:rPr>
        <w:t>[^26]: BAA No. 13, sec. 2.</w:t>
      </w:r>
    </w:p>
    <w:p>
      <w:pPr>
        <w:spacing w:after="120" w:line="276" w:lineRule="auto"/>
      </w:pPr>
      <w:r>
        <w:rPr>
          <w:rFonts w:ascii="Inter" w:hAnsi="Inter" w:cs="Inter"/>
          <w:b w:val="0"/>
          <w:i w:val="0"/>
          <w:color w:val="2D2D2D"/>
          <w:sz w:val="22"/>
        </w:rPr>
        <w:t>[^27]: BAA No. 13, sec. 3.</w:t>
      </w:r>
    </w:p>
    <w:p>
      <w:pPr>
        <w:spacing w:after="120" w:line="276" w:lineRule="auto"/>
      </w:pPr>
      <w:r>
        <w:rPr>
          <w:rFonts w:ascii="Inter" w:hAnsi="Inter" w:cs="Inter"/>
          <w:b w:val="0"/>
          <w:i w:val="0"/>
          <w:color w:val="2D2D2D"/>
          <w:sz w:val="22"/>
        </w:rPr>
        <w:t>[^28]: BAA No. 13, bk. I, ch. 5, secs. 17-21.</w:t>
      </w:r>
    </w:p>
    <w:p>
      <w:pPr>
        <w:spacing w:after="120" w:line="276" w:lineRule="auto"/>
      </w:pPr>
      <w:r>
        <w:rPr>
          <w:rFonts w:ascii="Inter" w:hAnsi="Inter" w:cs="Inter"/>
          <w:b w:val="0"/>
          <w:i w:val="0"/>
          <w:color w:val="2D2D2D"/>
          <w:sz w:val="22"/>
        </w:rPr>
        <w:t>[^29]: BAA No. 13, bk. II, title IV.</w:t>
      </w:r>
    </w:p>
    <w:p>
      <w:pPr>
        <w:spacing w:after="120" w:line="276" w:lineRule="auto"/>
      </w:pPr>
      <w:r>
        <w:rPr>
          <w:rFonts w:ascii="Inter" w:hAnsi="Inter" w:cs="Inter"/>
          <w:b w:val="0"/>
          <w:i w:val="0"/>
          <w:color w:val="2D2D2D"/>
          <w:sz w:val="22"/>
        </w:rPr>
        <w:t>[^30]: BAA No. 13, secs. 12-15.</w:t>
      </w:r>
    </w:p>
    <w:p>
      <w:pPr>
        <w:spacing w:after="120" w:line="276" w:lineRule="auto"/>
      </w:pPr>
      <w:r>
        <w:rPr>
          <w:rFonts w:ascii="Inter" w:hAnsi="Inter" w:cs="Inter"/>
          <w:b w:val="0"/>
          <w:i w:val="0"/>
          <w:color w:val="2D2D2D"/>
          <w:sz w:val="22"/>
        </w:rPr>
        <w:t>[^31]: BAA No. 13, secs. 39-42.</w:t>
      </w:r>
    </w:p>
    <w:p>
      <w:pPr>
        <w:spacing w:after="120" w:line="276" w:lineRule="auto"/>
      </w:pPr>
      <w:r>
        <w:rPr>
          <w:rFonts w:ascii="Inter" w:hAnsi="Inter" w:cs="Inter"/>
          <w:b w:val="0"/>
          <w:i w:val="0"/>
          <w:color w:val="2D2D2D"/>
          <w:sz w:val="22"/>
        </w:rPr>
        <w:t>[^32]: BAA No. 13, bk. IV, title I.</w:t>
      </w:r>
    </w:p>
    <w:p>
      <w:pPr>
        <w:spacing w:after="120" w:line="276" w:lineRule="auto"/>
      </w:pPr>
      <w:r>
        <w:rPr>
          <w:rFonts w:ascii="Inter" w:hAnsi="Inter" w:cs="Inter"/>
          <w:b w:val="0"/>
          <w:i w:val="0"/>
          <w:color w:val="2D2D2D"/>
          <w:sz w:val="22"/>
        </w:rPr>
        <w:t>[^33]: BOL, art. XVI, sec. 4(a) (listing priority legislations for the transition period).</w:t>
      </w:r>
    </w:p>
    <w:p>
      <w:pPr>
        <w:spacing w:after="120" w:line="276" w:lineRule="auto"/>
      </w:pPr>
      <w:r>
        <w:rPr>
          <w:rFonts w:ascii="Inter" w:hAnsi="Inter" w:cs="Inter"/>
          <w:b w:val="0"/>
          <w:i w:val="0"/>
          <w:color w:val="2D2D2D"/>
          <w:sz w:val="22"/>
        </w:rPr>
        <w:t>[^34]: BAA No. 84, *Bangsamoro Budget System Act of 2025*, sec. 2 (2025).</w:t>
      </w:r>
    </w:p>
    <w:p>
      <w:pPr>
        <w:spacing w:after="120" w:line="276" w:lineRule="auto"/>
      </w:pPr>
      <w:r>
        <w:rPr>
          <w:rFonts w:ascii="Inter" w:hAnsi="Inter" w:cs="Inter"/>
          <w:b w:val="0"/>
          <w:i w:val="0"/>
          <w:color w:val="2D2D2D"/>
          <w:sz w:val="22"/>
        </w:rPr>
        <w:t>[^35]: BOL, art. XVIII, sec. 1 ("All subsisting laws... shall be deemed valid and in effect, unless inconsistent with this Organic Law or repealed by laws passed by the Parliament.").</w:t>
      </w:r>
    </w:p>
    <w:p>
      <w:pPr>
        <w:spacing w:after="120" w:line="276" w:lineRule="auto"/>
      </w:pPr>
      <w:r>
        <w:rPr>
          <w:rFonts w:ascii="Inter" w:hAnsi="Inter" w:cs="Inter"/>
          <w:b w:val="0"/>
          <w:i w:val="0"/>
          <w:color w:val="2D2D2D"/>
          <w:sz w:val="22"/>
        </w:rPr>
        <w:t>[^36]: Republic Act No. 9184, *Government Procurement Reform Act* (2003).</w:t>
      </w:r>
    </w:p>
    <w:p>
      <w:pPr>
        <w:spacing w:after="120" w:line="276" w:lineRule="auto"/>
      </w:pPr>
      <w:r>
        <w:rPr>
          <w:rFonts w:ascii="Inter" w:hAnsi="Inter" w:cs="Inter"/>
          <w:b w:val="0"/>
          <w:i w:val="0"/>
          <w:color w:val="2D2D2D"/>
          <w:sz w:val="22"/>
        </w:rPr>
        <w:t>[^37]: Republic Act No. 6713, *Code of Conduct and Ethical Standards for Public Officials and Employees* (1989).</w:t>
      </w:r>
    </w:p>
    <w:p>
      <w:pPr>
        <w:spacing w:after="120" w:line="276" w:lineRule="auto"/>
      </w:pPr>
      <w:r>
        <w:rPr>
          <w:rFonts w:ascii="Inter" w:hAnsi="Inter" w:cs="Inter"/>
          <w:b w:val="0"/>
          <w:i w:val="0"/>
          <w:color w:val="2D2D2D"/>
          <w:sz w:val="22"/>
        </w:rPr>
        <w:t>[^38]: Republic Act No. 3019, *Anti-Graft and Corrupt Practices Act* (1960).</w:t>
      </w:r>
    </w:p>
    <w:p>
      <w:pPr>
        <w:spacing w:after="120" w:line="276" w:lineRule="auto"/>
      </w:pPr>
      <w:r>
        <w:rPr>
          <w:rFonts w:ascii="Inter" w:hAnsi="Inter" w:cs="Inter"/>
          <w:b w:val="0"/>
          <w:i w:val="0"/>
          <w:color w:val="2D2D2D"/>
          <w:sz w:val="22"/>
        </w:rPr>
        <w:t>[^39]: Republic Act No. 9710, *Magna Carta of Women*, sec. 36 (2009).</w:t>
      </w:r>
    </w:p>
    <w:p>
      <w:pPr>
        <w:spacing w:after="120" w:line="276" w:lineRule="auto"/>
      </w:pPr>
      <w:r>
        <w:rPr>
          <w:rFonts w:ascii="Inter" w:hAnsi="Inter" w:cs="Inter"/>
          <w:b w:val="0"/>
          <w:i w:val="0"/>
          <w:color w:val="2D2D2D"/>
          <w:sz w:val="22"/>
        </w:rPr>
        <w:t>[^40]: Republic Act No. 10173, *Data Privacy Act of 2012* (2012).</w:t>
      </w:r>
    </w:p>
    <w:p>
      <w:pPr>
        <w:spacing w:after="120" w:line="276" w:lineRule="auto"/>
      </w:pPr>
      <w:r>
        <w:rPr>
          <w:rFonts w:ascii="Inter" w:hAnsi="Inter" w:cs="Inter"/>
          <w:b w:val="0"/>
          <w:i w:val="0"/>
          <w:color w:val="2D2D2D"/>
          <w:sz w:val="22"/>
        </w:rPr>
        <w:t>[^41]: Republic Act No. 11032, *Ease of Doing Business and Efficient Government Service Delivery Act of 2018* (2018).</w:t>
      </w:r>
    </w:p>
    <w:p>
      <w:pPr>
        <w:spacing w:after="120" w:line="276" w:lineRule="auto"/>
      </w:pPr>
      <w:r>
        <w:rPr>
          <w:rFonts w:ascii="Inter" w:hAnsi="Inter" w:cs="Inter"/>
          <w:b w:val="0"/>
          <w:i w:val="0"/>
          <w:color w:val="2D2D2D"/>
          <w:sz w:val="22"/>
        </w:rPr>
        <w:t>[^42]: Republic Act No. 9003, *Ecological Solid Waste Management Act of 2000* (2001).</w:t>
      </w:r>
    </w:p>
    <w:p>
      <w:pPr>
        <w:spacing w:after="120" w:line="276" w:lineRule="auto"/>
      </w:pPr>
      <w:r>
        <w:rPr>
          <w:rFonts w:ascii="Inter" w:hAnsi="Inter" w:cs="Inter"/>
          <w:b w:val="0"/>
          <w:i w:val="0"/>
          <w:color w:val="2D2D2D"/>
          <w:sz w:val="22"/>
        </w:rPr>
        <w:t>[^43]: Republic Act No. 9275, *Philippine Clean Water Act of 2004* (2004).</w:t>
      </w:r>
    </w:p>
    <w:p>
      <w:pPr>
        <w:spacing w:after="120" w:line="276" w:lineRule="auto"/>
      </w:pPr>
      <w:r>
        <w:rPr>
          <w:rFonts w:ascii="Inter" w:hAnsi="Inter" w:cs="Inter"/>
          <w:b w:val="0"/>
          <w:i w:val="0"/>
          <w:color w:val="2D2D2D"/>
          <w:sz w:val="22"/>
        </w:rPr>
        <w:t>[^44]: Presidential Decree No. 1445, *Government Auditing Code of the Philippines* (1978).</w:t>
      </w:r>
    </w:p>
    <w:p>
      <w:pPr>
        <w:spacing w:after="120" w:line="276" w:lineRule="auto"/>
      </w:pPr>
      <w:r>
        <w:rPr>
          <w:rFonts w:ascii="Inter" w:hAnsi="Inter" w:cs="Inter"/>
          <w:b w:val="0"/>
          <w:i w:val="0"/>
          <w:color w:val="2D2D2D"/>
          <w:sz w:val="22"/>
        </w:rPr>
        <w:t>[^45]: BAA No. 13, bk. I, ch. 3, sec. 12 ("Executive issuances shall take effect after fifteen (15) days following the completion of their publication in the Bangsamoro Gazette.").</w:t>
      </w:r>
    </w:p>
    <w:p>
      <w:pPr>
        <w:spacing w:after="120" w:line="276" w:lineRule="auto"/>
      </w:pPr>
      <w:r>
        <w:rPr>
          <w:rFonts w:ascii="Inter" w:hAnsi="Inter" w:cs="Inter"/>
          <w:b w:val="0"/>
          <w:i w:val="0"/>
          <w:color w:val="2D2D2D"/>
          <w:sz w:val="22"/>
        </w:rPr>
        <w:t>[^46]: Phil. Const. (1987), art. VIII, sec. 1 (judicial power is vested in one Supreme Court and in such lower courts as may be established by law).</w:t>
      </w:r>
    </w:p>
    <w:p>
      <w:pPr>
        <w:spacing w:after="120" w:line="276" w:lineRule="auto"/>
      </w:pPr>
      <w:r>
        <w:rPr>
          <w:rFonts w:ascii="Inter" w:hAnsi="Inter" w:cs="Inter"/>
          <w:b w:val="0"/>
          <w:i w:val="0"/>
          <w:color w:val="2D2D2D"/>
          <w:sz w:val="22"/>
        </w:rPr>
        <w:t>[^47]: *2nd Bangsamoro Development Plan 2023-2028* [BDP], ch. 4: Bangsamoro Development Framework, Vision.</w:t>
      </w:r>
    </w:p>
    <w:p>
      <w:pPr>
        <w:spacing w:after="120" w:line="276" w:lineRule="auto"/>
      </w:pPr>
      <w:r>
        <w:rPr>
          <w:rFonts w:ascii="Inter" w:hAnsi="Inter" w:cs="Inter"/>
          <w:b w:val="0"/>
          <w:i w:val="0"/>
          <w:color w:val="2D2D2D"/>
          <w:sz w:val="22"/>
        </w:rPr>
        <w:t>[^48]: BDP, ch. 4, Mission.</w:t>
      </w:r>
    </w:p>
    <w:p>
      <w:pPr>
        <w:spacing w:after="120" w:line="276" w:lineRule="auto"/>
      </w:pPr>
      <w:r>
        <w:rPr>
          <w:rFonts w:ascii="Inter" w:hAnsi="Inter" w:cs="Inter"/>
          <w:b w:val="0"/>
          <w:i w:val="0"/>
          <w:color w:val="2D2D2D"/>
          <w:sz w:val="22"/>
        </w:rPr>
        <w:t>[^49]: BDP, ch. 4, Overall Goal.</w:t>
      </w:r>
    </w:p>
    <w:p>
      <w:pPr>
        <w:spacing w:after="120" w:line="276" w:lineRule="auto"/>
      </w:pPr>
      <w:r>
        <w:rPr>
          <w:rFonts w:ascii="Inter" w:hAnsi="Inter" w:cs="Inter"/>
          <w:b w:val="0"/>
          <w:i w:val="0"/>
          <w:color w:val="2D2D2D"/>
          <w:sz w:val="22"/>
        </w:rPr>
        <w:t>[^50]: BDP, ch. 4, Goal 1.</w:t>
      </w:r>
    </w:p>
    <w:p>
      <w:pPr>
        <w:spacing w:after="120" w:line="276" w:lineRule="auto"/>
      </w:pPr>
      <w:r>
        <w:rPr>
          <w:rFonts w:ascii="Inter" w:hAnsi="Inter" w:cs="Inter"/>
          <w:b w:val="0"/>
          <w:i w:val="0"/>
          <w:color w:val="2D2D2D"/>
          <w:sz w:val="22"/>
        </w:rPr>
        <w:t>[^51]: BDP, ch. 4, Goal 2.</w:t>
      </w:r>
    </w:p>
    <w:p>
      <w:pPr>
        <w:spacing w:after="120" w:line="276" w:lineRule="auto"/>
      </w:pPr>
      <w:r>
        <w:rPr>
          <w:rFonts w:ascii="Inter" w:hAnsi="Inter" w:cs="Inter"/>
          <w:b w:val="0"/>
          <w:i w:val="0"/>
          <w:color w:val="2D2D2D"/>
          <w:sz w:val="22"/>
        </w:rPr>
        <w:t>[^52]: BDP, ch. 4, Goal 3.</w:t>
      </w:r>
    </w:p>
    <w:p>
      <w:pPr>
        <w:spacing w:after="120" w:line="276" w:lineRule="auto"/>
      </w:pPr>
      <w:r>
        <w:rPr>
          <w:rFonts w:ascii="Inter" w:hAnsi="Inter" w:cs="Inter"/>
          <w:b w:val="0"/>
          <w:i w:val="0"/>
          <w:color w:val="2D2D2D"/>
          <w:sz w:val="22"/>
        </w:rPr>
        <w:t>[^53]: BDP, ch. 4, Goal 4.</w:t>
      </w:r>
    </w:p>
    <w:p>
      <w:pPr>
        <w:spacing w:after="120" w:line="276" w:lineRule="auto"/>
      </w:pPr>
      <w:r>
        <w:rPr>
          <w:rFonts w:ascii="Inter" w:hAnsi="Inter" w:cs="Inter"/>
          <w:b w:val="0"/>
          <w:i w:val="0"/>
          <w:color w:val="2D2D2D"/>
          <w:sz w:val="22"/>
        </w:rPr>
        <w:t>[^54]: BDP, ch. 4, Goal 5.</w:t>
      </w:r>
    </w:p>
    <w:p>
      <w:pPr>
        <w:spacing w:after="120" w:line="276" w:lineRule="auto"/>
      </w:pPr>
      <w:r>
        <w:rPr>
          <w:rFonts w:ascii="Inter" w:hAnsi="Inter" w:cs="Inter"/>
          <w:b w:val="0"/>
          <w:i w:val="0"/>
          <w:color w:val="2D2D2D"/>
          <w:sz w:val="22"/>
        </w:rPr>
        <w:t>[^55]: BDP, ch. 4, Goal 6.</w:t>
      </w:r>
    </w:p>
    <w:p>
      <w:pPr>
        <w:spacing w:after="120" w:line="276" w:lineRule="auto"/>
      </w:pPr>
      <w:r>
        <w:rPr>
          <w:rFonts w:ascii="Inter" w:hAnsi="Inter" w:cs="Inter"/>
          <w:b w:val="0"/>
          <w:i w:val="0"/>
          <w:color w:val="2D2D2D"/>
          <w:sz w:val="22"/>
        </w:rPr>
        <w:t>[^56]: BDP, ch. 4.</w:t>
      </w:r>
    </w:p>
    <w:p>
      <w:pPr>
        <w:spacing w:after="120" w:line="276" w:lineRule="auto"/>
      </w:pPr>
      <w:r>
        <w:rPr>
          <w:rFonts w:ascii="Inter" w:hAnsi="Inter" w:cs="Inter"/>
          <w:b w:val="0"/>
          <w:i w:val="0"/>
          <w:color w:val="2D2D2D"/>
          <w:sz w:val="22"/>
        </w:rPr>
        <w:t>[^57]: BDP, ch. 4, Pillars of Moral Governance and cross-cutting themes.</w:t>
      </w:r>
    </w:p>
    <w:p>
      <w:pPr>
        <w:spacing w:after="120" w:line="276" w:lineRule="auto"/>
      </w:pPr>
      <w:r>
        <w:rPr>
          <w:rFonts w:ascii="Inter" w:hAnsi="Inter" w:cs="Inter"/>
          <w:b w:val="0"/>
          <w:i w:val="0"/>
          <w:color w:val="2D2D2D"/>
          <w:sz w:val="22"/>
        </w:rPr>
        <w:t>[^58]: BDP, ch. 4, tbl. 4.1.</w:t>
      </w:r>
    </w:p>
    <w:p>
      <w:pPr>
        <w:spacing w:after="120" w:line="276" w:lineRule="auto"/>
      </w:pPr>
      <w:r>
        <w:rPr>
          <w:rFonts w:ascii="Inter" w:hAnsi="Inter" w:cs="Inter"/>
          <w:b w:val="0"/>
          <w:i w:val="0"/>
          <w:color w:val="2D2D2D"/>
          <w:sz w:val="22"/>
        </w:rPr>
        <w:t>[^59]: BOL, art. VII, sec. 32(d).</w:t>
      </w:r>
    </w:p>
    <w:p>
      <w:pPr>
        <w:spacing w:after="120" w:line="276" w:lineRule="auto"/>
      </w:pPr>
      <w:r>
        <w:rPr>
          <w:rFonts w:ascii="Inter" w:hAnsi="Inter" w:cs="Inter"/>
          <w:b w:val="0"/>
          <w:i w:val="0"/>
          <w:color w:val="2D2D2D"/>
          <w:sz w:val="22"/>
        </w:rPr>
        <w:t>[^60]: BOL, art. I, sec. 3.</w:t>
      </w:r>
    </w:p>
    <w:p>
      <w:pPr>
        <w:spacing w:after="120" w:line="276" w:lineRule="auto"/>
      </w:pPr>
      <w:r>
        <w:rPr>
          <w:rFonts w:ascii="Inter" w:hAnsi="Inter" w:cs="Inter"/>
          <w:b w:val="0"/>
          <w:i w:val="0"/>
          <w:color w:val="2D2D2D"/>
          <w:sz w:val="22"/>
        </w:rPr>
        <w:t>[^61]: BOL, art. IV, sec. 2.</w:t>
      </w:r>
    </w:p>
    <w:p>
      <w:pPr>
        <w:spacing w:after="120" w:line="276" w:lineRule="auto"/>
      </w:pPr>
      <w:r>
        <w:rPr>
          <w:rFonts w:ascii="Inter" w:hAnsi="Inter" w:cs="Inter"/>
          <w:b w:val="0"/>
          <w:i w:val="0"/>
          <w:color w:val="2D2D2D"/>
          <w:sz w:val="22"/>
        </w:rPr>
        <w:t>[^62]: BOL, art. V, sec. 2.</w:t>
      </w:r>
    </w:p>
    <w:p>
      <w:pPr>
        <w:spacing w:after="120" w:line="276" w:lineRule="auto"/>
      </w:pPr>
      <w:r>
        <w:rPr>
          <w:rFonts w:ascii="Inter" w:hAnsi="Inter" w:cs="Inter"/>
          <w:b w:val="0"/>
          <w:i w:val="0"/>
          <w:color w:val="2D2D2D"/>
          <w:sz w:val="22"/>
        </w:rPr>
        <w:t>[^63]: BOL, art. V, sec. 3.</w:t>
      </w:r>
    </w:p>
    <w:p>
      <w:pPr>
        <w:spacing w:after="120" w:line="276" w:lineRule="auto"/>
      </w:pPr>
      <w:r>
        <w:rPr>
          <w:rFonts w:ascii="Inter" w:hAnsi="Inter" w:cs="Inter"/>
          <w:b w:val="0"/>
          <w:i w:val="0"/>
          <w:color w:val="2D2D2D"/>
          <w:sz w:val="22"/>
        </w:rPr>
        <w:t>[^64]: BOL, art. VII, sec. 2.</w:t>
      </w:r>
    </w:p>
    <w:p>
      <w:pPr>
        <w:spacing w:after="120" w:line="276" w:lineRule="auto"/>
      </w:pPr>
      <w:r>
        <w:rPr>
          <w:rFonts w:ascii="Inter" w:hAnsi="Inter" w:cs="Inter"/>
          <w:b w:val="0"/>
          <w:i w:val="0"/>
          <w:color w:val="2D2D2D"/>
          <w:sz w:val="22"/>
        </w:rPr>
        <w:t>[^65]: BOL, art. VII, sec. 27.</w:t>
      </w:r>
    </w:p>
    <w:p>
      <w:pPr>
        <w:spacing w:after="120" w:line="276" w:lineRule="auto"/>
      </w:pPr>
      <w:r>
        <w:rPr>
          <w:rFonts w:ascii="Inter" w:hAnsi="Inter" w:cs="Inter"/>
          <w:b w:val="0"/>
          <w:i w:val="0"/>
          <w:color w:val="2D2D2D"/>
          <w:sz w:val="22"/>
        </w:rPr>
        <w:t>[^66]: BOL, art. VII, sec. 28.</w:t>
      </w:r>
    </w:p>
    <w:p>
      <w:pPr>
        <w:spacing w:after="120" w:line="276" w:lineRule="auto"/>
      </w:pPr>
      <w:r>
        <w:rPr>
          <w:rFonts w:ascii="Inter" w:hAnsi="Inter" w:cs="Inter"/>
          <w:b w:val="0"/>
          <w:i w:val="0"/>
          <w:color w:val="2D2D2D"/>
          <w:sz w:val="22"/>
        </w:rPr>
        <w:t>[^67]: BOL, art. VII, sec. 32(d).</w:t>
      </w:r>
    </w:p>
    <w:p>
      <w:pPr>
        <w:spacing w:after="120" w:line="276" w:lineRule="auto"/>
      </w:pPr>
      <w:r>
        <w:rPr>
          <w:rFonts w:ascii="Inter" w:hAnsi="Inter" w:cs="Inter"/>
          <w:b w:val="0"/>
          <w:i w:val="0"/>
          <w:color w:val="2D2D2D"/>
          <w:sz w:val="22"/>
        </w:rPr>
        <w:t>[^68]: BOL, art. VII, sec. 38.</w:t>
      </w:r>
    </w:p>
    <w:p>
      <w:pPr>
        <w:spacing w:after="120" w:line="276" w:lineRule="auto"/>
      </w:pPr>
      <w:r>
        <w:rPr>
          <w:rFonts w:ascii="Inter" w:hAnsi="Inter" w:cs="Inter"/>
          <w:b w:val="0"/>
          <w:i w:val="0"/>
          <w:color w:val="2D2D2D"/>
          <w:sz w:val="22"/>
        </w:rPr>
        <w:t>[^69]: BOL, art. VII, sec. 42.</w:t>
      </w:r>
    </w:p>
    <w:p>
      <w:pPr>
        <w:spacing w:after="120" w:line="276" w:lineRule="auto"/>
      </w:pPr>
      <w:r>
        <w:rPr>
          <w:rFonts w:ascii="Inter" w:hAnsi="Inter" w:cs="Inter"/>
          <w:b w:val="0"/>
          <w:i w:val="0"/>
          <w:color w:val="2D2D2D"/>
          <w:sz w:val="22"/>
        </w:rPr>
        <w:t>[^70]: BOL, art. XII, sec. 1.</w:t>
      </w:r>
    </w:p>
    <w:p>
      <w:pPr>
        <w:spacing w:after="120" w:line="276" w:lineRule="auto"/>
      </w:pPr>
      <w:r>
        <w:rPr>
          <w:rFonts w:ascii="Inter" w:hAnsi="Inter" w:cs="Inter"/>
          <w:b w:val="0"/>
          <w:i w:val="0"/>
          <w:color w:val="2D2D2D"/>
          <w:sz w:val="22"/>
        </w:rPr>
        <w:t>[^71]: BOL, art. XII, sec. 6.</w:t>
      </w:r>
    </w:p>
    <w:p>
      <w:pPr>
        <w:spacing w:after="120" w:line="276" w:lineRule="auto"/>
      </w:pPr>
      <w:r>
        <w:rPr>
          <w:rFonts w:ascii="Inter" w:hAnsi="Inter" w:cs="Inter"/>
          <w:b w:val="0"/>
          <w:i w:val="0"/>
          <w:color w:val="2D2D2D"/>
          <w:sz w:val="22"/>
        </w:rPr>
        <w:t>[^72]: BOL, art. XII, sec. 40.</w:t>
      </w:r>
    </w:p>
    <w:p>
      <w:pPr>
        <w:spacing w:after="120" w:line="276" w:lineRule="auto"/>
      </w:pPr>
      <w:r>
        <w:rPr>
          <w:rFonts w:ascii="Inter" w:hAnsi="Inter" w:cs="Inter"/>
          <w:b w:val="0"/>
          <w:i w:val="0"/>
          <w:color w:val="2D2D2D"/>
          <w:sz w:val="22"/>
        </w:rPr>
        <w:t>[^73]: BOL, art. XIII, sec. 2.</w:t>
      </w:r>
    </w:p>
    <w:p>
      <w:pPr>
        <w:spacing w:after="120" w:line="276" w:lineRule="auto"/>
      </w:pPr>
      <w:r>
        <w:rPr>
          <w:rFonts w:ascii="Inter" w:hAnsi="Inter" w:cs="Inter"/>
          <w:b w:val="0"/>
          <w:i w:val="0"/>
          <w:color w:val="2D2D2D"/>
          <w:sz w:val="22"/>
        </w:rPr>
        <w:t>[^74]: BOL, art. XIII, sec. 4.</w:t>
      </w:r>
    </w:p>
    <w:p>
      <w:pPr>
        <w:spacing w:after="120" w:line="276" w:lineRule="auto"/>
      </w:pPr>
      <w:r>
        <w:rPr>
          <w:rFonts w:ascii="Inter" w:hAnsi="Inter" w:cs="Inter"/>
          <w:b w:val="0"/>
          <w:i w:val="0"/>
          <w:color w:val="2D2D2D"/>
          <w:sz w:val="22"/>
        </w:rPr>
        <w:t>[^75]: BOL, art. XIII, sec. 5.</w:t>
      </w:r>
    </w:p>
    <w:p>
      <w:pPr>
        <w:spacing w:after="120" w:line="276" w:lineRule="auto"/>
      </w:pPr>
      <w:r>
        <w:rPr>
          <w:rFonts w:ascii="Inter" w:hAnsi="Inter" w:cs="Inter"/>
          <w:b w:val="0"/>
          <w:i w:val="0"/>
          <w:color w:val="2D2D2D"/>
          <w:sz w:val="22"/>
        </w:rPr>
        <w:t>[^76]: BOL, art. XVI, sec. 4.</w:t>
      </w:r>
    </w:p>
    <w:p>
      <w:pPr>
        <w:spacing w:after="120" w:line="276" w:lineRule="auto"/>
      </w:pPr>
      <w:r>
        <w:rPr>
          <w:rFonts w:ascii="Inter" w:hAnsi="Inter" w:cs="Inter"/>
          <w:b w:val="0"/>
          <w:i w:val="0"/>
          <w:color w:val="2D2D2D"/>
          <w:sz w:val="22"/>
        </w:rPr>
        <w:t>[^77]: BAA No. 13, sec. 2.</w:t>
      </w:r>
    </w:p>
    <w:p>
      <w:pPr>
        <w:spacing w:after="120" w:line="276" w:lineRule="auto"/>
      </w:pPr>
      <w:r>
        <w:rPr>
          <w:rFonts w:ascii="Inter" w:hAnsi="Inter" w:cs="Inter"/>
          <w:b w:val="0"/>
          <w:i w:val="0"/>
          <w:color w:val="2D2D2D"/>
          <w:sz w:val="22"/>
        </w:rPr>
        <w:t>[^78]: BAA No. 13, sec. 3.</w:t>
      </w:r>
    </w:p>
    <w:p>
      <w:pPr>
        <w:spacing w:after="120" w:line="276" w:lineRule="auto"/>
      </w:pPr>
      <w:r>
        <w:rPr>
          <w:rFonts w:ascii="Inter" w:hAnsi="Inter" w:cs="Inter"/>
          <w:b w:val="0"/>
          <w:i w:val="0"/>
          <w:color w:val="2D2D2D"/>
          <w:sz w:val="22"/>
        </w:rPr>
        <w:t>[^79]: BAA No. 13, sec. 4.</w:t>
      </w:r>
    </w:p>
    <w:p>
      <w:pPr>
        <w:spacing w:after="120" w:line="276" w:lineRule="auto"/>
      </w:pPr>
      <w:r>
        <w:rPr>
          <w:rFonts w:ascii="Inter" w:hAnsi="Inter" w:cs="Inter"/>
          <w:b w:val="0"/>
          <w:i w:val="0"/>
          <w:color w:val="2D2D2D"/>
          <w:sz w:val="22"/>
        </w:rPr>
        <w:t>[^80]: BAA No. 13, bk. I, ch. 5, secs. 17, 24.</w:t>
      </w:r>
    </w:p>
    <w:p>
      <w:pPr>
        <w:spacing w:after="120" w:line="276" w:lineRule="auto"/>
      </w:pPr>
      <w:r>
        <w:rPr>
          <w:rFonts w:ascii="Inter" w:hAnsi="Inter" w:cs="Inter"/>
          <w:b w:val="0"/>
          <w:i w:val="0"/>
          <w:color w:val="2D2D2D"/>
          <w:sz w:val="22"/>
        </w:rPr>
        <w:t>[^81]: BAA No. 13, bk. II, title IV.</w:t>
      </w:r>
    </w:p>
    <w:p>
      <w:pPr>
        <w:spacing w:after="120" w:line="276" w:lineRule="auto"/>
      </w:pPr>
      <w:r>
        <w:rPr>
          <w:rFonts w:ascii="Inter" w:hAnsi="Inter" w:cs="Inter"/>
          <w:b w:val="0"/>
          <w:i w:val="0"/>
          <w:color w:val="2D2D2D"/>
          <w:sz w:val="22"/>
        </w:rPr>
        <w:t>[^82]: BAA No. 13, secs. 12-15.</w:t>
      </w:r>
    </w:p>
    <w:p>
      <w:pPr>
        <w:spacing w:after="120" w:line="276" w:lineRule="auto"/>
      </w:pPr>
      <w:r>
        <w:rPr>
          <w:rFonts w:ascii="Inter" w:hAnsi="Inter" w:cs="Inter"/>
          <w:b w:val="0"/>
          <w:i w:val="0"/>
          <w:color w:val="2D2D2D"/>
          <w:sz w:val="22"/>
        </w:rPr>
        <w:t>[^83]: BAA No. 13, secs. 39-42.</w:t>
      </w:r>
    </w:p>
    <w:p>
      <w:pPr>
        <w:spacing w:after="120" w:line="276" w:lineRule="auto"/>
      </w:pPr>
      <w:r>
        <w:rPr>
          <w:rFonts w:ascii="Inter" w:hAnsi="Inter" w:cs="Inter"/>
          <w:b w:val="0"/>
          <w:i w:val="0"/>
          <w:color w:val="2D2D2D"/>
          <w:sz w:val="22"/>
        </w:rPr>
        <w:t>[^84]: BAA No. 84, sec. 2.</w:t>
      </w:r>
    </w:p>
    <w:p>
      <w:pPr>
        <w:spacing w:after="120" w:line="276" w:lineRule="auto"/>
      </w:pPr>
      <w:r>
        <w:rPr>
          <w:rFonts w:ascii="Inter" w:hAnsi="Inter" w:cs="Inter"/>
          <w:b w:val="0"/>
          <w:i w:val="0"/>
          <w:color w:val="2D2D2D"/>
          <w:sz w:val="22"/>
        </w:rPr>
        <w:t>[^85]: BAA No. 84, sec. 3.</w:t>
      </w:r>
    </w:p>
    <w:p>
      <w:pPr>
        <w:spacing w:after="120" w:line="276" w:lineRule="auto"/>
      </w:pPr>
      <w:r>
        <w:rPr>
          <w:rFonts w:ascii="Inter" w:hAnsi="Inter" w:cs="Inter"/>
          <w:b w:val="0"/>
          <w:i w:val="0"/>
          <w:color w:val="2D2D2D"/>
          <w:sz w:val="22"/>
        </w:rPr>
        <w:t>[^86]: BAA No. 84, sec. 4.</w:t>
      </w:r>
    </w:p>
    <w:p>
      <w:pPr>
        <w:spacing w:after="120" w:line="276" w:lineRule="auto"/>
      </w:pPr>
      <w:r>
        <w:rPr>
          <w:rFonts w:ascii="Inter" w:hAnsi="Inter" w:cs="Inter"/>
          <w:b w:val="0"/>
          <w:i w:val="0"/>
          <w:color w:val="2D2D2D"/>
          <w:sz w:val="22"/>
        </w:rPr>
        <w:t>[^87]: BAA No. 84, sec. 5.</w:t>
      </w:r>
    </w:p>
    <w:p>
      <w:pPr>
        <w:spacing w:after="120" w:line="276" w:lineRule="auto"/>
      </w:pPr>
      <w:r>
        <w:rPr>
          <w:rFonts w:ascii="Inter" w:hAnsi="Inter" w:cs="Inter"/>
          <w:b w:val="0"/>
          <w:i w:val="0"/>
          <w:color w:val="2D2D2D"/>
          <w:sz w:val="22"/>
        </w:rPr>
        <w:t>[^88]: BAA No. 84, secs. 6-7.</w:t>
      </w:r>
    </w:p>
    <w:p>
      <w:pPr>
        <w:spacing w:after="120" w:line="276" w:lineRule="auto"/>
      </w:pPr>
      <w:r>
        <w:rPr>
          <w:rFonts w:ascii="Inter" w:hAnsi="Inter" w:cs="Inter"/>
          <w:b w:val="0"/>
          <w:i w:val="0"/>
          <w:color w:val="2D2D2D"/>
          <w:sz w:val="22"/>
        </w:rPr>
        <w:t>[^89]: BAA No. 84, sec. 8.</w:t>
      </w:r>
    </w:p>
    <w:p>
      <w:pPr>
        <w:spacing w:after="120" w:line="276" w:lineRule="auto"/>
      </w:pPr>
      <w:r>
        <w:rPr>
          <w:rFonts w:ascii="Inter" w:hAnsi="Inter" w:cs="Inter"/>
          <w:b w:val="0"/>
          <w:i w:val="0"/>
          <w:color w:val="2D2D2D"/>
          <w:sz w:val="22"/>
        </w:rPr>
        <w:t>[^90]: BAA No. 84, sec. 9.</w:t>
      </w:r>
    </w:p>
    <w:p>
      <w:pPr>
        <w:spacing w:after="120" w:line="276" w:lineRule="auto"/>
      </w:pPr>
      <w:r>
        <w:rPr>
          <w:rFonts w:ascii="Inter" w:hAnsi="Inter" w:cs="Inter"/>
          <w:b w:val="0"/>
          <w:i w:val="0"/>
          <w:color w:val="2D2D2D"/>
          <w:sz w:val="22"/>
        </w:rPr>
        <w:t>[^91]: BAA No. 84, sec. 12.</w:t>
      </w:r>
    </w:p>
    <w:p>
      <w:pPr>
        <w:spacing w:after="120" w:line="276" w:lineRule="auto"/>
      </w:pPr>
      <w:r>
        <w:rPr>
          <w:rFonts w:ascii="Inter" w:hAnsi="Inter" w:cs="Inter"/>
          <w:b w:val="0"/>
          <w:i w:val="0"/>
          <w:color w:val="2D2D2D"/>
          <w:sz w:val="22"/>
        </w:rPr>
        <w:t>[^92]: BOL, art. VII, sec. 27; BAA No. 84, sec. 4(y) (defining "General Appropriations Act of the Bangsamoro").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MOP Formulation Guidebook — BARMM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