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19A9" w14:textId="77777777" w:rsidR="00A7389B" w:rsidRPr="00A7389B" w:rsidRDefault="00A7389B" w:rsidP="00A7389B">
      <w:pPr>
        <w:spacing w:before="240" w:after="0" w:line="240" w:lineRule="auto"/>
        <w:outlineLvl w:val="0"/>
        <w:rPr>
          <w:rFonts w:ascii="Bookman Old Style" w:eastAsia="Times New Roman" w:hAnsi="Bookman Old Style" w:cs="Arial"/>
          <w:b/>
          <w:bCs/>
          <w:color w:val="1B1C1D"/>
          <w:kern w:val="36"/>
          <w:sz w:val="48"/>
          <w:szCs w:val="48"/>
          <w14:ligatures w14:val="none"/>
        </w:rPr>
      </w:pPr>
      <w:r w:rsidRPr="00A7389B">
        <w:rPr>
          <w:rFonts w:ascii="Bookman Old Style" w:eastAsia="Times New Roman" w:hAnsi="Bookman Old Style" w:cs="Arial"/>
          <w:b/>
          <w:bCs/>
          <w:color w:val="1B1C1D"/>
          <w:kern w:val="36"/>
          <w:sz w:val="48"/>
          <w:szCs w:val="48"/>
          <w14:ligatures w14:val="none"/>
        </w:rPr>
        <w:t>Comprehensive Legal Analysis and Strategic Case Assessment</w:t>
      </w:r>
    </w:p>
    <w:p w14:paraId="3E471E7E" w14:textId="77777777" w:rsidR="00A7389B" w:rsidRPr="00A7389B" w:rsidRDefault="00A7389B" w:rsidP="00A7389B">
      <w:pPr>
        <w:spacing w:before="240" w:after="0" w:line="240" w:lineRule="auto"/>
        <w:outlineLvl w:val="1"/>
        <w:rPr>
          <w:rFonts w:ascii="Bookman Old Style" w:eastAsia="Times New Roman" w:hAnsi="Bookman Old Style" w:cs="Arial"/>
          <w:b/>
          <w:bCs/>
          <w:color w:val="1B1C1D"/>
          <w:kern w:val="0"/>
          <w:sz w:val="36"/>
          <w:szCs w:val="36"/>
          <w14:ligatures w14:val="none"/>
        </w:rPr>
      </w:pPr>
      <w:r w:rsidRPr="00A7389B">
        <w:rPr>
          <w:rFonts w:ascii="Bookman Old Style" w:eastAsia="Times New Roman" w:hAnsi="Bookman Old Style" w:cs="Arial"/>
          <w:b/>
          <w:bCs/>
          <w:color w:val="1B1C1D"/>
          <w:kern w:val="0"/>
          <w:sz w:val="36"/>
          <w:szCs w:val="36"/>
          <w14:ligatures w14:val="none"/>
        </w:rPr>
        <w:t>People of the Philippines v. Andy (Criminal Case No. 2025-18700)</w:t>
      </w:r>
    </w:p>
    <w:p w14:paraId="4969A728"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Status: "The Worst-Case Scenario" Simulation (Expanded Analysis)</w:t>
      </w:r>
    </w:p>
    <w:p w14:paraId="753E8C22"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Date: November 2025</w:t>
      </w:r>
    </w:p>
    <w:p w14:paraId="7B92F60D"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Venue: Regional Trial Court, Branch 10, Canton City (Family Court)</w:t>
      </w:r>
    </w:p>
    <w:p w14:paraId="4FF63ABF" w14:textId="77777777" w:rsidR="00A7389B" w:rsidRPr="00A7389B" w:rsidRDefault="00A7389B" w:rsidP="00A7389B">
      <w:pPr>
        <w:spacing w:before="240" w:after="0" w:line="240" w:lineRule="auto"/>
        <w:outlineLvl w:val="1"/>
        <w:rPr>
          <w:rFonts w:ascii="Bookman Old Style" w:eastAsia="Times New Roman" w:hAnsi="Bookman Old Style" w:cs="Arial"/>
          <w:b/>
          <w:bCs/>
          <w:color w:val="1B1C1D"/>
          <w:kern w:val="0"/>
          <w:sz w:val="36"/>
          <w:szCs w:val="36"/>
          <w14:ligatures w14:val="none"/>
        </w:rPr>
      </w:pPr>
      <w:r w:rsidRPr="00A7389B">
        <w:rPr>
          <w:rFonts w:ascii="Bookman Old Style" w:eastAsia="Times New Roman" w:hAnsi="Bookman Old Style" w:cs="Arial"/>
          <w:b/>
          <w:bCs/>
          <w:color w:val="1B1C1D"/>
          <w:kern w:val="0"/>
          <w:sz w:val="36"/>
          <w:szCs w:val="36"/>
          <w14:ligatures w14:val="none"/>
        </w:rPr>
        <w:t>1. Preliminary Statement: The Escalated Conflict and Jurisdictional Fault Lines</w:t>
      </w:r>
    </w:p>
    <w:p w14:paraId="34388C20"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This case analysis simulates a high-stakes legal battle where the Prosecution attempts to aggressively expand the scope of the trial beyond the single incident charged in the Information. This scenario represents the "worst-case" for the accused: a trial that morphs from a specific factual dispute about a post-divorce encounter into a broad indictment of his entire marital history, character, and lifestyle.</w:t>
      </w:r>
    </w:p>
    <w:p w14:paraId="78648030"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case of </w:t>
      </w:r>
      <w:r w:rsidRPr="00A7389B">
        <w:rPr>
          <w:rFonts w:ascii="Bookman Old Style" w:eastAsia="Times New Roman" w:hAnsi="Bookman Old Style" w:cs="Arial"/>
          <w:i/>
          <w:iCs/>
          <w:color w:val="1B1C1D"/>
          <w:kern w:val="0"/>
          <w:bdr w:val="none" w:sz="0" w:space="0" w:color="auto" w:frame="1"/>
          <w14:ligatures w14:val="none"/>
        </w:rPr>
        <w:t>People v. Andy</w:t>
      </w:r>
      <w:r w:rsidRPr="00A7389B">
        <w:rPr>
          <w:rFonts w:ascii="Bookman Old Style" w:eastAsia="Times New Roman" w:hAnsi="Bookman Old Style" w:cs="Arial"/>
          <w:color w:val="1B1C1D"/>
          <w:kern w:val="0"/>
          <w14:ligatures w14:val="none"/>
        </w:rPr>
        <w:t xml:space="preserve"> sits on a sharp jurisprudential fault line, representing a clash between two distinct legal systems operating within the Philippine archipelago. On one side is </w:t>
      </w:r>
      <w:r w:rsidRPr="00A7389B">
        <w:rPr>
          <w:rFonts w:ascii="Bookman Old Style" w:eastAsia="Times New Roman" w:hAnsi="Bookman Old Style" w:cs="Arial"/>
          <w:b/>
          <w:bCs/>
          <w:color w:val="1B1C1D"/>
          <w:kern w:val="0"/>
          <w:bdr w:val="none" w:sz="0" w:space="0" w:color="auto" w:frame="1"/>
          <w14:ligatures w14:val="none"/>
        </w:rPr>
        <w:t>Republic Act No. 9262 (Anti-VAWC Act)</w:t>
      </w:r>
      <w:r w:rsidRPr="00A7389B">
        <w:rPr>
          <w:rFonts w:ascii="Bookman Old Style" w:eastAsia="Times New Roman" w:hAnsi="Bookman Old Style" w:cs="Arial"/>
          <w:color w:val="1B1C1D"/>
          <w:kern w:val="0"/>
          <w14:ligatures w14:val="none"/>
        </w:rPr>
        <w:t xml:space="preserve">, a powerful, liberally construed penal statute designed to protect women from abuse, often interpreted to favor the victim-survivor narrative. On the other side is </w:t>
      </w:r>
      <w:r w:rsidRPr="00A7389B">
        <w:rPr>
          <w:rFonts w:ascii="Bookman Old Style" w:eastAsia="Times New Roman" w:hAnsi="Bookman Old Style" w:cs="Arial"/>
          <w:b/>
          <w:bCs/>
          <w:color w:val="1B1C1D"/>
          <w:kern w:val="0"/>
          <w:bdr w:val="none" w:sz="0" w:space="0" w:color="auto" w:frame="1"/>
          <w14:ligatures w14:val="none"/>
        </w:rPr>
        <w:t>Presidential Decree No. 1083 (Code of Muslim Personal Laws)</w:t>
      </w:r>
      <w:r w:rsidRPr="00A7389B">
        <w:rPr>
          <w:rFonts w:ascii="Bookman Old Style" w:eastAsia="Times New Roman" w:hAnsi="Bookman Old Style" w:cs="Arial"/>
          <w:color w:val="1B1C1D"/>
          <w:kern w:val="0"/>
          <w14:ligatures w14:val="none"/>
        </w:rPr>
        <w:t xml:space="preserve">, a specialized law enacted to guarantee the autonomy of Muslim personal status, specifically the mechanics of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(divorce) and the dissolution of marriage.</w:t>
      </w:r>
    </w:p>
    <w:p w14:paraId="4296A61A"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In this escalated scenario, the Prosecution seeks to bridge this gap by establishing a </w:t>
      </w:r>
      <w:r w:rsidRPr="00A7389B">
        <w:rPr>
          <w:rFonts w:ascii="Bookman Old Style" w:eastAsia="Times New Roman" w:hAnsi="Bookman Old Style" w:cs="Arial"/>
          <w:b/>
          <w:bCs/>
          <w:color w:val="1B1C1D"/>
          <w:kern w:val="0"/>
          <w:bdr w:val="none" w:sz="0" w:space="0" w:color="auto" w:frame="1"/>
          <w14:ligatures w14:val="none"/>
        </w:rPr>
        <w:t>"Theory of Cumulative Psychological Battery."</w:t>
      </w:r>
      <w:r w:rsidRPr="00A7389B">
        <w:rPr>
          <w:rFonts w:ascii="Bookman Old Style" w:eastAsia="Times New Roman" w:hAnsi="Bookman Old Style" w:cs="Arial"/>
          <w:color w:val="1B1C1D"/>
          <w:kern w:val="0"/>
          <w14:ligatures w14:val="none"/>
        </w:rPr>
        <w:t xml:space="preserve"> They aim to prove that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pronounced by the accused was not a legitimate exercise of a religious right under PD 1083, but a fraudulent instrument used to escape liability for a lifestyle of infidelity. Consequently, the procedural battleground shifts from simple factual determination to complex questions of </w:t>
      </w:r>
      <w:r w:rsidRPr="00A7389B">
        <w:rPr>
          <w:rFonts w:ascii="Bookman Old Style" w:eastAsia="Times New Roman" w:hAnsi="Bookman Old Style" w:cs="Arial"/>
          <w:b/>
          <w:bCs/>
          <w:color w:val="1B1C1D"/>
          <w:kern w:val="0"/>
          <w:bdr w:val="none" w:sz="0" w:space="0" w:color="auto" w:frame="1"/>
          <w14:ligatures w14:val="none"/>
        </w:rPr>
        <w:t>Due Process</w:t>
      </w:r>
      <w:r w:rsidRPr="00A7389B">
        <w:rPr>
          <w:rFonts w:ascii="Bookman Old Style" w:eastAsia="Times New Roman" w:hAnsi="Bookman Old Style" w:cs="Arial"/>
          <w:color w:val="1B1C1D"/>
          <w:kern w:val="0"/>
          <w14:ligatures w14:val="none"/>
        </w:rPr>
        <w:t xml:space="preserve">, the </w:t>
      </w:r>
      <w:r w:rsidRPr="00A7389B">
        <w:rPr>
          <w:rFonts w:ascii="Bookman Old Style" w:eastAsia="Times New Roman" w:hAnsi="Bookman Old Style" w:cs="Arial"/>
          <w:b/>
          <w:bCs/>
          <w:color w:val="1B1C1D"/>
          <w:kern w:val="0"/>
          <w:bdr w:val="none" w:sz="0" w:space="0" w:color="auto" w:frame="1"/>
          <w14:ligatures w14:val="none"/>
        </w:rPr>
        <w:t>Variance Doctrine</w:t>
      </w:r>
      <w:r w:rsidRPr="00A7389B">
        <w:rPr>
          <w:rFonts w:ascii="Bookman Old Style" w:eastAsia="Times New Roman" w:hAnsi="Bookman Old Style" w:cs="Arial"/>
          <w:color w:val="1B1C1D"/>
          <w:kern w:val="0"/>
          <w14:ligatures w14:val="none"/>
        </w:rPr>
        <w:t xml:space="preserve"> (the prohibition against convicting an accused for an offense not charged), and the </w:t>
      </w:r>
      <w:r w:rsidRPr="00A7389B">
        <w:rPr>
          <w:rFonts w:ascii="Bookman Old Style" w:eastAsia="Times New Roman" w:hAnsi="Bookman Old Style" w:cs="Arial"/>
          <w:b/>
          <w:bCs/>
          <w:color w:val="1B1C1D"/>
          <w:kern w:val="0"/>
          <w:bdr w:val="none" w:sz="0" w:space="0" w:color="auto" w:frame="1"/>
          <w14:ligatures w14:val="none"/>
        </w:rPr>
        <w:t>Admissibility of Evidence</w:t>
      </w:r>
      <w:r w:rsidRPr="00A7389B">
        <w:rPr>
          <w:rFonts w:ascii="Bookman Old Style" w:eastAsia="Times New Roman" w:hAnsi="Bookman Old Style" w:cs="Arial"/>
          <w:color w:val="1B1C1D"/>
          <w:kern w:val="0"/>
          <w14:ligatures w14:val="none"/>
        </w:rPr>
        <w:t xml:space="preserve"> regarding uncharged acts under the Revised Rules on Evidence. The resolution of this case will likely </w:t>
      </w:r>
      <w:r w:rsidRPr="00A7389B">
        <w:rPr>
          <w:rFonts w:ascii="Bookman Old Style" w:eastAsia="Times New Roman" w:hAnsi="Bookman Old Style" w:cs="Arial"/>
          <w:color w:val="1B1C1D"/>
          <w:kern w:val="0"/>
          <w14:ligatures w14:val="none"/>
        </w:rPr>
        <w:lastRenderedPageBreak/>
        <w:t xml:space="preserve">set a precedent on whether the State can pierce the veil of a </w:t>
      </w:r>
      <w:proofErr w:type="spellStart"/>
      <w:r w:rsidRPr="00A7389B">
        <w:rPr>
          <w:rFonts w:ascii="Bookman Old Style" w:eastAsia="Times New Roman" w:hAnsi="Bookman Old Style" w:cs="Arial"/>
          <w:color w:val="1B1C1D"/>
          <w:kern w:val="0"/>
          <w14:ligatures w14:val="none"/>
        </w:rPr>
        <w:t>Shari'ah</w:t>
      </w:r>
      <w:proofErr w:type="spellEnd"/>
      <w:r w:rsidRPr="00A7389B">
        <w:rPr>
          <w:rFonts w:ascii="Bookman Old Style" w:eastAsia="Times New Roman" w:hAnsi="Bookman Old Style" w:cs="Arial"/>
          <w:color w:val="1B1C1D"/>
          <w:kern w:val="0"/>
          <w14:ligatures w14:val="none"/>
        </w:rPr>
        <w:t xml:space="preserve"> divorce to punish conduct that occurred prior to its finality.</w:t>
      </w:r>
    </w:p>
    <w:p w14:paraId="286F063E" w14:textId="77777777" w:rsidR="00A7389B" w:rsidRPr="00A7389B" w:rsidRDefault="00A7389B" w:rsidP="00A7389B">
      <w:pPr>
        <w:spacing w:before="240" w:after="0" w:line="240" w:lineRule="auto"/>
        <w:outlineLvl w:val="1"/>
        <w:rPr>
          <w:rFonts w:ascii="Bookman Old Style" w:eastAsia="Times New Roman" w:hAnsi="Bookman Old Style" w:cs="Arial"/>
          <w:b/>
          <w:bCs/>
          <w:color w:val="1B1C1D"/>
          <w:kern w:val="0"/>
          <w:sz w:val="36"/>
          <w:szCs w:val="36"/>
          <w14:ligatures w14:val="none"/>
        </w:rPr>
      </w:pPr>
      <w:r w:rsidRPr="00A7389B">
        <w:rPr>
          <w:rFonts w:ascii="Bookman Old Style" w:eastAsia="Times New Roman" w:hAnsi="Bookman Old Style" w:cs="Arial"/>
          <w:b/>
          <w:bCs/>
          <w:color w:val="1B1C1D"/>
          <w:kern w:val="0"/>
          <w:sz w:val="36"/>
          <w:szCs w:val="36"/>
          <w14:ligatures w14:val="none"/>
        </w:rPr>
        <w:t>2. The Prosecution Strategy: "The Theory of Cumulative Psychological Battery"</w:t>
      </w:r>
    </w:p>
    <w:p w14:paraId="464F4759"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Objective:</w:t>
      </w:r>
      <w:r w:rsidRPr="00A7389B">
        <w:rPr>
          <w:rFonts w:ascii="Bookman Old Style" w:eastAsia="Times New Roman" w:hAnsi="Bookman Old Style" w:cs="Arial"/>
          <w:color w:val="1B1C1D"/>
          <w:kern w:val="0"/>
          <w14:ligatures w14:val="none"/>
        </w:rPr>
        <w:t xml:space="preserve"> To convict Andy not just for the incident with Charlie, but for a "continuing crime" of psychological violence. The goal is to portray the February 12 incident as merely the "tip of the iceberg," arguing that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(divorce) was a sham tool used to immunize a long-standing pattern of infidelity.</w:t>
      </w:r>
    </w:p>
    <w:p w14:paraId="6A70FE77"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14:ligatures w14:val="none"/>
        </w:rPr>
        <w:t>2.1. The Expanded Theory of the Case: "The Boiling Point"</w:t>
      </w:r>
    </w:p>
    <w:p w14:paraId="0BDF12F8"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Prosecution argues that </w:t>
      </w:r>
      <w:r w:rsidRPr="00A7389B">
        <w:rPr>
          <w:rFonts w:ascii="Bookman Old Style" w:eastAsia="Times New Roman" w:hAnsi="Bookman Old Style" w:cs="Arial"/>
          <w:b/>
          <w:bCs/>
          <w:color w:val="1B1C1D"/>
          <w:kern w:val="0"/>
          <w:bdr w:val="none" w:sz="0" w:space="0" w:color="auto" w:frame="1"/>
          <w14:ligatures w14:val="none"/>
        </w:rPr>
        <w:t>Psychological Violence</w:t>
      </w:r>
      <w:r w:rsidRPr="00A7389B">
        <w:rPr>
          <w:rFonts w:ascii="Bookman Old Style" w:eastAsia="Times New Roman" w:hAnsi="Bookman Old Style" w:cs="Arial"/>
          <w:color w:val="1B1C1D"/>
          <w:kern w:val="0"/>
          <w14:ligatures w14:val="none"/>
        </w:rPr>
        <w:t xml:space="preserve"> under Section 5(</w:t>
      </w:r>
      <w:proofErr w:type="spellStart"/>
      <w:r w:rsidRPr="00A7389B">
        <w:rPr>
          <w:rFonts w:ascii="Bookman Old Style" w:eastAsia="Times New Roman" w:hAnsi="Bookman Old Style" w:cs="Arial"/>
          <w:color w:val="1B1C1D"/>
          <w:kern w:val="0"/>
          <w14:ligatures w14:val="none"/>
        </w:rPr>
        <w:t>i</w:t>
      </w:r>
      <w:proofErr w:type="spellEnd"/>
      <w:r w:rsidRPr="00A7389B">
        <w:rPr>
          <w:rFonts w:ascii="Bookman Old Style" w:eastAsia="Times New Roman" w:hAnsi="Bookman Old Style" w:cs="Arial"/>
          <w:color w:val="1B1C1D"/>
          <w:kern w:val="0"/>
          <w14:ligatures w14:val="none"/>
        </w:rPr>
        <w:t xml:space="preserve">) of RA 9262 is rarely a single, isolated event. Instead, relying on the psychological concept of the "Battered Woman Syndrome" (though not explicitly pleading it), they posit the theory of </w:t>
      </w:r>
      <w:r w:rsidRPr="00A7389B">
        <w:rPr>
          <w:rFonts w:ascii="Bookman Old Style" w:eastAsia="Times New Roman" w:hAnsi="Bookman Old Style" w:cs="Arial"/>
          <w:b/>
          <w:bCs/>
          <w:color w:val="1B1C1D"/>
          <w:kern w:val="0"/>
          <w:bdr w:val="none" w:sz="0" w:space="0" w:color="auto" w:frame="1"/>
          <w14:ligatures w14:val="none"/>
        </w:rPr>
        <w:t>Cumulative Psychological Battery</w:t>
      </w:r>
      <w:r w:rsidRPr="00A7389B">
        <w:rPr>
          <w:rFonts w:ascii="Bookman Old Style" w:eastAsia="Times New Roman" w:hAnsi="Bookman Old Style" w:cs="Arial"/>
          <w:color w:val="1B1C1D"/>
          <w:kern w:val="0"/>
          <w14:ligatures w14:val="none"/>
        </w:rPr>
        <w:t xml:space="preserve">. They contend that Andy’s relationship with Charlie was not an isolated post-divorce event, but the culmination of a pattern of </w:t>
      </w:r>
      <w:r w:rsidRPr="00A7389B">
        <w:rPr>
          <w:rFonts w:ascii="Bookman Old Style" w:eastAsia="Times New Roman" w:hAnsi="Bookman Old Style" w:cs="Arial"/>
          <w:b/>
          <w:bCs/>
          <w:color w:val="1B1C1D"/>
          <w:kern w:val="0"/>
          <w:bdr w:val="none" w:sz="0" w:space="0" w:color="auto" w:frame="1"/>
          <w14:ligatures w14:val="none"/>
        </w:rPr>
        <w:t>Marital Infidelity</w:t>
      </w:r>
      <w:r w:rsidRPr="00A7389B">
        <w:rPr>
          <w:rFonts w:ascii="Bookman Old Style" w:eastAsia="Times New Roman" w:hAnsi="Bookman Old Style" w:cs="Arial"/>
          <w:color w:val="1B1C1D"/>
          <w:kern w:val="0"/>
          <w14:ligatures w14:val="none"/>
        </w:rPr>
        <w:t xml:space="preserve"> that existed </w:t>
      </w:r>
      <w:r w:rsidRPr="00A7389B">
        <w:rPr>
          <w:rFonts w:ascii="Bookman Old Style" w:eastAsia="Times New Roman" w:hAnsi="Bookman Old Style" w:cs="Arial"/>
          <w:i/>
          <w:iCs/>
          <w:color w:val="1B1C1D"/>
          <w:kern w:val="0"/>
          <w:bdr w:val="none" w:sz="0" w:space="0" w:color="auto" w:frame="1"/>
          <w14:ligatures w14:val="none"/>
        </w:rPr>
        <w:t>during</w:t>
      </w:r>
      <w:r w:rsidRPr="00A7389B">
        <w:rPr>
          <w:rFonts w:ascii="Bookman Old Style" w:eastAsia="Times New Roman" w:hAnsi="Bookman Old Style" w:cs="Arial"/>
          <w:color w:val="1B1C1D"/>
          <w:kern w:val="0"/>
          <w14:ligatures w14:val="none"/>
        </w:rPr>
        <w:t xml:space="preserve"> the marriage.</w:t>
      </w:r>
    </w:p>
    <w:p w14:paraId="07E7719D"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They argue that Boony’s "mental and emotional anguish" (the result element of the crime) is an indivisible injury. It was not caused solely by seeing Charlie on February 12, but by the </w:t>
      </w:r>
      <w:r w:rsidRPr="00A7389B">
        <w:rPr>
          <w:rFonts w:ascii="Bookman Old Style" w:eastAsia="Times New Roman" w:hAnsi="Bookman Old Style" w:cs="Arial"/>
          <w:i/>
          <w:iCs/>
          <w:color w:val="1B1C1D"/>
          <w:kern w:val="0"/>
          <w:bdr w:val="none" w:sz="0" w:space="0" w:color="auto" w:frame="1"/>
          <w14:ligatures w14:val="none"/>
        </w:rPr>
        <w:t>realization</w:t>
      </w:r>
      <w:r w:rsidRPr="00A7389B">
        <w:rPr>
          <w:rFonts w:ascii="Bookman Old Style" w:eastAsia="Times New Roman" w:hAnsi="Bookman Old Style" w:cs="Arial"/>
          <w:color w:val="1B1C1D"/>
          <w:kern w:val="0"/>
          <w14:ligatures w14:val="none"/>
        </w:rPr>
        <w:t xml:space="preserve"> that her entire marriage had been a lie. Therefore, acts of infidelity committed in 2023 and 2024 are not "past crimes" that require separate filings; they are integral components—or "predicate acts"—of the psychological violence inflicted in 2025.</w:t>
      </w:r>
    </w:p>
    <w:p w14:paraId="54FE4C61"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14:ligatures w14:val="none"/>
        </w:rPr>
        <w:t>2.2. The "Worst-Case" Evidence: Surprise Testimonies</w:t>
      </w:r>
    </w:p>
    <w:p w14:paraId="3AC515DB"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To establish this pattern and overcome the "single incident" limitation, the Prosecution introduces two surprise witnesses—former partners of the accused—to testify that they had sexual relationships with Andy </w:t>
      </w:r>
      <w:r w:rsidRPr="00A7389B">
        <w:rPr>
          <w:rFonts w:ascii="Bookman Old Style" w:eastAsia="Times New Roman" w:hAnsi="Bookman Old Style" w:cs="Arial"/>
          <w:i/>
          <w:iCs/>
          <w:color w:val="1B1C1D"/>
          <w:kern w:val="0"/>
          <w:bdr w:val="none" w:sz="0" w:space="0" w:color="auto" w:frame="1"/>
          <w14:ligatures w14:val="none"/>
        </w:rPr>
        <w:t>during</w:t>
      </w:r>
      <w:r w:rsidRPr="00A7389B">
        <w:rPr>
          <w:rFonts w:ascii="Bookman Old Style" w:eastAsia="Times New Roman" w:hAnsi="Bookman Old Style" w:cs="Arial"/>
          <w:color w:val="1B1C1D"/>
          <w:kern w:val="0"/>
          <w14:ligatures w14:val="none"/>
        </w:rPr>
        <w:t xml:space="preserve"> the subsistence of his marriage to Boony.</w:t>
      </w:r>
    </w:p>
    <w:p w14:paraId="35E44CA0" w14:textId="77777777" w:rsidR="00A7389B" w:rsidRPr="00A7389B" w:rsidRDefault="00A7389B" w:rsidP="00A7389B">
      <w:pPr>
        <w:numPr>
          <w:ilvl w:val="0"/>
          <w:numId w:val="1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Witness X (Danny):</w:t>
      </w:r>
      <w:r w:rsidRPr="00A7389B">
        <w:rPr>
          <w:rFonts w:ascii="Bookman Old Style" w:eastAsia="Times New Roman" w:hAnsi="Bookman Old Style" w:cs="Arial"/>
          <w:color w:val="1B1C1D"/>
          <w:kern w:val="0"/>
          <w14:ligatures w14:val="none"/>
        </w:rPr>
        <w:t xml:space="preserve"> A former colleague who claims to have had a clandestine sexual relationship with Andy from January to June 2023.</w:t>
      </w:r>
    </w:p>
    <w:p w14:paraId="125C5657" w14:textId="77777777" w:rsidR="00A7389B" w:rsidRPr="00A7389B" w:rsidRDefault="00A7389B" w:rsidP="00A7389B">
      <w:pPr>
        <w:numPr>
          <w:ilvl w:val="1"/>
          <w:numId w:val="1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i/>
          <w:iCs/>
          <w:color w:val="1B1C1D"/>
          <w:kern w:val="0"/>
          <w:bdr w:val="none" w:sz="0" w:space="0" w:color="auto" w:frame="1"/>
          <w14:ligatures w14:val="none"/>
        </w:rPr>
        <w:t>Hypothetical Testimony:</w:t>
      </w:r>
      <w:r w:rsidRPr="00A7389B">
        <w:rPr>
          <w:rFonts w:ascii="Bookman Old Style" w:eastAsia="Times New Roman" w:hAnsi="Bookman Old Style" w:cs="Arial"/>
          <w:color w:val="1B1C1D"/>
          <w:kern w:val="0"/>
          <w14:ligatures w14:val="none"/>
        </w:rPr>
        <w:t xml:space="preserve"> Danny is prepared to testify that Andy explicitly told him, "I am only staying with my wife for appearance," and that they met frequently at a specific hotel in Davao City while Boony believed Andy was on official business. This testimony aims to prove </w:t>
      </w:r>
      <w:r w:rsidRPr="00A7389B">
        <w:rPr>
          <w:rFonts w:ascii="Bookman Old Style" w:eastAsia="Times New Roman" w:hAnsi="Bookman Old Style" w:cs="Arial"/>
          <w:b/>
          <w:bCs/>
          <w:color w:val="1B1C1D"/>
          <w:kern w:val="0"/>
          <w:bdr w:val="none" w:sz="0" w:space="0" w:color="auto" w:frame="1"/>
          <w14:ligatures w14:val="none"/>
        </w:rPr>
        <w:t>malice</w:t>
      </w:r>
      <w:r w:rsidRPr="00A7389B">
        <w:rPr>
          <w:rFonts w:ascii="Bookman Old Style" w:eastAsia="Times New Roman" w:hAnsi="Bookman Old Style" w:cs="Arial"/>
          <w:color w:val="1B1C1D"/>
          <w:kern w:val="0"/>
          <w14:ligatures w14:val="none"/>
        </w:rPr>
        <w:t xml:space="preserve"> and </w:t>
      </w:r>
      <w:r w:rsidRPr="00A7389B">
        <w:rPr>
          <w:rFonts w:ascii="Bookman Old Style" w:eastAsia="Times New Roman" w:hAnsi="Bookman Old Style" w:cs="Arial"/>
          <w:b/>
          <w:bCs/>
          <w:color w:val="1B1C1D"/>
          <w:kern w:val="0"/>
          <w:bdr w:val="none" w:sz="0" w:space="0" w:color="auto" w:frame="1"/>
          <w14:ligatures w14:val="none"/>
        </w:rPr>
        <w:t>deceit</w:t>
      </w:r>
      <w:r w:rsidRPr="00A7389B">
        <w:rPr>
          <w:rFonts w:ascii="Bookman Old Style" w:eastAsia="Times New Roman" w:hAnsi="Bookman Old Style" w:cs="Arial"/>
          <w:color w:val="1B1C1D"/>
          <w:kern w:val="0"/>
          <w14:ligatures w14:val="none"/>
        </w:rPr>
        <w:t>.</w:t>
      </w:r>
    </w:p>
    <w:p w14:paraId="7B6914A1" w14:textId="77777777" w:rsidR="00A7389B" w:rsidRPr="00A7389B" w:rsidRDefault="00A7389B" w:rsidP="00A7389B">
      <w:pPr>
        <w:numPr>
          <w:ilvl w:val="0"/>
          <w:numId w:val="1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Witness Y (Eddie):</w:t>
      </w:r>
      <w:r w:rsidRPr="00A7389B">
        <w:rPr>
          <w:rFonts w:ascii="Bookman Old Style" w:eastAsia="Times New Roman" w:hAnsi="Bookman Old Style" w:cs="Arial"/>
          <w:color w:val="1B1C1D"/>
          <w:kern w:val="0"/>
          <w14:ligatures w14:val="none"/>
        </w:rPr>
        <w:t xml:space="preserve"> A 22-year-old student who claims to have been supported financially by Andy in early 2024.</w:t>
      </w:r>
    </w:p>
    <w:p w14:paraId="09495A34" w14:textId="77777777" w:rsidR="00A7389B" w:rsidRPr="00A7389B" w:rsidRDefault="00A7389B" w:rsidP="00A7389B">
      <w:pPr>
        <w:numPr>
          <w:ilvl w:val="1"/>
          <w:numId w:val="1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i/>
          <w:iCs/>
          <w:color w:val="1B1C1D"/>
          <w:kern w:val="0"/>
          <w:bdr w:val="none" w:sz="0" w:space="0" w:color="auto" w:frame="1"/>
          <w14:ligatures w14:val="none"/>
        </w:rPr>
        <w:lastRenderedPageBreak/>
        <w:t>Hypothetical Testimony:</w:t>
      </w:r>
      <w:r w:rsidRPr="00A7389B">
        <w:rPr>
          <w:rFonts w:ascii="Bookman Old Style" w:eastAsia="Times New Roman" w:hAnsi="Bookman Old Style" w:cs="Arial"/>
          <w:color w:val="1B1C1D"/>
          <w:kern w:val="0"/>
          <w14:ligatures w14:val="none"/>
        </w:rPr>
        <w:t xml:space="preserve"> Eddie offers text messages showing Andy sending money for tuition and referring to Boony as "the obstacle" to their freedom. This is offered to prove </w:t>
      </w:r>
      <w:r w:rsidRPr="00A7389B">
        <w:rPr>
          <w:rFonts w:ascii="Bookman Old Style" w:eastAsia="Times New Roman" w:hAnsi="Bookman Old Style" w:cs="Arial"/>
          <w:b/>
          <w:bCs/>
          <w:color w:val="1B1C1D"/>
          <w:kern w:val="0"/>
          <w:bdr w:val="none" w:sz="0" w:space="0" w:color="auto" w:frame="1"/>
          <w14:ligatures w14:val="none"/>
        </w:rPr>
        <w:t>economic abuse</w:t>
      </w:r>
      <w:r w:rsidRPr="00A7389B">
        <w:rPr>
          <w:rFonts w:ascii="Bookman Old Style" w:eastAsia="Times New Roman" w:hAnsi="Bookman Old Style" w:cs="Arial"/>
          <w:color w:val="1B1C1D"/>
          <w:kern w:val="0"/>
          <w14:ligatures w14:val="none"/>
        </w:rPr>
        <w:t xml:space="preserve"> alongside psychological abuse.</w:t>
      </w:r>
    </w:p>
    <w:p w14:paraId="5E163E27"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Argument for Admissibility (The "Similar Acts" Exception):</w:t>
      </w:r>
    </w:p>
    <w:p w14:paraId="165B4007"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The Prosecution anticipates the objection that these are "prior bad acts" or res inter alios acta. They counter by citing Section 34, Rule 130 (Similar Acts as Evidence) of the Revised Rules on Evidence. While evidence that one did an act at one time is generally not admissible to prove they did the same or similar act at another time to show they have a "bad character," it is admissible for specific purposes:</w:t>
      </w:r>
    </w:p>
    <w:p w14:paraId="45B4088F" w14:textId="77777777" w:rsidR="00A7389B" w:rsidRPr="00A7389B" w:rsidRDefault="00A7389B" w:rsidP="00A7389B">
      <w:pPr>
        <w:numPr>
          <w:ilvl w:val="0"/>
          <w:numId w:val="20"/>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Specific Intent:</w:t>
      </w:r>
      <w:r w:rsidRPr="00A7389B">
        <w:rPr>
          <w:rFonts w:ascii="Bookman Old Style" w:eastAsia="Times New Roman" w:hAnsi="Bookman Old Style" w:cs="Arial"/>
          <w:color w:val="1B1C1D"/>
          <w:kern w:val="0"/>
          <w14:ligatures w14:val="none"/>
        </w:rPr>
        <w:t xml:space="preserve"> That Andy </w:t>
      </w:r>
      <w:r w:rsidRPr="00A7389B">
        <w:rPr>
          <w:rFonts w:ascii="Bookman Old Style" w:eastAsia="Times New Roman" w:hAnsi="Bookman Old Style" w:cs="Arial"/>
          <w:i/>
          <w:iCs/>
          <w:color w:val="1B1C1D"/>
          <w:kern w:val="0"/>
          <w:bdr w:val="none" w:sz="0" w:space="0" w:color="auto" w:frame="1"/>
          <w14:ligatures w14:val="none"/>
        </w:rPr>
        <w:t>intended</w:t>
      </w:r>
      <w:r w:rsidRPr="00A7389B">
        <w:rPr>
          <w:rFonts w:ascii="Bookman Old Style" w:eastAsia="Times New Roman" w:hAnsi="Bookman Old Style" w:cs="Arial"/>
          <w:color w:val="1B1C1D"/>
          <w:kern w:val="0"/>
          <w14:ligatures w14:val="none"/>
        </w:rPr>
        <w:t xml:space="preserve"> to cause Boony pain by engaging in a lifestyle he knew would humiliate her if discovered.</w:t>
      </w:r>
    </w:p>
    <w:p w14:paraId="26B942BF" w14:textId="77777777" w:rsidR="00A7389B" w:rsidRPr="00A7389B" w:rsidRDefault="00A7389B" w:rsidP="00A7389B">
      <w:pPr>
        <w:numPr>
          <w:ilvl w:val="0"/>
          <w:numId w:val="20"/>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Plan, System, or Scheme:</w:t>
      </w:r>
      <w:r w:rsidRPr="00A7389B">
        <w:rPr>
          <w:rFonts w:ascii="Bookman Old Style" w:eastAsia="Times New Roman" w:hAnsi="Bookman Old Style" w:cs="Arial"/>
          <w:color w:val="1B1C1D"/>
          <w:kern w:val="0"/>
          <w14:ligatures w14:val="none"/>
        </w:rPr>
        <w:t xml:space="preserve"> That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was part of a "scheme" to discard the wife once a new partner (Charlie) was secured, establishing a continuity of purpose.</w:t>
      </w:r>
    </w:p>
    <w:p w14:paraId="2C426956" w14:textId="77777777" w:rsidR="00A7389B" w:rsidRPr="00A7389B" w:rsidRDefault="00A7389B" w:rsidP="00A7389B">
      <w:pPr>
        <w:numPr>
          <w:ilvl w:val="0"/>
          <w:numId w:val="20"/>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Habit/Custom:</w:t>
      </w:r>
      <w:r w:rsidRPr="00A7389B">
        <w:rPr>
          <w:rFonts w:ascii="Bookman Old Style" w:eastAsia="Times New Roman" w:hAnsi="Bookman Old Style" w:cs="Arial"/>
          <w:color w:val="1B1C1D"/>
          <w:kern w:val="0"/>
          <w14:ligatures w14:val="none"/>
        </w:rPr>
        <w:t xml:space="preserve"> That infidelity was his habitual way of treating his wife, normalizing the abuse and stripping him of the "good faith" defense regarding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w:t>
      </w:r>
    </w:p>
    <w:p w14:paraId="0ACFDAD1"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14:ligatures w14:val="none"/>
        </w:rPr>
        <w:t>2.3. Connecting Pre-Talaq Acts to Post-Talaq Anguish</w:t>
      </w:r>
    </w:p>
    <w:p w14:paraId="630A3DD8"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Prosecution weaves these narratives together to bypass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defense:</w:t>
      </w:r>
    </w:p>
    <w:p w14:paraId="1AF370F8" w14:textId="77777777" w:rsidR="00A7389B" w:rsidRPr="00A7389B" w:rsidRDefault="00A7389B" w:rsidP="00A7389B">
      <w:pPr>
        <w:numPr>
          <w:ilvl w:val="0"/>
          <w:numId w:val="21"/>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Cumulative Effect:</w:t>
      </w:r>
      <w:r w:rsidRPr="00A7389B">
        <w:rPr>
          <w:rFonts w:ascii="Bookman Old Style" w:eastAsia="Times New Roman" w:hAnsi="Bookman Old Style" w:cs="Arial"/>
          <w:color w:val="1B1C1D"/>
          <w:kern w:val="0"/>
          <w14:ligatures w14:val="none"/>
        </w:rPr>
        <w:t xml:space="preserve"> They argue that Boony’s "mental and emotional anguish" is cumulative. The discovery of Charlie triggered the trauma of the suspected past affairs (Danny and Eddie). Thus, the "violence" is the aggregate weight of all these betrayals.</w:t>
      </w:r>
    </w:p>
    <w:p w14:paraId="0841AA58" w14:textId="77777777" w:rsidR="00A7389B" w:rsidRPr="00A7389B" w:rsidRDefault="00A7389B" w:rsidP="00A7389B">
      <w:pPr>
        <w:numPr>
          <w:ilvl w:val="0"/>
          <w:numId w:val="21"/>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"Sham Divorce" Argument:</w:t>
      </w:r>
      <w:r w:rsidRPr="00A7389B">
        <w:rPr>
          <w:rFonts w:ascii="Bookman Old Style" w:eastAsia="Times New Roman" w:hAnsi="Bookman Old Style" w:cs="Arial"/>
          <w:color w:val="1B1C1D"/>
          <w:kern w:val="0"/>
          <w14:ligatures w14:val="none"/>
        </w:rPr>
        <w:t xml:space="preserve"> They assert that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pronounced on January 23, 2025, was done in </w:t>
      </w:r>
      <w:r w:rsidRPr="00A7389B">
        <w:rPr>
          <w:rFonts w:ascii="Bookman Old Style" w:eastAsia="Times New Roman" w:hAnsi="Bookman Old Style" w:cs="Arial"/>
          <w:b/>
          <w:bCs/>
          <w:color w:val="1B1C1D"/>
          <w:kern w:val="0"/>
          <w:bdr w:val="none" w:sz="0" w:space="0" w:color="auto" w:frame="1"/>
          <w14:ligatures w14:val="none"/>
        </w:rPr>
        <w:t>bad faith</w:t>
      </w:r>
      <w:r w:rsidRPr="00A7389B">
        <w:rPr>
          <w:rFonts w:ascii="Bookman Old Style" w:eastAsia="Times New Roman" w:hAnsi="Bookman Old Style" w:cs="Arial"/>
          <w:color w:val="1B1C1D"/>
          <w:kern w:val="0"/>
          <w14:ligatures w14:val="none"/>
        </w:rPr>
        <w:t>. They argue Andy pronounced it not because the marriage was irretrievably broken by mutual conflict, but solely to "sanitize" his ongoing affair with Charlie. If the divorce is a sham, the marriage technically subsists in the eyes of equity, and the fidelity obligation remains active.</w:t>
      </w:r>
    </w:p>
    <w:p w14:paraId="5A30BA0C" w14:textId="77777777" w:rsidR="00A7389B" w:rsidRPr="00A7389B" w:rsidRDefault="00A7389B" w:rsidP="00A7389B">
      <w:pPr>
        <w:numPr>
          <w:ilvl w:val="0"/>
          <w:numId w:val="21"/>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Continuing Offense Doctrine:</w:t>
      </w:r>
      <w:r w:rsidRPr="00A7389B">
        <w:rPr>
          <w:rFonts w:ascii="Bookman Old Style" w:eastAsia="Times New Roman" w:hAnsi="Bookman Old Style" w:cs="Arial"/>
          <w:color w:val="1B1C1D"/>
          <w:kern w:val="0"/>
          <w14:ligatures w14:val="none"/>
        </w:rPr>
        <w:t xml:space="preserve"> They posit that VAWC is a </w:t>
      </w:r>
      <w:r w:rsidRPr="00A7389B">
        <w:rPr>
          <w:rFonts w:ascii="Bookman Old Style" w:eastAsia="Times New Roman" w:hAnsi="Bookman Old Style" w:cs="Arial"/>
          <w:b/>
          <w:bCs/>
          <w:color w:val="1B1C1D"/>
          <w:kern w:val="0"/>
          <w:bdr w:val="none" w:sz="0" w:space="0" w:color="auto" w:frame="1"/>
          <w14:ligatures w14:val="none"/>
        </w:rPr>
        <w:t>continuing crime</w:t>
      </w:r>
      <w:r w:rsidRPr="00A7389B">
        <w:rPr>
          <w:rFonts w:ascii="Bookman Old Style" w:eastAsia="Times New Roman" w:hAnsi="Bookman Old Style" w:cs="Arial"/>
          <w:color w:val="1B1C1D"/>
          <w:kern w:val="0"/>
          <w14:ligatures w14:val="none"/>
        </w:rPr>
        <w:t xml:space="preserve"> similar to kidnapping or rebellion. The acts of abuse started during the marriage (with Danny/Eddie) and continued into the </w:t>
      </w:r>
      <w:r w:rsidRPr="00A7389B">
        <w:rPr>
          <w:rFonts w:ascii="Bookman Old Style" w:eastAsia="Times New Roman" w:hAnsi="Bookman Old Style" w:cs="Arial"/>
          <w:i/>
          <w:iCs/>
          <w:color w:val="1B1C1D"/>
          <w:kern w:val="0"/>
          <w:bdr w:val="none" w:sz="0" w:space="0" w:color="auto" w:frame="1"/>
          <w14:ligatures w14:val="none"/>
        </w:rPr>
        <w:t>'</w:t>
      </w:r>
      <w:proofErr w:type="spellStart"/>
      <w:r w:rsidRPr="00A7389B">
        <w:rPr>
          <w:rFonts w:ascii="Bookman Old Style" w:eastAsia="Times New Roman" w:hAnsi="Bookman Old Style" w:cs="Arial"/>
          <w:i/>
          <w:iCs/>
          <w:color w:val="1B1C1D"/>
          <w:kern w:val="0"/>
          <w:bdr w:val="none" w:sz="0" w:space="0" w:color="auto" w:frame="1"/>
          <w14:ligatures w14:val="none"/>
        </w:rPr>
        <w:t>idda</w:t>
      </w:r>
      <w:proofErr w:type="spellEnd"/>
      <w:r w:rsidRPr="00A7389B">
        <w:rPr>
          <w:rFonts w:ascii="Bookman Old Style" w:eastAsia="Times New Roman" w:hAnsi="Bookman Old Style" w:cs="Arial"/>
          <w:color w:val="1B1C1D"/>
          <w:kern w:val="0"/>
          <w14:ligatures w14:val="none"/>
        </w:rPr>
        <w:t xml:space="preserve"> period (with Charlie). Therefore, the timeline is fluid, and the Court should view the conduct as a singular criminal design, rendering the exact dates in the Information merely illustrative, not restrictive.</w:t>
      </w:r>
    </w:p>
    <w:p w14:paraId="1A5E5486" w14:textId="77777777" w:rsidR="00A7389B" w:rsidRPr="00A7389B" w:rsidRDefault="00A7389B" w:rsidP="00A7389B">
      <w:pPr>
        <w:spacing w:before="240" w:after="0" w:line="240" w:lineRule="auto"/>
        <w:outlineLvl w:val="1"/>
        <w:rPr>
          <w:rFonts w:ascii="Bookman Old Style" w:eastAsia="Times New Roman" w:hAnsi="Bookman Old Style" w:cs="Arial"/>
          <w:b/>
          <w:bCs/>
          <w:color w:val="1B1C1D"/>
          <w:kern w:val="0"/>
          <w:sz w:val="36"/>
          <w:szCs w:val="36"/>
          <w14:ligatures w14:val="none"/>
        </w:rPr>
      </w:pPr>
      <w:r w:rsidRPr="00A7389B">
        <w:rPr>
          <w:rFonts w:ascii="Bookman Old Style" w:eastAsia="Times New Roman" w:hAnsi="Bookman Old Style" w:cs="Arial"/>
          <w:b/>
          <w:bCs/>
          <w:color w:val="1B1C1D"/>
          <w:kern w:val="0"/>
          <w:sz w:val="36"/>
          <w:szCs w:val="36"/>
          <w14:ligatures w14:val="none"/>
        </w:rPr>
        <w:lastRenderedPageBreak/>
        <w:t>3. The Defense Strategy: "The Shield of Due Process and Specificity"</w:t>
      </w:r>
    </w:p>
    <w:p w14:paraId="2FDD5D51"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Objective:</w:t>
      </w:r>
      <w:r w:rsidRPr="00A7389B">
        <w:rPr>
          <w:rFonts w:ascii="Bookman Old Style" w:eastAsia="Times New Roman" w:hAnsi="Bookman Old Style" w:cs="Arial"/>
          <w:color w:val="1B1C1D"/>
          <w:kern w:val="0"/>
          <w14:ligatures w14:val="none"/>
        </w:rPr>
        <w:t xml:space="preserve"> To systematically exclude the new evidence as inadmissible, confine the trial strictly to the charge in the Information (the Charlie incident), and secure acquittal based on the absolute dissolution of the marriage via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w:t>
      </w:r>
    </w:p>
    <w:p w14:paraId="5A51AE96"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14:ligatures w14:val="none"/>
        </w:rPr>
        <w:t>3.1. Procedural Defense: The Variance Doctrine and Motion to Suppress</w:t>
      </w:r>
    </w:p>
    <w:p w14:paraId="0AA3993F"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Defense must launch a precise and aggressive attack on the </w:t>
      </w:r>
      <w:r w:rsidRPr="00A7389B">
        <w:rPr>
          <w:rFonts w:ascii="Bookman Old Style" w:eastAsia="Times New Roman" w:hAnsi="Bookman Old Style" w:cs="Arial"/>
          <w:b/>
          <w:bCs/>
          <w:color w:val="1B1C1D"/>
          <w:kern w:val="0"/>
          <w:bdr w:val="none" w:sz="0" w:space="0" w:color="auto" w:frame="1"/>
          <w14:ligatures w14:val="none"/>
        </w:rPr>
        <w:t>Criminal Information</w:t>
      </w:r>
      <w:r w:rsidRPr="00A7389B">
        <w:rPr>
          <w:rFonts w:ascii="Bookman Old Style" w:eastAsia="Times New Roman" w:hAnsi="Bookman Old Style" w:cs="Arial"/>
          <w:color w:val="1B1C1D"/>
          <w:kern w:val="0"/>
          <w14:ligatures w14:val="none"/>
        </w:rPr>
        <w:t xml:space="preserve"> itself. This is not just a technicality; it is a constitutional safeguard embedded in the Bill of Rights.</w:t>
      </w:r>
    </w:p>
    <w:p w14:paraId="413AB6D1"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"Four Corners" Argument:</w:t>
      </w:r>
    </w:p>
    <w:p w14:paraId="04843ADC" w14:textId="77777777" w:rsidR="00A7389B" w:rsidRPr="00A7389B" w:rsidRDefault="00A7389B" w:rsidP="00A7389B">
      <w:pPr>
        <w:numPr>
          <w:ilvl w:val="0"/>
          <w:numId w:val="22"/>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Text of the Information:</w:t>
      </w:r>
      <w:r w:rsidRPr="00A7389B">
        <w:rPr>
          <w:rFonts w:ascii="Bookman Old Style" w:eastAsia="Times New Roman" w:hAnsi="Bookman Old Style" w:cs="Arial"/>
          <w:color w:val="1B1C1D"/>
          <w:kern w:val="0"/>
          <w14:ligatures w14:val="none"/>
        </w:rPr>
        <w:t xml:space="preserve"> The Information explicitly charges Andy with acts committed </w:t>
      </w:r>
      <w:r w:rsidRPr="00A7389B">
        <w:rPr>
          <w:rFonts w:ascii="Bookman Old Style" w:eastAsia="Times New Roman" w:hAnsi="Bookman Old Style" w:cs="Arial"/>
          <w:i/>
          <w:iCs/>
          <w:color w:val="1B1C1D"/>
          <w:kern w:val="0"/>
          <w:bdr w:val="none" w:sz="0" w:space="0" w:color="auto" w:frame="1"/>
          <w14:ligatures w14:val="none"/>
        </w:rPr>
        <w:t>"on or about February 12, 2025 and sometime subsequent thereto"</w:t>
      </w:r>
      <w:r w:rsidRPr="00A7389B">
        <w:rPr>
          <w:rFonts w:ascii="Bookman Old Style" w:eastAsia="Times New Roman" w:hAnsi="Bookman Old Style" w:cs="Arial"/>
          <w:color w:val="1B1C1D"/>
          <w:kern w:val="0"/>
          <w14:ligatures w14:val="none"/>
        </w:rPr>
        <w:t xml:space="preserve"> involving </w:t>
      </w:r>
      <w:r w:rsidRPr="00A7389B">
        <w:rPr>
          <w:rFonts w:ascii="Bookman Old Style" w:eastAsia="Times New Roman" w:hAnsi="Bookman Old Style" w:cs="Arial"/>
          <w:i/>
          <w:iCs/>
          <w:color w:val="1B1C1D"/>
          <w:kern w:val="0"/>
          <w:bdr w:val="none" w:sz="0" w:space="0" w:color="auto" w:frame="1"/>
          <w14:ligatures w14:val="none"/>
        </w:rPr>
        <w:t>"a sexual relationship with another male named CHARLIE."</w:t>
      </w:r>
      <w:r w:rsidRPr="00A7389B">
        <w:rPr>
          <w:rFonts w:ascii="Bookman Old Style" w:eastAsia="Times New Roman" w:hAnsi="Bookman Old Style" w:cs="Arial"/>
          <w:color w:val="1B1C1D"/>
          <w:kern w:val="0"/>
          <w14:ligatures w14:val="none"/>
        </w:rPr>
        <w:t xml:space="preserve"> [Ref: </w:t>
      </w:r>
      <w:r w:rsidRPr="00A7389B">
        <w:rPr>
          <w:rFonts w:ascii="Bookman Old Style" w:eastAsia="Times New Roman" w:hAnsi="Bookman Old Style" w:cs="Arial"/>
          <w:i/>
          <w:iCs/>
          <w:color w:val="1B1C1D"/>
          <w:kern w:val="0"/>
          <w:bdr w:val="none" w:sz="0" w:space="0" w:color="auto" w:frame="1"/>
          <w14:ligatures w14:val="none"/>
        </w:rPr>
        <w:t>PP vs. ANDY.docx</w:t>
      </w:r>
      <w:r w:rsidRPr="00A7389B">
        <w:rPr>
          <w:rFonts w:ascii="Bookman Old Style" w:eastAsia="Times New Roman" w:hAnsi="Bookman Old Style" w:cs="Arial"/>
          <w:color w:val="1B1C1D"/>
          <w:kern w:val="0"/>
          <w14:ligatures w14:val="none"/>
        </w:rPr>
        <w:t>]</w:t>
      </w:r>
    </w:p>
    <w:p w14:paraId="5FD2AF9C" w14:textId="77777777" w:rsidR="00A7389B" w:rsidRPr="00A7389B" w:rsidRDefault="00A7389B" w:rsidP="00A7389B">
      <w:pPr>
        <w:numPr>
          <w:ilvl w:val="0"/>
          <w:numId w:val="22"/>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Constitutional Violation:</w:t>
      </w:r>
      <w:r w:rsidRPr="00A7389B">
        <w:rPr>
          <w:rFonts w:ascii="Bookman Old Style" w:eastAsia="Times New Roman" w:hAnsi="Bookman Old Style" w:cs="Arial"/>
          <w:color w:val="1B1C1D"/>
          <w:kern w:val="0"/>
          <w14:ligatures w14:val="none"/>
        </w:rPr>
        <w:t xml:space="preserve"> </w:t>
      </w:r>
      <w:r w:rsidRPr="00A7389B">
        <w:rPr>
          <w:rFonts w:ascii="Bookman Old Style" w:eastAsia="Times New Roman" w:hAnsi="Bookman Old Style" w:cs="Arial"/>
          <w:b/>
          <w:bCs/>
          <w:color w:val="1B1C1D"/>
          <w:kern w:val="0"/>
          <w:bdr w:val="none" w:sz="0" w:space="0" w:color="auto" w:frame="1"/>
          <w14:ligatures w14:val="none"/>
        </w:rPr>
        <w:t>Article III, Section 14(2)</w:t>
      </w:r>
      <w:r w:rsidRPr="00A7389B">
        <w:rPr>
          <w:rFonts w:ascii="Bookman Old Style" w:eastAsia="Times New Roman" w:hAnsi="Bookman Old Style" w:cs="Arial"/>
          <w:color w:val="1B1C1D"/>
          <w:kern w:val="0"/>
          <w14:ligatures w14:val="none"/>
        </w:rPr>
        <w:t xml:space="preserve"> of the 1987 Constitution guarantees the accused the right "to be informed of the nature and cause of the accusation against him." This requires that the Information be specific enough to allow the accused to prepare a defense.</w:t>
      </w:r>
    </w:p>
    <w:p w14:paraId="30A7DB86" w14:textId="77777777" w:rsidR="00A7389B" w:rsidRPr="00A7389B" w:rsidRDefault="00A7389B" w:rsidP="00A7389B">
      <w:pPr>
        <w:numPr>
          <w:ilvl w:val="0"/>
          <w:numId w:val="22"/>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Jurisprudence of Specificity:</w:t>
      </w:r>
      <w:r w:rsidRPr="00A7389B">
        <w:rPr>
          <w:rFonts w:ascii="Bookman Old Style" w:eastAsia="Times New Roman" w:hAnsi="Bookman Old Style" w:cs="Arial"/>
          <w:color w:val="1B1C1D"/>
          <w:kern w:val="0"/>
          <w14:ligatures w14:val="none"/>
        </w:rPr>
        <w:t xml:space="preserve"> The Defense cites </w:t>
      </w:r>
      <w:r w:rsidRPr="00A7389B">
        <w:rPr>
          <w:rFonts w:ascii="Bookman Old Style" w:eastAsia="Times New Roman" w:hAnsi="Bookman Old Style" w:cs="Arial"/>
          <w:b/>
          <w:bCs/>
          <w:color w:val="1B1C1D"/>
          <w:kern w:val="0"/>
          <w:bdr w:val="none" w:sz="0" w:space="0" w:color="auto" w:frame="1"/>
          <w14:ligatures w14:val="none"/>
        </w:rPr>
        <w:t xml:space="preserve">People v. </w:t>
      </w:r>
      <w:proofErr w:type="spellStart"/>
      <w:r w:rsidRPr="00A7389B">
        <w:rPr>
          <w:rFonts w:ascii="Bookman Old Style" w:eastAsia="Times New Roman" w:hAnsi="Bookman Old Style" w:cs="Arial"/>
          <w:b/>
          <w:bCs/>
          <w:color w:val="1B1C1D"/>
          <w:kern w:val="0"/>
          <w:bdr w:val="none" w:sz="0" w:space="0" w:color="auto" w:frame="1"/>
          <w14:ligatures w14:val="none"/>
        </w:rPr>
        <w:t>Bayabos</w:t>
      </w:r>
      <w:proofErr w:type="spellEnd"/>
      <w:r w:rsidRPr="00A7389B">
        <w:rPr>
          <w:rFonts w:ascii="Bookman Old Style" w:eastAsia="Times New Roman" w:hAnsi="Bookman Old Style" w:cs="Arial"/>
          <w:color w:val="1B1C1D"/>
          <w:kern w:val="0"/>
          <w14:ligatures w14:val="none"/>
        </w:rPr>
        <w:t xml:space="preserve"> and </w:t>
      </w:r>
      <w:r w:rsidRPr="00A7389B">
        <w:rPr>
          <w:rFonts w:ascii="Bookman Old Style" w:eastAsia="Times New Roman" w:hAnsi="Bookman Old Style" w:cs="Arial"/>
          <w:b/>
          <w:bCs/>
          <w:color w:val="1B1C1D"/>
          <w:kern w:val="0"/>
          <w:bdr w:val="none" w:sz="0" w:space="0" w:color="auto" w:frame="1"/>
          <w14:ligatures w14:val="none"/>
        </w:rPr>
        <w:t>Enrile v. People</w:t>
      </w:r>
      <w:r w:rsidRPr="00A7389B">
        <w:rPr>
          <w:rFonts w:ascii="Bookman Old Style" w:eastAsia="Times New Roman" w:hAnsi="Bookman Old Style" w:cs="Arial"/>
          <w:color w:val="1B1C1D"/>
          <w:kern w:val="0"/>
          <w14:ligatures w14:val="none"/>
        </w:rPr>
        <w:t>, which hold that an accused cannot be convicted of an offense of which he was not charged. An Information must state the acts or omissions complained of with sufficient particularity.</w:t>
      </w:r>
    </w:p>
    <w:p w14:paraId="329D7414" w14:textId="77777777" w:rsidR="00A7389B" w:rsidRPr="00A7389B" w:rsidRDefault="00A7389B" w:rsidP="00A7389B">
      <w:pPr>
        <w:numPr>
          <w:ilvl w:val="0"/>
          <w:numId w:val="22"/>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"Trial by Ambush" Objection:</w:t>
      </w:r>
      <w:r w:rsidRPr="00A7389B">
        <w:rPr>
          <w:rFonts w:ascii="Bookman Old Style" w:eastAsia="Times New Roman" w:hAnsi="Bookman Old Style" w:cs="Arial"/>
          <w:color w:val="1B1C1D"/>
          <w:kern w:val="0"/>
          <w14:ligatures w14:val="none"/>
        </w:rPr>
        <w:t xml:space="preserve"> If the Prosecution is allowed to prove infidelity with "Danny" in 2023, Andy is stripped of his defense. He cannot prepare an alibi for 2023 because he was only told he was being charged for an act in February 2025. This is the classic "Trial by Ambush" prohibited by the Rules of Court.</w:t>
      </w:r>
    </w:p>
    <w:p w14:paraId="5D7AF948"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Defense Motion to Strike:</w:t>
      </w:r>
    </w:p>
    <w:p w14:paraId="51BA2D13"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*"Your Honor, we move to </w:t>
      </w:r>
      <w:r w:rsidRPr="00A7389B">
        <w:rPr>
          <w:rFonts w:ascii="Bookman Old Style" w:eastAsia="Times New Roman" w:hAnsi="Bookman Old Style" w:cs="Arial"/>
          <w:b/>
          <w:bCs/>
          <w:color w:val="1B1C1D"/>
          <w:kern w:val="0"/>
          <w:bdr w:val="none" w:sz="0" w:space="0" w:color="auto" w:frame="1"/>
          <w14:ligatures w14:val="none"/>
        </w:rPr>
        <w:t>STRIKE</w:t>
      </w:r>
      <w:r w:rsidRPr="00A7389B">
        <w:rPr>
          <w:rFonts w:ascii="Bookman Old Style" w:eastAsia="Times New Roman" w:hAnsi="Bookman Old Style" w:cs="Arial"/>
          <w:color w:val="1B1C1D"/>
          <w:kern w:val="0"/>
          <w14:ligatures w14:val="none"/>
        </w:rPr>
        <w:t xml:space="preserve"> the testimonies of Witness X and Witness Y and any references to events prior to January 2025.</w:t>
      </w:r>
    </w:p>
    <w:p w14:paraId="6E601DA6"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Information strictly limits the charge to a relationship with 'Charlie' occurring 'on or about February 12, 2025'. The Prosecution is bound by the four corners of this Information. To allow evidence of uncharged relationships </w:t>
      </w:r>
      <w:r w:rsidRPr="00A7389B">
        <w:rPr>
          <w:rFonts w:ascii="Bookman Old Style" w:eastAsia="Times New Roman" w:hAnsi="Bookman Old Style" w:cs="Arial"/>
          <w:color w:val="1B1C1D"/>
          <w:kern w:val="0"/>
          <w14:ligatures w14:val="none"/>
        </w:rPr>
        <w:lastRenderedPageBreak/>
        <w:t xml:space="preserve">with other individuals (Danny and Eddie) from 2023 or 2024 constitutes a fatal </w:t>
      </w:r>
      <w:r w:rsidRPr="00A7389B">
        <w:rPr>
          <w:rFonts w:ascii="Bookman Old Style" w:eastAsia="Times New Roman" w:hAnsi="Bookman Old Style" w:cs="Arial"/>
          <w:b/>
          <w:bCs/>
          <w:color w:val="1B1C1D"/>
          <w:kern w:val="0"/>
          <w:bdr w:val="none" w:sz="0" w:space="0" w:color="auto" w:frame="1"/>
          <w14:ligatures w14:val="none"/>
        </w:rPr>
        <w:t>Variance</w:t>
      </w:r>
      <w:r w:rsidRPr="00A7389B">
        <w:rPr>
          <w:rFonts w:ascii="Bookman Old Style" w:eastAsia="Times New Roman" w:hAnsi="Bookman Old Style" w:cs="Arial"/>
          <w:color w:val="1B1C1D"/>
          <w:kern w:val="0"/>
          <w14:ligatures w14:val="none"/>
        </w:rPr>
        <w:t xml:space="preserve"> under </w:t>
      </w:r>
      <w:r w:rsidRPr="00A7389B">
        <w:rPr>
          <w:rFonts w:ascii="Bookman Old Style" w:eastAsia="Times New Roman" w:hAnsi="Bookman Old Style" w:cs="Arial"/>
          <w:b/>
          <w:bCs/>
          <w:color w:val="1B1C1D"/>
          <w:kern w:val="0"/>
          <w:bdr w:val="none" w:sz="0" w:space="0" w:color="auto" w:frame="1"/>
          <w14:ligatures w14:val="none"/>
        </w:rPr>
        <w:t>Section 4, Rule 120</w:t>
      </w:r>
      <w:r w:rsidRPr="00A7389B">
        <w:rPr>
          <w:rFonts w:ascii="Bookman Old Style" w:eastAsia="Times New Roman" w:hAnsi="Bookman Old Style" w:cs="Arial"/>
          <w:color w:val="1B1C1D"/>
          <w:kern w:val="0"/>
          <w14:ligatures w14:val="none"/>
        </w:rPr>
        <w:t xml:space="preserve"> of the Rules of Criminal Procedure.</w:t>
      </w:r>
    </w:p>
    <w:p w14:paraId="785E4AC9"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Under the Variance Doctrine, an accused can only be convicted of the crime charged or an offense necessarily included therein. Acts committed in 2023 with a different person are </w:t>
      </w:r>
      <w:r w:rsidRPr="00A7389B">
        <w:rPr>
          <w:rFonts w:ascii="Bookman Old Style" w:eastAsia="Times New Roman" w:hAnsi="Bookman Old Style" w:cs="Arial"/>
          <w:b/>
          <w:bCs/>
          <w:color w:val="1B1C1D"/>
          <w:kern w:val="0"/>
          <w:bdr w:val="none" w:sz="0" w:space="0" w:color="auto" w:frame="1"/>
          <w14:ligatures w14:val="none"/>
        </w:rPr>
        <w:t>distinct crimes</w:t>
      </w:r>
      <w:r w:rsidRPr="00A7389B">
        <w:rPr>
          <w:rFonts w:ascii="Bookman Old Style" w:eastAsia="Times New Roman" w:hAnsi="Bookman Old Style" w:cs="Arial"/>
          <w:color w:val="1B1C1D"/>
          <w:kern w:val="0"/>
          <w14:ligatures w14:val="none"/>
        </w:rPr>
        <w:t>, not included in the charge of acts committed in 2025 with 'Charlie.' Admitting this evidence effectively amends the Information during trial to include new crimes without a preliminary investigation. This forces the accused to defend against charges for which he was never arraigned, violating his Constitutional right to Due Process."*</w:t>
      </w:r>
    </w:p>
    <w:p w14:paraId="5467E6FF"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14:ligatures w14:val="none"/>
        </w:rPr>
        <w:t>3.2. Substantive Defense: The Supremacy of PD 1083</w:t>
      </w:r>
    </w:p>
    <w:p w14:paraId="3115A6B8"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Even if the court (erroneously) admits the evidence of past infidelity, the Defense relies on the hierarchy of laws to neutralize it.</w:t>
      </w:r>
    </w:p>
    <w:p w14:paraId="26A9B1C5" w14:textId="77777777" w:rsidR="00A7389B" w:rsidRPr="00A7389B" w:rsidRDefault="00A7389B" w:rsidP="00A7389B">
      <w:pPr>
        <w:numPr>
          <w:ilvl w:val="0"/>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 xml:space="preserve">Argument 1: The </w:t>
      </w:r>
      <w:r w:rsidRPr="00A7389B">
        <w:rPr>
          <w:rFonts w:ascii="Bookman Old Style" w:eastAsia="Times New Roman" w:hAnsi="Bookman Old Style" w:cs="Arial"/>
          <w:b/>
          <w:bCs/>
          <w:i/>
          <w:iCs/>
          <w:color w:val="1B1C1D"/>
          <w:kern w:val="0"/>
          <w:bdr w:val="none" w:sz="0" w:space="0" w:color="auto" w:frame="1"/>
          <w14:ligatures w14:val="none"/>
        </w:rPr>
        <w:t>Talaq</w:t>
      </w:r>
      <w:r w:rsidRPr="00A7389B">
        <w:rPr>
          <w:rFonts w:ascii="Bookman Old Style" w:eastAsia="Times New Roman" w:hAnsi="Bookman Old Style" w:cs="Arial"/>
          <w:b/>
          <w:bCs/>
          <w:color w:val="1B1C1D"/>
          <w:kern w:val="0"/>
          <w:bdr w:val="none" w:sz="0" w:space="0" w:color="auto" w:frame="1"/>
          <w14:ligatures w14:val="none"/>
        </w:rPr>
        <w:t xml:space="preserve"> Reset Button</w:t>
      </w:r>
    </w:p>
    <w:p w14:paraId="57158CA2"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Under </w:t>
      </w:r>
      <w:r w:rsidRPr="00A7389B">
        <w:rPr>
          <w:rFonts w:ascii="Bookman Old Style" w:eastAsia="Times New Roman" w:hAnsi="Bookman Old Style" w:cs="Arial"/>
          <w:b/>
          <w:bCs/>
          <w:color w:val="1B1C1D"/>
          <w:kern w:val="0"/>
          <w:bdr w:val="none" w:sz="0" w:space="0" w:color="auto" w:frame="1"/>
          <w14:ligatures w14:val="none"/>
        </w:rPr>
        <w:t>PD 1083</w:t>
      </w:r>
      <w:r w:rsidRPr="00A7389B">
        <w:rPr>
          <w:rFonts w:ascii="Bookman Old Style" w:eastAsia="Times New Roman" w:hAnsi="Bookman Old Style" w:cs="Arial"/>
          <w:color w:val="1B1C1D"/>
          <w:kern w:val="0"/>
          <w14:ligatures w14:val="none"/>
        </w:rPr>
        <w:t xml:space="preserv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dissolves the marriage bond (subject only to </w:t>
      </w:r>
      <w:proofErr w:type="spellStart"/>
      <w:r w:rsidRPr="00A7389B">
        <w:rPr>
          <w:rFonts w:ascii="Bookman Old Style" w:eastAsia="Times New Roman" w:hAnsi="Bookman Old Style" w:cs="Arial"/>
          <w:i/>
          <w:iCs/>
          <w:color w:val="1B1C1D"/>
          <w:kern w:val="0"/>
          <w:bdr w:val="none" w:sz="0" w:space="0" w:color="auto" w:frame="1"/>
          <w14:ligatures w14:val="none"/>
        </w:rPr>
        <w:t>ruju</w:t>
      </w:r>
      <w:proofErr w:type="spellEnd"/>
      <w:r w:rsidRPr="00A7389B">
        <w:rPr>
          <w:rFonts w:ascii="Bookman Old Style" w:eastAsia="Times New Roman" w:hAnsi="Bookman Old Style" w:cs="Arial"/>
          <w:color w:val="1B1C1D"/>
          <w:kern w:val="0"/>
          <w14:ligatures w14:val="none"/>
        </w:rPr>
        <w:t xml:space="preserve"> or reconciliation).</w:t>
      </w:r>
    </w:p>
    <w:p w14:paraId="70C11A49"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The Prosecution's attempt to link pre-</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acts to post-</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anguish is legally flawed. The "marital infidelity" element of RA 9262 requires a </w:t>
      </w:r>
      <w:r w:rsidRPr="00A7389B">
        <w:rPr>
          <w:rFonts w:ascii="Bookman Old Style" w:eastAsia="Times New Roman" w:hAnsi="Bookman Old Style" w:cs="Arial"/>
          <w:i/>
          <w:iCs/>
          <w:color w:val="1B1C1D"/>
          <w:kern w:val="0"/>
          <w:bdr w:val="none" w:sz="0" w:space="0" w:color="auto" w:frame="1"/>
          <w14:ligatures w14:val="none"/>
        </w:rPr>
        <w:t>subsisting marriage</w:t>
      </w:r>
      <w:r w:rsidRPr="00A7389B">
        <w:rPr>
          <w:rFonts w:ascii="Bookman Old Style" w:eastAsia="Times New Roman" w:hAnsi="Bookman Old Style" w:cs="Arial"/>
          <w:color w:val="1B1C1D"/>
          <w:kern w:val="0"/>
          <w14:ligatures w14:val="none"/>
        </w:rPr>
        <w:t>.</w:t>
      </w:r>
    </w:p>
    <w:p w14:paraId="3B1A50E4"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"Clean Slate" Theory:</w:t>
      </w:r>
      <w:r w:rsidRPr="00A7389B">
        <w:rPr>
          <w:rFonts w:ascii="Bookman Old Style" w:eastAsia="Times New Roman" w:hAnsi="Bookman Old Style" w:cs="Arial"/>
          <w:color w:val="1B1C1D"/>
          <w:kern w:val="0"/>
          <w14:ligatures w14:val="none"/>
        </w:rPr>
        <w:t xml:space="preserve"> Once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was pronounced and accepted on Jan 23, the "marital" obligation of fidelity ended. The State cannot reach back in time to punish "sins" of a marriage that has already been dissolved by Personal Law. The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operates as a form of </w:t>
      </w:r>
      <w:r w:rsidRPr="00A7389B">
        <w:rPr>
          <w:rFonts w:ascii="Bookman Old Style" w:eastAsia="Times New Roman" w:hAnsi="Bookman Old Style" w:cs="Arial"/>
          <w:i/>
          <w:iCs/>
          <w:color w:val="1B1C1D"/>
          <w:kern w:val="0"/>
          <w:bdr w:val="none" w:sz="0" w:space="0" w:color="auto" w:frame="1"/>
          <w14:ligatures w14:val="none"/>
        </w:rPr>
        <w:t>res judicata</w:t>
      </w:r>
      <w:r w:rsidRPr="00A7389B">
        <w:rPr>
          <w:rFonts w:ascii="Bookman Old Style" w:eastAsia="Times New Roman" w:hAnsi="Bookman Old Style" w:cs="Arial"/>
          <w:color w:val="1B1C1D"/>
          <w:kern w:val="0"/>
          <w14:ligatures w14:val="none"/>
        </w:rPr>
        <w:t xml:space="preserve"> on the issue of marital conduct; the marriage is over, and with it, the criminal liability for "infidelity" (unless a specific case was filed </w:t>
      </w:r>
      <w:r w:rsidRPr="00A7389B">
        <w:rPr>
          <w:rFonts w:ascii="Bookman Old Style" w:eastAsia="Times New Roman" w:hAnsi="Bookman Old Style" w:cs="Arial"/>
          <w:i/>
          <w:iCs/>
          <w:color w:val="1B1C1D"/>
          <w:kern w:val="0"/>
          <w:bdr w:val="none" w:sz="0" w:space="0" w:color="auto" w:frame="1"/>
          <w14:ligatures w14:val="none"/>
        </w:rPr>
        <w:t>before</w:t>
      </w:r>
      <w:r w:rsidRPr="00A7389B">
        <w:rPr>
          <w:rFonts w:ascii="Bookman Old Style" w:eastAsia="Times New Roman" w:hAnsi="Bookman Old Style" w:cs="Arial"/>
          <w:color w:val="1B1C1D"/>
          <w:kern w:val="0"/>
          <w14:ligatures w14:val="none"/>
        </w:rPr>
        <w:t xml:space="preserve"> the divorce).</w:t>
      </w:r>
    </w:p>
    <w:p w14:paraId="7B9E03BB"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Jurisdictional Bar:</w:t>
      </w:r>
      <w:r w:rsidRPr="00A7389B">
        <w:rPr>
          <w:rFonts w:ascii="Bookman Old Style" w:eastAsia="Times New Roman" w:hAnsi="Bookman Old Style" w:cs="Arial"/>
          <w:color w:val="1B1C1D"/>
          <w:kern w:val="0"/>
          <w14:ligatures w14:val="none"/>
        </w:rPr>
        <w:t xml:space="preserve"> Determining the "good faith" or "bad faith" of a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is the exclusive province of the </w:t>
      </w:r>
      <w:proofErr w:type="spellStart"/>
      <w:r w:rsidRPr="00A7389B">
        <w:rPr>
          <w:rFonts w:ascii="Bookman Old Style" w:eastAsia="Times New Roman" w:hAnsi="Bookman Old Style" w:cs="Arial"/>
          <w:b/>
          <w:bCs/>
          <w:color w:val="1B1C1D"/>
          <w:kern w:val="0"/>
          <w:bdr w:val="none" w:sz="0" w:space="0" w:color="auto" w:frame="1"/>
          <w14:ligatures w14:val="none"/>
        </w:rPr>
        <w:t>Shari'ah</w:t>
      </w:r>
      <w:proofErr w:type="spellEnd"/>
      <w:r w:rsidRPr="00A7389B">
        <w:rPr>
          <w:rFonts w:ascii="Bookman Old Style" w:eastAsia="Times New Roman" w:hAnsi="Bookman Old Style" w:cs="Arial"/>
          <w:b/>
          <w:bCs/>
          <w:color w:val="1B1C1D"/>
          <w:kern w:val="0"/>
          <w:bdr w:val="none" w:sz="0" w:space="0" w:color="auto" w:frame="1"/>
          <w14:ligatures w14:val="none"/>
        </w:rPr>
        <w:t xml:space="preserve"> Court</w:t>
      </w:r>
      <w:r w:rsidRPr="00A7389B">
        <w:rPr>
          <w:rFonts w:ascii="Bookman Old Style" w:eastAsia="Times New Roman" w:hAnsi="Bookman Old Style" w:cs="Arial"/>
          <w:color w:val="1B1C1D"/>
          <w:kern w:val="0"/>
          <w14:ligatures w14:val="none"/>
        </w:rPr>
        <w:t xml:space="preserve"> under Article 155 of PD 1083, not the Regional Trial Court. The RTC cannot collaterally attack the validity of a Muslim divorce in a criminal proceeding.</w:t>
      </w:r>
    </w:p>
    <w:p w14:paraId="78021304" w14:textId="77777777" w:rsidR="00A7389B" w:rsidRPr="00A7389B" w:rsidRDefault="00A7389B" w:rsidP="00A7389B">
      <w:pPr>
        <w:numPr>
          <w:ilvl w:val="0"/>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 xml:space="preserve">Argument 2: Lack of Specific Intent (The </w:t>
      </w:r>
      <w:r w:rsidRPr="00A7389B">
        <w:rPr>
          <w:rFonts w:ascii="Bookman Old Style" w:eastAsia="Times New Roman" w:hAnsi="Bookman Old Style" w:cs="Arial"/>
          <w:b/>
          <w:bCs/>
          <w:i/>
          <w:iCs/>
          <w:color w:val="1B1C1D"/>
          <w:kern w:val="0"/>
          <w:bdr w:val="none" w:sz="0" w:space="0" w:color="auto" w:frame="1"/>
          <w14:ligatures w14:val="none"/>
        </w:rPr>
        <w:t>Leonen</w:t>
      </w:r>
      <w:r w:rsidRPr="00A7389B">
        <w:rPr>
          <w:rFonts w:ascii="Bookman Old Style" w:eastAsia="Times New Roman" w:hAnsi="Bookman Old Style" w:cs="Arial"/>
          <w:b/>
          <w:bCs/>
          <w:color w:val="1B1C1D"/>
          <w:kern w:val="0"/>
          <w:bdr w:val="none" w:sz="0" w:space="0" w:color="auto" w:frame="1"/>
          <w14:ligatures w14:val="none"/>
        </w:rPr>
        <w:t xml:space="preserve"> Doctrine)</w:t>
      </w:r>
    </w:p>
    <w:p w14:paraId="02A08ADA"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Defense cites the landmark ruling in </w:t>
      </w:r>
      <w:r w:rsidRPr="00A7389B">
        <w:rPr>
          <w:rFonts w:ascii="Bookman Old Style" w:eastAsia="Times New Roman" w:hAnsi="Bookman Old Style" w:cs="Arial"/>
          <w:b/>
          <w:bCs/>
          <w:color w:val="1B1C1D"/>
          <w:kern w:val="0"/>
          <w:bdr w:val="none" w:sz="0" w:space="0" w:color="auto" w:frame="1"/>
          <w14:ligatures w14:val="none"/>
        </w:rPr>
        <w:t>G.R. No. 264870 (2025)</w:t>
      </w:r>
      <w:r w:rsidRPr="00A7389B">
        <w:rPr>
          <w:rFonts w:ascii="Bookman Old Style" w:eastAsia="Times New Roman" w:hAnsi="Bookman Old Style" w:cs="Arial"/>
          <w:color w:val="1B1C1D"/>
          <w:kern w:val="0"/>
          <w14:ligatures w14:val="none"/>
        </w:rPr>
        <w:t xml:space="preserve">, penned by Justice Leonen. This doctrine holds that </w:t>
      </w:r>
      <w:r w:rsidRPr="00A7389B">
        <w:rPr>
          <w:rFonts w:ascii="Bookman Old Style" w:eastAsia="Times New Roman" w:hAnsi="Bookman Old Style" w:cs="Arial"/>
          <w:b/>
          <w:bCs/>
          <w:color w:val="1B1C1D"/>
          <w:kern w:val="0"/>
          <w:bdr w:val="none" w:sz="0" w:space="0" w:color="auto" w:frame="1"/>
          <w14:ligatures w14:val="none"/>
        </w:rPr>
        <w:t xml:space="preserve">infidelity </w:t>
      </w:r>
      <w:r w:rsidRPr="00A7389B">
        <w:rPr>
          <w:rFonts w:ascii="Bookman Old Style" w:eastAsia="Times New Roman" w:hAnsi="Bookman Old Style" w:cs="Arial"/>
          <w:b/>
          <w:bCs/>
          <w:i/>
          <w:iCs/>
          <w:color w:val="1B1C1D"/>
          <w:kern w:val="0"/>
          <w:bdr w:val="none" w:sz="0" w:space="0" w:color="auto" w:frame="1"/>
          <w14:ligatures w14:val="none"/>
        </w:rPr>
        <w:t>per se</w:t>
      </w:r>
      <w:r w:rsidRPr="00A7389B">
        <w:rPr>
          <w:rFonts w:ascii="Bookman Old Style" w:eastAsia="Times New Roman" w:hAnsi="Bookman Old Style" w:cs="Arial"/>
          <w:b/>
          <w:bCs/>
          <w:color w:val="1B1C1D"/>
          <w:kern w:val="0"/>
          <w:bdr w:val="none" w:sz="0" w:space="0" w:color="auto" w:frame="1"/>
          <w14:ligatures w14:val="none"/>
        </w:rPr>
        <w:t xml:space="preserve"> is not VAWC</w:t>
      </w:r>
      <w:r w:rsidRPr="00A7389B">
        <w:rPr>
          <w:rFonts w:ascii="Bookman Old Style" w:eastAsia="Times New Roman" w:hAnsi="Bookman Old Style" w:cs="Arial"/>
          <w:color w:val="1B1C1D"/>
          <w:kern w:val="0"/>
          <w14:ligatures w14:val="none"/>
        </w:rPr>
        <w:t xml:space="preserve">. For infidelity to be a crime, there must be </w:t>
      </w:r>
      <w:r w:rsidRPr="00A7389B">
        <w:rPr>
          <w:rFonts w:ascii="Bookman Old Style" w:eastAsia="Times New Roman" w:hAnsi="Bookman Old Style" w:cs="Arial"/>
          <w:b/>
          <w:bCs/>
          <w:color w:val="1B1C1D"/>
          <w:kern w:val="0"/>
          <w:bdr w:val="none" w:sz="0" w:space="0" w:color="auto" w:frame="1"/>
          <w14:ligatures w14:val="none"/>
        </w:rPr>
        <w:t>specific intent</w:t>
      </w:r>
      <w:r w:rsidRPr="00A7389B">
        <w:rPr>
          <w:rFonts w:ascii="Bookman Old Style" w:eastAsia="Times New Roman" w:hAnsi="Bookman Old Style" w:cs="Arial"/>
          <w:color w:val="1B1C1D"/>
          <w:kern w:val="0"/>
          <w14:ligatures w14:val="none"/>
        </w:rPr>
        <w:t xml:space="preserve"> to cause anguish or humiliate the wife.</w:t>
      </w:r>
    </w:p>
    <w:p w14:paraId="63FB6D30"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lastRenderedPageBreak/>
        <w:t>Application to Facts:</w:t>
      </w:r>
      <w:r w:rsidRPr="00A7389B">
        <w:rPr>
          <w:rFonts w:ascii="Bookman Old Style" w:eastAsia="Times New Roman" w:hAnsi="Bookman Old Style" w:cs="Arial"/>
          <w:color w:val="1B1C1D"/>
          <w:kern w:val="0"/>
          <w14:ligatures w14:val="none"/>
        </w:rPr>
        <w:t xml:space="preserve"> The Defense argues: </w:t>
      </w:r>
      <w:r w:rsidRPr="00A7389B">
        <w:rPr>
          <w:rFonts w:ascii="Bookman Old Style" w:eastAsia="Times New Roman" w:hAnsi="Bookman Old Style" w:cs="Arial"/>
          <w:i/>
          <w:iCs/>
          <w:color w:val="1B1C1D"/>
          <w:kern w:val="0"/>
          <w:bdr w:val="none" w:sz="0" w:space="0" w:color="auto" w:frame="1"/>
          <w14:ligatures w14:val="none"/>
        </w:rPr>
        <w:t>"The fact that Andy HID these alleged past relationships (Witness X and Y)—and tried to block the door to hide Charlie—proves he did NOT intend to cause anguish. He intended to keep them secret. You cannot psychologically abuse someone with an act they didn't know about. Concealment is the opposite of violence."</w:t>
      </w:r>
    </w:p>
    <w:p w14:paraId="3F98B9C9" w14:textId="77777777" w:rsidR="00A7389B" w:rsidRPr="00A7389B" w:rsidRDefault="00A7389B" w:rsidP="00A7389B">
      <w:pPr>
        <w:numPr>
          <w:ilvl w:val="1"/>
          <w:numId w:val="23"/>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Boony only found out about Charlie </w:t>
      </w:r>
      <w:r w:rsidRPr="00A7389B">
        <w:rPr>
          <w:rFonts w:ascii="Bookman Old Style" w:eastAsia="Times New Roman" w:hAnsi="Bookman Old Style" w:cs="Arial"/>
          <w:i/>
          <w:iCs/>
          <w:color w:val="1B1C1D"/>
          <w:kern w:val="0"/>
          <w:bdr w:val="none" w:sz="0" w:space="0" w:color="auto" w:frame="1"/>
          <w14:ligatures w14:val="none"/>
        </w:rPr>
        <w:t>because she forced her way into his apartment</w:t>
      </w:r>
      <w:r w:rsidRPr="00A7389B">
        <w:rPr>
          <w:rFonts w:ascii="Bookman Old Style" w:eastAsia="Times New Roman" w:hAnsi="Bookman Old Style" w:cs="Arial"/>
          <w:color w:val="1B1C1D"/>
          <w:kern w:val="0"/>
          <w14:ligatures w14:val="none"/>
        </w:rPr>
        <w:t xml:space="preserve"> post-divorce. The anguish was self-inflicted by her intrusion, not by his "flaunting." The Defense relies on the principle of </w:t>
      </w:r>
      <w:proofErr w:type="spellStart"/>
      <w:r w:rsidRPr="00A7389B">
        <w:rPr>
          <w:rFonts w:ascii="Bookman Old Style" w:eastAsia="Times New Roman" w:hAnsi="Bookman Old Style" w:cs="Arial"/>
          <w:i/>
          <w:iCs/>
          <w:color w:val="1B1C1D"/>
          <w:kern w:val="0"/>
          <w:bdr w:val="none" w:sz="0" w:space="0" w:color="auto" w:frame="1"/>
          <w14:ligatures w14:val="none"/>
        </w:rPr>
        <w:t>volenti</w:t>
      </w:r>
      <w:proofErr w:type="spellEnd"/>
      <w:r w:rsidRPr="00A7389B">
        <w:rPr>
          <w:rFonts w:ascii="Bookman Old Style" w:eastAsia="Times New Roman" w:hAnsi="Bookman Old Style" w:cs="Arial"/>
          <w:i/>
          <w:iCs/>
          <w:color w:val="1B1C1D"/>
          <w:kern w:val="0"/>
          <w:bdr w:val="none" w:sz="0" w:space="0" w:color="auto" w:frame="1"/>
          <w14:ligatures w14:val="none"/>
        </w:rPr>
        <w:t xml:space="preserve"> non fit injuria</w:t>
      </w:r>
      <w:r w:rsidRPr="00A7389B">
        <w:rPr>
          <w:rFonts w:ascii="Bookman Old Style" w:eastAsia="Times New Roman" w:hAnsi="Bookman Old Style" w:cs="Arial"/>
          <w:color w:val="1B1C1D"/>
          <w:kern w:val="0"/>
          <w14:ligatures w14:val="none"/>
        </w:rPr>
        <w:t xml:space="preserve"> (to a willing person, injury is not done)—she sought out the information that hurt her.</w:t>
      </w:r>
    </w:p>
    <w:p w14:paraId="611C1B59"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14:ligatures w14:val="none"/>
        </w:rPr>
        <w:t>3.3. Rebutting the "Pattern": Privacy and Clean Hands</w:t>
      </w:r>
    </w:p>
    <w:p w14:paraId="0E52228A" w14:textId="77777777" w:rsidR="00A7389B" w:rsidRPr="00A7389B" w:rsidRDefault="00A7389B" w:rsidP="00A7389B">
      <w:pPr>
        <w:numPr>
          <w:ilvl w:val="0"/>
          <w:numId w:val="24"/>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Privacy in the Dwelling:</w:t>
      </w:r>
      <w:r w:rsidRPr="00A7389B">
        <w:rPr>
          <w:rFonts w:ascii="Bookman Old Style" w:eastAsia="Times New Roman" w:hAnsi="Bookman Old Style" w:cs="Arial"/>
          <w:color w:val="1B1C1D"/>
          <w:kern w:val="0"/>
          <w14:ligatures w14:val="none"/>
        </w:rPr>
        <w:t xml:space="preserve"> The incident on Feb 12 occurred in Andy's private residence. Boony had abandoned the home on Jan 23. Andy has a constitutional right to privacy and association in his own home. The entry by Boony was a </w:t>
      </w:r>
      <w:r w:rsidRPr="00A7389B">
        <w:rPr>
          <w:rFonts w:ascii="Bookman Old Style" w:eastAsia="Times New Roman" w:hAnsi="Bookman Old Style" w:cs="Arial"/>
          <w:b/>
          <w:bCs/>
          <w:color w:val="1B1C1D"/>
          <w:kern w:val="0"/>
          <w:bdr w:val="none" w:sz="0" w:space="0" w:color="auto" w:frame="1"/>
          <w14:ligatures w14:val="none"/>
        </w:rPr>
        <w:t>trespass</w:t>
      </w:r>
      <w:r w:rsidRPr="00A7389B">
        <w:rPr>
          <w:rFonts w:ascii="Bookman Old Style" w:eastAsia="Times New Roman" w:hAnsi="Bookman Old Style" w:cs="Arial"/>
          <w:color w:val="1B1C1D"/>
          <w:kern w:val="0"/>
          <w14:ligatures w14:val="none"/>
        </w:rPr>
        <w:t>.</w:t>
      </w:r>
    </w:p>
    <w:p w14:paraId="0003CF9E" w14:textId="77777777" w:rsidR="00A7389B" w:rsidRPr="00A7389B" w:rsidRDefault="00A7389B" w:rsidP="00A7389B">
      <w:pPr>
        <w:numPr>
          <w:ilvl w:val="1"/>
          <w:numId w:val="24"/>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Fruit of the Poisonous Tree:</w:t>
      </w:r>
      <w:r w:rsidRPr="00A7389B">
        <w:rPr>
          <w:rFonts w:ascii="Bookman Old Style" w:eastAsia="Times New Roman" w:hAnsi="Bookman Old Style" w:cs="Arial"/>
          <w:color w:val="1B1C1D"/>
          <w:kern w:val="0"/>
          <w14:ligatures w14:val="none"/>
        </w:rPr>
        <w:t xml:space="preserve"> The Defense argues that any evidence obtained during this unauthorized entry (including the sighting of Charlie) is inadmissible under the exclusionary rule (Article III, Section 3(2) of the Constitution) because it was obtained in violation of Andy's right to privacy in his residence.</w:t>
      </w:r>
    </w:p>
    <w:p w14:paraId="2D409ED1" w14:textId="77777777" w:rsidR="00A7389B" w:rsidRPr="00A7389B" w:rsidRDefault="00A7389B" w:rsidP="00A7389B">
      <w:pPr>
        <w:numPr>
          <w:ilvl w:val="0"/>
          <w:numId w:val="24"/>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"Clean Hands" Rebuttal:</w:t>
      </w:r>
      <w:r w:rsidRPr="00A7389B">
        <w:rPr>
          <w:rFonts w:ascii="Bookman Old Style" w:eastAsia="Times New Roman" w:hAnsi="Bookman Old Style" w:cs="Arial"/>
          <w:color w:val="1B1C1D"/>
          <w:kern w:val="0"/>
          <w14:ligatures w14:val="none"/>
        </w:rPr>
        <w:t xml:space="preserve"> The Defense reiterates evidence of Boony’s homophobic harassment (calling him "gay," "manipulative" on social media) and employment sabotage. This proves that the filing of the VAWC case is not a plea for protection, but an act of vindictive retaliation. The Prosecution is weaponizing the court to punish Andy for his sexual orientation, not for "violence."</w:t>
      </w:r>
    </w:p>
    <w:p w14:paraId="2319772B" w14:textId="77777777" w:rsidR="00A7389B" w:rsidRPr="00A7389B" w:rsidRDefault="00A7389B" w:rsidP="00A7389B">
      <w:pPr>
        <w:spacing w:before="240" w:after="0" w:line="240" w:lineRule="auto"/>
        <w:outlineLvl w:val="1"/>
        <w:rPr>
          <w:rFonts w:ascii="Bookman Old Style" w:eastAsia="Times New Roman" w:hAnsi="Bookman Old Style" w:cs="Arial"/>
          <w:b/>
          <w:bCs/>
          <w:color w:val="1B1C1D"/>
          <w:kern w:val="0"/>
          <w:sz w:val="36"/>
          <w:szCs w:val="36"/>
          <w14:ligatures w14:val="none"/>
        </w:rPr>
      </w:pPr>
      <w:r w:rsidRPr="00A7389B">
        <w:rPr>
          <w:rFonts w:ascii="Bookman Old Style" w:eastAsia="Times New Roman" w:hAnsi="Bookman Old Style" w:cs="Arial"/>
          <w:b/>
          <w:bCs/>
          <w:color w:val="1B1C1D"/>
          <w:kern w:val="0"/>
          <w:sz w:val="36"/>
          <w:szCs w:val="36"/>
          <w14:ligatures w14:val="none"/>
        </w:rPr>
        <w:t>4. The Judicial Verdict</w:t>
      </w:r>
    </w:p>
    <w:p w14:paraId="22FD799D"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Republic of the Philippines</w:t>
      </w:r>
    </w:p>
    <w:p w14:paraId="712F34B7"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REGIONAL TRIAL COURT</w:t>
      </w:r>
    </w:p>
    <w:p w14:paraId="3B064D46"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19th Judicial Region</w:t>
      </w:r>
    </w:p>
    <w:p w14:paraId="7BCF512A"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Branch 10, Canton City</w:t>
      </w:r>
    </w:p>
    <w:p w14:paraId="5B69B72F"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PEOPLE OF THE PHILIPPINES,</w:t>
      </w:r>
    </w:p>
    <w:p w14:paraId="01A57ABE"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Plaintiff,</w:t>
      </w:r>
    </w:p>
    <w:p w14:paraId="44627762"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lastRenderedPageBreak/>
        <w:t>-versus-</w:t>
      </w:r>
    </w:p>
    <w:p w14:paraId="108AB276"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ANDY,</w:t>
      </w:r>
    </w:p>
    <w:p w14:paraId="33ED1F3A"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Accused.</w:t>
      </w:r>
    </w:p>
    <w:p w14:paraId="2AD3BD0D"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CRIMINAL CASE NO. 2025-18700</w:t>
      </w:r>
    </w:p>
    <w:p w14:paraId="1808726B"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For: Violation of Section 5(</w:t>
      </w:r>
      <w:proofErr w:type="spellStart"/>
      <w:r w:rsidRPr="00A7389B">
        <w:rPr>
          <w:rFonts w:ascii="Bookman Old Style" w:eastAsia="Times New Roman" w:hAnsi="Bookman Old Style" w:cs="Arial"/>
          <w:color w:val="1B1C1D"/>
          <w:kern w:val="0"/>
          <w14:ligatures w14:val="none"/>
        </w:rPr>
        <w:t>i</w:t>
      </w:r>
      <w:proofErr w:type="spellEnd"/>
      <w:r w:rsidRPr="00A7389B">
        <w:rPr>
          <w:rFonts w:ascii="Bookman Old Style" w:eastAsia="Times New Roman" w:hAnsi="Bookman Old Style" w:cs="Arial"/>
          <w:color w:val="1B1C1D"/>
          <w:kern w:val="0"/>
          <w14:ligatures w14:val="none"/>
        </w:rPr>
        <w:t>) of R.A. 9262</w:t>
      </w:r>
    </w:p>
    <w:p w14:paraId="171A2C6B"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x--------------------------------------------------</w:t>
      </w:r>
      <w:proofErr w:type="spellStart"/>
      <w:r w:rsidRPr="00A7389B">
        <w:rPr>
          <w:rFonts w:ascii="Bookman Old Style" w:eastAsia="Times New Roman" w:hAnsi="Bookman Old Style" w:cs="Arial"/>
          <w:color w:val="1B1C1D"/>
          <w:kern w:val="0"/>
          <w14:ligatures w14:val="none"/>
        </w:rPr>
        <w:t>x</w:t>
      </w:r>
      <w:proofErr w:type="spellEnd"/>
    </w:p>
    <w:p w14:paraId="6226CB87"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bdr w:val="none" w:sz="0" w:space="0" w:color="auto" w:frame="1"/>
          <w14:ligatures w14:val="none"/>
        </w:rPr>
        <w:t>DECISION</w:t>
      </w:r>
    </w:p>
    <w:p w14:paraId="055ADEE6"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The Accused, ANDY, stands charged with Violation of Section 5(</w:t>
      </w:r>
      <w:proofErr w:type="spellStart"/>
      <w:r w:rsidRPr="00A7389B">
        <w:rPr>
          <w:rFonts w:ascii="Bookman Old Style" w:eastAsia="Times New Roman" w:hAnsi="Bookman Old Style" w:cs="Arial"/>
          <w:color w:val="1B1C1D"/>
          <w:kern w:val="0"/>
          <w14:ligatures w14:val="none"/>
        </w:rPr>
        <w:t>i</w:t>
      </w:r>
      <w:proofErr w:type="spellEnd"/>
      <w:r w:rsidRPr="00A7389B">
        <w:rPr>
          <w:rFonts w:ascii="Bookman Old Style" w:eastAsia="Times New Roman" w:hAnsi="Bookman Old Style" w:cs="Arial"/>
          <w:color w:val="1B1C1D"/>
          <w:kern w:val="0"/>
          <w14:ligatures w14:val="none"/>
        </w:rPr>
        <w:t>) of Republic Act No. 9262. The Prosecution theorizes a "continuing crime" of psychological violence rooted in a pattern of marital infidelity, presenting testimonial evidence of relationships predating the incident charged in the Information.</w:t>
      </w:r>
    </w:p>
    <w:p w14:paraId="0A25E3C4"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After a meticulous review of the evidence and applicable laws, this Court rules as follows:</w:t>
      </w:r>
    </w:p>
    <w:p w14:paraId="6A9F913F" w14:textId="77777777" w:rsidR="00A7389B" w:rsidRPr="00A7389B" w:rsidRDefault="00A7389B" w:rsidP="00A7389B">
      <w:pPr>
        <w:spacing w:before="240" w:after="0" w:line="240" w:lineRule="auto"/>
        <w:outlineLvl w:val="3"/>
        <w:rPr>
          <w:rFonts w:ascii="Bookman Old Style" w:eastAsia="Times New Roman" w:hAnsi="Bookman Old Style" w:cs="Arial"/>
          <w:b/>
          <w:bCs/>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I. On the Admissibility of "Pattern" Evidence (Witnesses X and Y)</w:t>
      </w:r>
    </w:p>
    <w:p w14:paraId="0693FCD3"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Court </w:t>
      </w:r>
      <w:r w:rsidRPr="00A7389B">
        <w:rPr>
          <w:rFonts w:ascii="Bookman Old Style" w:eastAsia="Times New Roman" w:hAnsi="Bookman Old Style" w:cs="Arial"/>
          <w:b/>
          <w:bCs/>
          <w:color w:val="1B1C1D"/>
          <w:kern w:val="0"/>
          <w:bdr w:val="none" w:sz="0" w:space="0" w:color="auto" w:frame="1"/>
          <w14:ligatures w14:val="none"/>
        </w:rPr>
        <w:t>GRANTS</w:t>
      </w:r>
      <w:r w:rsidRPr="00A7389B">
        <w:rPr>
          <w:rFonts w:ascii="Bookman Old Style" w:eastAsia="Times New Roman" w:hAnsi="Bookman Old Style" w:cs="Arial"/>
          <w:color w:val="1B1C1D"/>
          <w:kern w:val="0"/>
          <w14:ligatures w14:val="none"/>
        </w:rPr>
        <w:t xml:space="preserve"> the Defense’s motion to strike the testimonies of witnesses regarding alleged relationships in 2023 and 2024.</w:t>
      </w:r>
    </w:p>
    <w:p w14:paraId="7656E372" w14:textId="77777777" w:rsidR="00A7389B" w:rsidRPr="00A7389B" w:rsidRDefault="00A7389B" w:rsidP="00A7389B">
      <w:pPr>
        <w:numPr>
          <w:ilvl w:val="0"/>
          <w:numId w:val="25"/>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Reasoning:</w:t>
      </w:r>
      <w:r w:rsidRPr="00A7389B">
        <w:rPr>
          <w:rFonts w:ascii="Bookman Old Style" w:eastAsia="Times New Roman" w:hAnsi="Bookman Old Style" w:cs="Arial"/>
          <w:color w:val="1B1C1D"/>
          <w:kern w:val="0"/>
          <w14:ligatures w14:val="none"/>
        </w:rPr>
        <w:t xml:space="preserve"> The Information filed by the City Prosecutor is specific. It charges the Accused with acts committed </w:t>
      </w:r>
      <w:r w:rsidRPr="00A7389B">
        <w:rPr>
          <w:rFonts w:ascii="Bookman Old Style" w:eastAsia="Times New Roman" w:hAnsi="Bookman Old Style" w:cs="Arial"/>
          <w:i/>
          <w:iCs/>
          <w:color w:val="1B1C1D"/>
          <w:kern w:val="0"/>
          <w:bdr w:val="none" w:sz="0" w:space="0" w:color="auto" w:frame="1"/>
          <w14:ligatures w14:val="none"/>
        </w:rPr>
        <w:t>"on or about February 12, 2025"</w:t>
      </w:r>
      <w:r w:rsidRPr="00A7389B">
        <w:rPr>
          <w:rFonts w:ascii="Bookman Old Style" w:eastAsia="Times New Roman" w:hAnsi="Bookman Old Style" w:cs="Arial"/>
          <w:color w:val="1B1C1D"/>
          <w:kern w:val="0"/>
          <w14:ligatures w14:val="none"/>
        </w:rPr>
        <w:t xml:space="preserve"> involving a </w:t>
      </w:r>
      <w:r w:rsidRPr="00A7389B">
        <w:rPr>
          <w:rFonts w:ascii="Bookman Old Style" w:eastAsia="Times New Roman" w:hAnsi="Bookman Old Style" w:cs="Arial"/>
          <w:i/>
          <w:iCs/>
          <w:color w:val="1B1C1D"/>
          <w:kern w:val="0"/>
          <w:bdr w:val="none" w:sz="0" w:space="0" w:color="auto" w:frame="1"/>
          <w14:ligatures w14:val="none"/>
        </w:rPr>
        <w:t>"relationship with another male named CHARLIE."</w:t>
      </w:r>
      <w:r w:rsidRPr="00A7389B">
        <w:rPr>
          <w:rFonts w:ascii="Bookman Old Style" w:eastAsia="Times New Roman" w:hAnsi="Bookman Old Style" w:cs="Arial"/>
          <w:color w:val="1B1C1D"/>
          <w:kern w:val="0"/>
          <w14:ligatures w14:val="none"/>
        </w:rPr>
        <w:t xml:space="preserve"> The purpose of an Information is to inform the accused of the nature and cause of the accusation so he may prepare his defense.</w:t>
      </w:r>
    </w:p>
    <w:p w14:paraId="7E608079" w14:textId="77777777" w:rsidR="00A7389B" w:rsidRPr="00A7389B" w:rsidRDefault="00A7389B" w:rsidP="00A7389B">
      <w:pPr>
        <w:numPr>
          <w:ilvl w:val="0"/>
          <w:numId w:val="25"/>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Due Process Violation:</w:t>
      </w:r>
      <w:r w:rsidRPr="00A7389B">
        <w:rPr>
          <w:rFonts w:ascii="Bookman Old Style" w:eastAsia="Times New Roman" w:hAnsi="Bookman Old Style" w:cs="Arial"/>
          <w:color w:val="1B1C1D"/>
          <w:kern w:val="0"/>
          <w14:ligatures w14:val="none"/>
        </w:rPr>
        <w:t xml:space="preserve"> To admit evidence of distinct, uncharged criminal acts (infidelity with "Danny" or "Eddie" in previous years) to prove the specific offense charged would violate the Accused’s Constitutional right. The </w:t>
      </w:r>
      <w:r w:rsidRPr="00A7389B">
        <w:rPr>
          <w:rFonts w:ascii="Bookman Old Style" w:eastAsia="Times New Roman" w:hAnsi="Bookman Old Style" w:cs="Arial"/>
          <w:b/>
          <w:bCs/>
          <w:color w:val="1B1C1D"/>
          <w:kern w:val="0"/>
          <w:bdr w:val="none" w:sz="0" w:space="0" w:color="auto" w:frame="1"/>
          <w14:ligatures w14:val="none"/>
        </w:rPr>
        <w:t>Variance Doctrine</w:t>
      </w:r>
      <w:r w:rsidRPr="00A7389B">
        <w:rPr>
          <w:rFonts w:ascii="Bookman Old Style" w:eastAsia="Times New Roman" w:hAnsi="Bookman Old Style" w:cs="Arial"/>
          <w:color w:val="1B1C1D"/>
          <w:kern w:val="0"/>
          <w14:ligatures w14:val="none"/>
        </w:rPr>
        <w:t xml:space="preserve"> (Rule 120, Section 4) prohibits conviction for an offense not charged. The Prosecution cannot amend the Information during trial to include new "counts" of infidelity under the guise of proving "intent."</w:t>
      </w:r>
    </w:p>
    <w:p w14:paraId="572DB018" w14:textId="77777777" w:rsidR="00A7389B" w:rsidRPr="00A7389B" w:rsidRDefault="00A7389B" w:rsidP="00A7389B">
      <w:pPr>
        <w:numPr>
          <w:ilvl w:val="0"/>
          <w:numId w:val="25"/>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Rule 130, Section 34 Misapplication:</w:t>
      </w:r>
      <w:r w:rsidRPr="00A7389B">
        <w:rPr>
          <w:rFonts w:ascii="Bookman Old Style" w:eastAsia="Times New Roman" w:hAnsi="Bookman Old Style" w:cs="Arial"/>
          <w:color w:val="1B1C1D"/>
          <w:kern w:val="0"/>
          <w14:ligatures w14:val="none"/>
        </w:rPr>
        <w:t xml:space="preserve"> While "similar acts" may prove intent, they cannot be used to prove that the accused is a "bad person" likely to commit the crime charged. Given the specificity of the Information, the introduction of these uncharged acts is more prejudicial than probative and constitutes an unfair surprise that the Accused could </w:t>
      </w:r>
      <w:r w:rsidRPr="00A7389B">
        <w:rPr>
          <w:rFonts w:ascii="Bookman Old Style" w:eastAsia="Times New Roman" w:hAnsi="Bookman Old Style" w:cs="Arial"/>
          <w:color w:val="1B1C1D"/>
          <w:kern w:val="0"/>
          <w14:ligatures w14:val="none"/>
        </w:rPr>
        <w:lastRenderedPageBreak/>
        <w:t>not have anticipated or prepared for. The trial must be strictly confined to the "Charlie" incident as alleged.</w:t>
      </w:r>
    </w:p>
    <w:p w14:paraId="0EC97897" w14:textId="77777777" w:rsidR="00A7389B" w:rsidRPr="00A7389B" w:rsidRDefault="00A7389B" w:rsidP="00A7389B">
      <w:pPr>
        <w:spacing w:before="240" w:after="0" w:line="240" w:lineRule="auto"/>
        <w:outlineLvl w:val="3"/>
        <w:rPr>
          <w:rFonts w:ascii="Bookman Old Style" w:eastAsia="Times New Roman" w:hAnsi="Bookman Old Style" w:cs="Arial"/>
          <w:b/>
          <w:bCs/>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II. On the Status of the Marriage and "Marital Infidelity"</w:t>
      </w:r>
    </w:p>
    <w:p w14:paraId="6223F399"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timeline is undisputed. The Accused pronounced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on January 23, 2025. The Complainant accepted this and vacated the home. The alleged "caught-in-the-act" incident occurred on February 12, 2025.</w:t>
      </w:r>
    </w:p>
    <w:p w14:paraId="18451E02" w14:textId="77777777" w:rsidR="00A7389B" w:rsidRPr="00A7389B" w:rsidRDefault="00A7389B" w:rsidP="00A7389B">
      <w:pPr>
        <w:numPr>
          <w:ilvl w:val="0"/>
          <w:numId w:val="26"/>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Supremacy of PD 1083:</w:t>
      </w:r>
      <w:r w:rsidRPr="00A7389B">
        <w:rPr>
          <w:rFonts w:ascii="Bookman Old Style" w:eastAsia="Times New Roman" w:hAnsi="Bookman Old Style" w:cs="Arial"/>
          <w:color w:val="1B1C1D"/>
          <w:kern w:val="0"/>
          <w14:ligatures w14:val="none"/>
        </w:rPr>
        <w:t xml:space="preserve"> Under </w:t>
      </w:r>
      <w:r w:rsidRPr="00A7389B">
        <w:rPr>
          <w:rFonts w:ascii="Bookman Old Style" w:eastAsia="Times New Roman" w:hAnsi="Bookman Old Style" w:cs="Arial"/>
          <w:b/>
          <w:bCs/>
          <w:color w:val="1B1C1D"/>
          <w:kern w:val="0"/>
          <w:bdr w:val="none" w:sz="0" w:space="0" w:color="auto" w:frame="1"/>
          <w14:ligatures w14:val="none"/>
        </w:rPr>
        <w:t>Article 3(1) of PD 1083</w:t>
      </w:r>
      <w:r w:rsidRPr="00A7389B">
        <w:rPr>
          <w:rFonts w:ascii="Bookman Old Style" w:eastAsia="Times New Roman" w:hAnsi="Bookman Old Style" w:cs="Arial"/>
          <w:color w:val="1B1C1D"/>
          <w:kern w:val="0"/>
          <w14:ligatures w14:val="none"/>
        </w:rPr>
        <w:t xml:space="preserve">, Muslim Personal Laws prevail over general laws in matters of personal status. Under Article 46,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effects a divorce.</w:t>
      </w:r>
    </w:p>
    <w:p w14:paraId="2E9CFC02" w14:textId="77777777" w:rsidR="00A7389B" w:rsidRPr="00A7389B" w:rsidRDefault="00A7389B" w:rsidP="00A7389B">
      <w:pPr>
        <w:numPr>
          <w:ilvl w:val="0"/>
          <w:numId w:val="26"/>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Nature of 'Idda:</w:t>
      </w:r>
      <w:r w:rsidRPr="00A7389B">
        <w:rPr>
          <w:rFonts w:ascii="Bookman Old Style" w:eastAsia="Times New Roman" w:hAnsi="Bookman Old Style" w:cs="Arial"/>
          <w:color w:val="1B1C1D"/>
          <w:kern w:val="0"/>
          <w14:ligatures w14:val="none"/>
        </w:rPr>
        <w:t xml:space="preserve"> While the </w:t>
      </w:r>
      <w:r w:rsidRPr="00A7389B">
        <w:rPr>
          <w:rFonts w:ascii="Bookman Old Style" w:eastAsia="Times New Roman" w:hAnsi="Bookman Old Style" w:cs="Arial"/>
          <w:i/>
          <w:iCs/>
          <w:color w:val="1B1C1D"/>
          <w:kern w:val="0"/>
          <w:bdr w:val="none" w:sz="0" w:space="0" w:color="auto" w:frame="1"/>
          <w14:ligatures w14:val="none"/>
        </w:rPr>
        <w:t>'</w:t>
      </w:r>
      <w:proofErr w:type="spellStart"/>
      <w:r w:rsidRPr="00A7389B">
        <w:rPr>
          <w:rFonts w:ascii="Bookman Old Style" w:eastAsia="Times New Roman" w:hAnsi="Bookman Old Style" w:cs="Arial"/>
          <w:i/>
          <w:iCs/>
          <w:color w:val="1B1C1D"/>
          <w:kern w:val="0"/>
          <w:bdr w:val="none" w:sz="0" w:space="0" w:color="auto" w:frame="1"/>
          <w14:ligatures w14:val="none"/>
        </w:rPr>
        <w:t>idda</w:t>
      </w:r>
      <w:proofErr w:type="spellEnd"/>
      <w:r w:rsidRPr="00A7389B">
        <w:rPr>
          <w:rFonts w:ascii="Bookman Old Style" w:eastAsia="Times New Roman" w:hAnsi="Bookman Old Style" w:cs="Arial"/>
          <w:color w:val="1B1C1D"/>
          <w:kern w:val="0"/>
          <w14:ligatures w14:val="none"/>
        </w:rPr>
        <w:t xml:space="preserve"> period preserves the husband's right of </w:t>
      </w:r>
      <w:proofErr w:type="spellStart"/>
      <w:r w:rsidRPr="00A7389B">
        <w:rPr>
          <w:rFonts w:ascii="Bookman Old Style" w:eastAsia="Times New Roman" w:hAnsi="Bookman Old Style" w:cs="Arial"/>
          <w:i/>
          <w:iCs/>
          <w:color w:val="1B1C1D"/>
          <w:kern w:val="0"/>
          <w:bdr w:val="none" w:sz="0" w:space="0" w:color="auto" w:frame="1"/>
          <w14:ligatures w14:val="none"/>
        </w:rPr>
        <w:t>ruju</w:t>
      </w:r>
      <w:proofErr w:type="spellEnd"/>
      <w:r w:rsidRPr="00A7389B">
        <w:rPr>
          <w:rFonts w:ascii="Bookman Old Style" w:eastAsia="Times New Roman" w:hAnsi="Bookman Old Style" w:cs="Arial"/>
          <w:color w:val="1B1C1D"/>
          <w:kern w:val="0"/>
          <w14:ligatures w14:val="none"/>
        </w:rPr>
        <w:t xml:space="preserve"> (reconciliation) and the duty of support (Article 67), it </w:t>
      </w:r>
      <w:r w:rsidRPr="00A7389B">
        <w:rPr>
          <w:rFonts w:ascii="Bookman Old Style" w:eastAsia="Times New Roman" w:hAnsi="Bookman Old Style" w:cs="Arial"/>
          <w:b/>
          <w:bCs/>
          <w:color w:val="1B1C1D"/>
          <w:kern w:val="0"/>
          <w:bdr w:val="none" w:sz="0" w:space="0" w:color="auto" w:frame="1"/>
          <w14:ligatures w14:val="none"/>
        </w:rPr>
        <w:t>dissolves the duty of exclusive sexual fidelity</w:t>
      </w:r>
      <w:r w:rsidRPr="00A7389B">
        <w:rPr>
          <w:rFonts w:ascii="Bookman Old Style" w:eastAsia="Times New Roman" w:hAnsi="Bookman Old Style" w:cs="Arial"/>
          <w:color w:val="1B1C1D"/>
          <w:kern w:val="0"/>
          <w14:ligatures w14:val="none"/>
        </w:rPr>
        <w:t>. The marriage is in a state of dissolution.</w:t>
      </w:r>
    </w:p>
    <w:p w14:paraId="577CA4ED" w14:textId="77777777" w:rsidR="00A7389B" w:rsidRPr="00A7389B" w:rsidRDefault="00A7389B" w:rsidP="00A7389B">
      <w:pPr>
        <w:numPr>
          <w:ilvl w:val="0"/>
          <w:numId w:val="26"/>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Legal Impossibility:</w:t>
      </w:r>
      <w:r w:rsidRPr="00A7389B">
        <w:rPr>
          <w:rFonts w:ascii="Bookman Old Style" w:eastAsia="Times New Roman" w:hAnsi="Bookman Old Style" w:cs="Arial"/>
          <w:color w:val="1B1C1D"/>
          <w:kern w:val="0"/>
          <w14:ligatures w14:val="none"/>
        </w:rPr>
        <w:t xml:space="preserve"> Consequently, one cannot commit "marital infidelity" when the marriage has been dissolved. On February 12, 2025, the Accused was a divorced man observing </w:t>
      </w:r>
      <w:r w:rsidRPr="00A7389B">
        <w:rPr>
          <w:rFonts w:ascii="Bookman Old Style" w:eastAsia="Times New Roman" w:hAnsi="Bookman Old Style" w:cs="Arial"/>
          <w:i/>
          <w:iCs/>
          <w:color w:val="1B1C1D"/>
          <w:kern w:val="0"/>
          <w:bdr w:val="none" w:sz="0" w:space="0" w:color="auto" w:frame="1"/>
          <w14:ligatures w14:val="none"/>
        </w:rPr>
        <w:t>'</w:t>
      </w:r>
      <w:proofErr w:type="spellStart"/>
      <w:r w:rsidRPr="00A7389B">
        <w:rPr>
          <w:rFonts w:ascii="Bookman Old Style" w:eastAsia="Times New Roman" w:hAnsi="Bookman Old Style" w:cs="Arial"/>
          <w:i/>
          <w:iCs/>
          <w:color w:val="1B1C1D"/>
          <w:kern w:val="0"/>
          <w:bdr w:val="none" w:sz="0" w:space="0" w:color="auto" w:frame="1"/>
          <w14:ligatures w14:val="none"/>
        </w:rPr>
        <w:t>idda</w:t>
      </w:r>
      <w:proofErr w:type="spellEnd"/>
      <w:r w:rsidRPr="00A7389B">
        <w:rPr>
          <w:rFonts w:ascii="Bookman Old Style" w:eastAsia="Times New Roman" w:hAnsi="Bookman Old Style" w:cs="Arial"/>
          <w:color w:val="1B1C1D"/>
          <w:kern w:val="0"/>
          <w14:ligatures w14:val="none"/>
        </w:rPr>
        <w:t>. His private sexual conduct during this period—even if morally objectionable to the Complainant or contrary to religious tenets—cannot legally constitute "marital infidelity" under Section 5(</w:t>
      </w:r>
      <w:proofErr w:type="spellStart"/>
      <w:r w:rsidRPr="00A7389B">
        <w:rPr>
          <w:rFonts w:ascii="Bookman Old Style" w:eastAsia="Times New Roman" w:hAnsi="Bookman Old Style" w:cs="Arial"/>
          <w:color w:val="1B1C1D"/>
          <w:kern w:val="0"/>
          <w14:ligatures w14:val="none"/>
        </w:rPr>
        <w:t>i</w:t>
      </w:r>
      <w:proofErr w:type="spellEnd"/>
      <w:r w:rsidRPr="00A7389B">
        <w:rPr>
          <w:rFonts w:ascii="Bookman Old Style" w:eastAsia="Times New Roman" w:hAnsi="Bookman Old Style" w:cs="Arial"/>
          <w:color w:val="1B1C1D"/>
          <w:kern w:val="0"/>
          <w14:ligatures w14:val="none"/>
        </w:rPr>
        <w:t>) of RA 9262 because the marital bond had been severed. The Court declines to criminalize the private conduct of a divorced individual. To do so would violate the Equal Protection Clause by imposing burdens on divorced Muslim men not imposed on divorced non-Muslims.</w:t>
      </w:r>
    </w:p>
    <w:p w14:paraId="63D00DE2" w14:textId="77777777" w:rsidR="00A7389B" w:rsidRPr="00A7389B" w:rsidRDefault="00A7389B" w:rsidP="00A7389B">
      <w:pPr>
        <w:spacing w:before="240" w:after="0" w:line="240" w:lineRule="auto"/>
        <w:outlineLvl w:val="3"/>
        <w:rPr>
          <w:rFonts w:ascii="Bookman Old Style" w:eastAsia="Times New Roman" w:hAnsi="Bookman Old Style" w:cs="Arial"/>
          <w:b/>
          <w:bCs/>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III. On Psychological Violence and Intent</w:t>
      </w:r>
    </w:p>
    <w:p w14:paraId="3FB1859F"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Even assuming </w:t>
      </w:r>
      <w:r w:rsidRPr="00A7389B">
        <w:rPr>
          <w:rFonts w:ascii="Bookman Old Style" w:eastAsia="Times New Roman" w:hAnsi="Bookman Old Style" w:cs="Arial"/>
          <w:i/>
          <w:iCs/>
          <w:color w:val="1B1C1D"/>
          <w:kern w:val="0"/>
          <w:bdr w:val="none" w:sz="0" w:space="0" w:color="auto" w:frame="1"/>
          <w14:ligatures w14:val="none"/>
        </w:rPr>
        <w:t>arguendo</w:t>
      </w:r>
      <w:r w:rsidRPr="00A7389B">
        <w:rPr>
          <w:rFonts w:ascii="Bookman Old Style" w:eastAsia="Times New Roman" w:hAnsi="Bookman Old Style" w:cs="Arial"/>
          <w:color w:val="1B1C1D"/>
          <w:kern w:val="0"/>
          <w14:ligatures w14:val="none"/>
        </w:rPr>
        <w:t xml:space="preserve"> that the Complainant is a "former wife" protected under RA 9262, the Prosecution failed to prove the element of </w:t>
      </w:r>
      <w:r w:rsidRPr="00A7389B">
        <w:rPr>
          <w:rFonts w:ascii="Bookman Old Style" w:eastAsia="Times New Roman" w:hAnsi="Bookman Old Style" w:cs="Arial"/>
          <w:b/>
          <w:bCs/>
          <w:color w:val="1B1C1D"/>
          <w:kern w:val="0"/>
          <w:bdr w:val="none" w:sz="0" w:space="0" w:color="auto" w:frame="1"/>
          <w14:ligatures w14:val="none"/>
        </w:rPr>
        <w:t>psychological violence</w:t>
      </w:r>
      <w:r w:rsidRPr="00A7389B">
        <w:rPr>
          <w:rFonts w:ascii="Bookman Old Style" w:eastAsia="Times New Roman" w:hAnsi="Bookman Old Style" w:cs="Arial"/>
          <w:color w:val="1B1C1D"/>
          <w:kern w:val="0"/>
          <w14:ligatures w14:val="none"/>
        </w:rPr>
        <w:t xml:space="preserve"> beyond reasonable doubt.</w:t>
      </w:r>
    </w:p>
    <w:p w14:paraId="185FFB88" w14:textId="77777777" w:rsidR="00A7389B" w:rsidRPr="00A7389B" w:rsidRDefault="00A7389B" w:rsidP="00A7389B">
      <w:pPr>
        <w:numPr>
          <w:ilvl w:val="0"/>
          <w:numId w:val="27"/>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Intent to Cause Harm:</w:t>
      </w:r>
      <w:r w:rsidRPr="00A7389B">
        <w:rPr>
          <w:rFonts w:ascii="Bookman Old Style" w:eastAsia="Times New Roman" w:hAnsi="Bookman Old Style" w:cs="Arial"/>
          <w:color w:val="1B1C1D"/>
          <w:kern w:val="0"/>
          <w14:ligatures w14:val="none"/>
        </w:rPr>
        <w:t xml:space="preserve"> The Supreme Court has ruled (</w:t>
      </w:r>
      <w:r w:rsidRPr="00A7389B">
        <w:rPr>
          <w:rFonts w:ascii="Bookman Old Style" w:eastAsia="Times New Roman" w:hAnsi="Bookman Old Style" w:cs="Arial"/>
          <w:i/>
          <w:iCs/>
          <w:color w:val="1B1C1D"/>
          <w:kern w:val="0"/>
          <w:bdr w:val="none" w:sz="0" w:space="0" w:color="auto" w:frame="1"/>
          <w14:ligatures w14:val="none"/>
        </w:rPr>
        <w:t>G.R. No. 264870</w:t>
      </w:r>
      <w:r w:rsidRPr="00A7389B">
        <w:rPr>
          <w:rFonts w:ascii="Bookman Old Style" w:eastAsia="Times New Roman" w:hAnsi="Bookman Old Style" w:cs="Arial"/>
          <w:color w:val="1B1C1D"/>
          <w:kern w:val="0"/>
          <w14:ligatures w14:val="none"/>
        </w:rPr>
        <w:t xml:space="preserve">) that infidelity </w:t>
      </w:r>
      <w:r w:rsidRPr="00A7389B">
        <w:rPr>
          <w:rFonts w:ascii="Bookman Old Style" w:eastAsia="Times New Roman" w:hAnsi="Bookman Old Style" w:cs="Arial"/>
          <w:i/>
          <w:iCs/>
          <w:color w:val="1B1C1D"/>
          <w:kern w:val="0"/>
          <w:bdr w:val="none" w:sz="0" w:space="0" w:color="auto" w:frame="1"/>
          <w14:ligatures w14:val="none"/>
        </w:rPr>
        <w:t>per se</w:t>
      </w:r>
      <w:r w:rsidRPr="00A7389B">
        <w:rPr>
          <w:rFonts w:ascii="Bookman Old Style" w:eastAsia="Times New Roman" w:hAnsi="Bookman Old Style" w:cs="Arial"/>
          <w:color w:val="1B1C1D"/>
          <w:kern w:val="0"/>
          <w14:ligatures w14:val="none"/>
        </w:rPr>
        <w:t xml:space="preserve"> is not a crime; there must be specific intent to inflict anguish. The evidence shows the Accused attempted to </w:t>
      </w:r>
      <w:r w:rsidRPr="00A7389B">
        <w:rPr>
          <w:rFonts w:ascii="Bookman Old Style" w:eastAsia="Times New Roman" w:hAnsi="Bookman Old Style" w:cs="Arial"/>
          <w:i/>
          <w:iCs/>
          <w:color w:val="1B1C1D"/>
          <w:kern w:val="0"/>
          <w:bdr w:val="none" w:sz="0" w:space="0" w:color="auto" w:frame="1"/>
          <w14:ligatures w14:val="none"/>
        </w:rPr>
        <w:t>block</w:t>
      </w:r>
      <w:r w:rsidRPr="00A7389B">
        <w:rPr>
          <w:rFonts w:ascii="Bookman Old Style" w:eastAsia="Times New Roman" w:hAnsi="Bookman Old Style" w:cs="Arial"/>
          <w:color w:val="1B1C1D"/>
          <w:kern w:val="0"/>
          <w14:ligatures w14:val="none"/>
        </w:rPr>
        <w:t xml:space="preserve"> the Complainant from entering the apartment. He did not parade the relationship; he tried to </w:t>
      </w:r>
      <w:r w:rsidRPr="00A7389B">
        <w:rPr>
          <w:rFonts w:ascii="Bookman Old Style" w:eastAsia="Times New Roman" w:hAnsi="Bookman Old Style" w:cs="Arial"/>
          <w:i/>
          <w:iCs/>
          <w:color w:val="1B1C1D"/>
          <w:kern w:val="0"/>
          <w:bdr w:val="none" w:sz="0" w:space="0" w:color="auto" w:frame="1"/>
          <w14:ligatures w14:val="none"/>
        </w:rPr>
        <w:t>hide</w:t>
      </w:r>
      <w:r w:rsidRPr="00A7389B">
        <w:rPr>
          <w:rFonts w:ascii="Bookman Old Style" w:eastAsia="Times New Roman" w:hAnsi="Bookman Old Style" w:cs="Arial"/>
          <w:color w:val="1B1C1D"/>
          <w:kern w:val="0"/>
          <w14:ligatures w14:val="none"/>
        </w:rPr>
        <w:t xml:space="preserve"> it. This concealment negates the intent to flaunt, ridicule, or humiliate.</w:t>
      </w:r>
    </w:p>
    <w:p w14:paraId="354150EC" w14:textId="77777777" w:rsidR="00A7389B" w:rsidRPr="00A7389B" w:rsidRDefault="00A7389B" w:rsidP="00A7389B">
      <w:pPr>
        <w:numPr>
          <w:ilvl w:val="0"/>
          <w:numId w:val="27"/>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Proximate Cause of Anguish:</w:t>
      </w:r>
      <w:r w:rsidRPr="00A7389B">
        <w:rPr>
          <w:rFonts w:ascii="Bookman Old Style" w:eastAsia="Times New Roman" w:hAnsi="Bookman Old Style" w:cs="Arial"/>
          <w:color w:val="1B1C1D"/>
          <w:kern w:val="0"/>
          <w14:ligatures w14:val="none"/>
        </w:rPr>
        <w:t xml:space="preserve"> The element of "public ridicule" requires the offender to be the cause of the publicity. Here, the "public" nature of the incident was caused by the Complainant herself, who brought the Accused’s officemates to the scene and forced her way into a dwelling she had previously abandoned. The anguish suffered, while real, was the </w:t>
      </w:r>
      <w:r w:rsidRPr="00A7389B">
        <w:rPr>
          <w:rFonts w:ascii="Bookman Old Style" w:eastAsia="Times New Roman" w:hAnsi="Bookman Old Style" w:cs="Arial"/>
          <w:color w:val="1B1C1D"/>
          <w:kern w:val="0"/>
          <w14:ligatures w14:val="none"/>
        </w:rPr>
        <w:lastRenderedPageBreak/>
        <w:t>result of the breakdown of the relationship and the Complainant’s own actions, not an act of violence by the Accused.</w:t>
      </w:r>
    </w:p>
    <w:p w14:paraId="25CA3046" w14:textId="77777777" w:rsidR="00A7389B" w:rsidRPr="00A7389B" w:rsidRDefault="00A7389B" w:rsidP="00A7389B">
      <w:pPr>
        <w:spacing w:before="240" w:after="0" w:line="240" w:lineRule="auto"/>
        <w:outlineLvl w:val="3"/>
        <w:rPr>
          <w:rFonts w:ascii="Bookman Old Style" w:eastAsia="Times New Roman" w:hAnsi="Bookman Old Style" w:cs="Arial"/>
          <w:b/>
          <w:bCs/>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IV. On Denial of Support</w:t>
      </w:r>
    </w:p>
    <w:p w14:paraId="58AAAC4B"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Accused provided </w:t>
      </w:r>
      <w:proofErr w:type="spellStart"/>
      <w:r w:rsidRPr="00A7389B">
        <w:rPr>
          <w:rFonts w:ascii="Bookman Old Style" w:eastAsia="Times New Roman" w:hAnsi="Bookman Old Style" w:cs="Arial"/>
          <w:color w:val="1B1C1D"/>
          <w:kern w:val="0"/>
          <w14:ligatures w14:val="none"/>
        </w:rPr>
        <w:t>Php</w:t>
      </w:r>
      <w:proofErr w:type="spellEnd"/>
      <w:r w:rsidRPr="00A7389B">
        <w:rPr>
          <w:rFonts w:ascii="Bookman Old Style" w:eastAsia="Times New Roman" w:hAnsi="Bookman Old Style" w:cs="Arial"/>
          <w:color w:val="1B1C1D"/>
          <w:kern w:val="0"/>
          <w14:ligatures w14:val="none"/>
        </w:rPr>
        <w:t xml:space="preserve"> 7,000.00 for the month of February. The Prosecution failed to prove that this amount was a "willful denial." Given the Accused's forced resignation (caused in part by the Complainant’s actions), this amount reflects a limitation of resources, not malicious economic abuse. The sufficiency of this amount is a civil matter for the </w:t>
      </w:r>
      <w:proofErr w:type="spellStart"/>
      <w:r w:rsidRPr="00A7389B">
        <w:rPr>
          <w:rFonts w:ascii="Bookman Old Style" w:eastAsia="Times New Roman" w:hAnsi="Bookman Old Style" w:cs="Arial"/>
          <w:color w:val="1B1C1D"/>
          <w:kern w:val="0"/>
          <w14:ligatures w14:val="none"/>
        </w:rPr>
        <w:t>Shari’ah</w:t>
      </w:r>
      <w:proofErr w:type="spellEnd"/>
      <w:r w:rsidRPr="00A7389B">
        <w:rPr>
          <w:rFonts w:ascii="Bookman Old Style" w:eastAsia="Times New Roman" w:hAnsi="Bookman Old Style" w:cs="Arial"/>
          <w:color w:val="1B1C1D"/>
          <w:kern w:val="0"/>
          <w14:ligatures w14:val="none"/>
        </w:rPr>
        <w:t xml:space="preserve"> Court, not a criminal offense.</w:t>
      </w:r>
    </w:p>
    <w:p w14:paraId="26A0A24C" w14:textId="77777777" w:rsidR="00A7389B" w:rsidRPr="00A7389B" w:rsidRDefault="00A7389B" w:rsidP="00A7389B">
      <w:pPr>
        <w:spacing w:before="240" w:after="0" w:line="240" w:lineRule="auto"/>
        <w:outlineLvl w:val="2"/>
        <w:rPr>
          <w:rFonts w:ascii="Bookman Old Style" w:eastAsia="Times New Roman" w:hAnsi="Bookman Old Style" w:cs="Arial"/>
          <w:b/>
          <w:bCs/>
          <w:color w:val="1B1C1D"/>
          <w:kern w:val="0"/>
          <w:sz w:val="27"/>
          <w:szCs w:val="27"/>
          <w14:ligatures w14:val="none"/>
        </w:rPr>
      </w:pPr>
      <w:r w:rsidRPr="00A7389B">
        <w:rPr>
          <w:rFonts w:ascii="Bookman Old Style" w:eastAsia="Times New Roman" w:hAnsi="Bookman Old Style" w:cs="Arial"/>
          <w:b/>
          <w:bCs/>
          <w:color w:val="1B1C1D"/>
          <w:kern w:val="0"/>
          <w:sz w:val="27"/>
          <w:szCs w:val="27"/>
          <w:bdr w:val="none" w:sz="0" w:space="0" w:color="auto" w:frame="1"/>
          <w14:ligatures w14:val="none"/>
        </w:rPr>
        <w:t>FALLO</w:t>
      </w:r>
    </w:p>
    <w:p w14:paraId="7B7F0A68"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WHEREFORE</w:t>
      </w:r>
      <w:r w:rsidRPr="00A7389B">
        <w:rPr>
          <w:rFonts w:ascii="Bookman Old Style" w:eastAsia="Times New Roman" w:hAnsi="Bookman Old Style" w:cs="Arial"/>
          <w:color w:val="1B1C1D"/>
          <w:kern w:val="0"/>
          <w14:ligatures w14:val="none"/>
        </w:rPr>
        <w:t>, the Prosecution having failed to prove the guilt of the accused beyond reasonable doubt, and proving that the acts charged do not constitute a crime under the specific legal framework governing the parties:</w:t>
      </w:r>
    </w:p>
    <w:p w14:paraId="53BF3EF3" w14:textId="77777777" w:rsidR="00A7389B" w:rsidRPr="00A7389B" w:rsidRDefault="00A7389B" w:rsidP="00A7389B">
      <w:pPr>
        <w:numPr>
          <w:ilvl w:val="0"/>
          <w:numId w:val="28"/>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Accused, </w:t>
      </w:r>
      <w:r w:rsidRPr="00A7389B">
        <w:rPr>
          <w:rFonts w:ascii="Bookman Old Style" w:eastAsia="Times New Roman" w:hAnsi="Bookman Old Style" w:cs="Arial"/>
          <w:b/>
          <w:bCs/>
          <w:color w:val="1B1C1D"/>
          <w:kern w:val="0"/>
          <w:bdr w:val="none" w:sz="0" w:space="0" w:color="auto" w:frame="1"/>
          <w14:ligatures w14:val="none"/>
        </w:rPr>
        <w:t>ANDY</w:t>
      </w:r>
      <w:r w:rsidRPr="00A7389B">
        <w:rPr>
          <w:rFonts w:ascii="Bookman Old Style" w:eastAsia="Times New Roman" w:hAnsi="Bookman Old Style" w:cs="Arial"/>
          <w:color w:val="1B1C1D"/>
          <w:kern w:val="0"/>
          <w14:ligatures w14:val="none"/>
        </w:rPr>
        <w:t xml:space="preserve">, is hereby </w:t>
      </w:r>
      <w:r w:rsidRPr="00A7389B">
        <w:rPr>
          <w:rFonts w:ascii="Bookman Old Style" w:eastAsia="Times New Roman" w:hAnsi="Bookman Old Style" w:cs="Arial"/>
          <w:b/>
          <w:bCs/>
          <w:color w:val="1B1C1D"/>
          <w:kern w:val="0"/>
          <w:bdr w:val="none" w:sz="0" w:space="0" w:color="auto" w:frame="1"/>
          <w14:ligatures w14:val="none"/>
        </w:rPr>
        <w:t>ACQUITTED</w:t>
      </w:r>
      <w:r w:rsidRPr="00A7389B">
        <w:rPr>
          <w:rFonts w:ascii="Bookman Old Style" w:eastAsia="Times New Roman" w:hAnsi="Bookman Old Style" w:cs="Arial"/>
          <w:color w:val="1B1C1D"/>
          <w:kern w:val="0"/>
          <w14:ligatures w14:val="none"/>
        </w:rPr>
        <w:t xml:space="preserve"> of the crime of Violation of Section 5(</w:t>
      </w:r>
      <w:proofErr w:type="spellStart"/>
      <w:r w:rsidRPr="00A7389B">
        <w:rPr>
          <w:rFonts w:ascii="Bookman Old Style" w:eastAsia="Times New Roman" w:hAnsi="Bookman Old Style" w:cs="Arial"/>
          <w:color w:val="1B1C1D"/>
          <w:kern w:val="0"/>
          <w14:ligatures w14:val="none"/>
        </w:rPr>
        <w:t>i</w:t>
      </w:r>
      <w:proofErr w:type="spellEnd"/>
      <w:r w:rsidRPr="00A7389B">
        <w:rPr>
          <w:rFonts w:ascii="Bookman Old Style" w:eastAsia="Times New Roman" w:hAnsi="Bookman Old Style" w:cs="Arial"/>
          <w:color w:val="1B1C1D"/>
          <w:kern w:val="0"/>
          <w14:ligatures w14:val="none"/>
        </w:rPr>
        <w:t>) of R.A. 9262.</w:t>
      </w:r>
    </w:p>
    <w:p w14:paraId="6ADEE430" w14:textId="77777777" w:rsidR="00A7389B" w:rsidRPr="00A7389B" w:rsidRDefault="00A7389B" w:rsidP="00A7389B">
      <w:pPr>
        <w:numPr>
          <w:ilvl w:val="0"/>
          <w:numId w:val="28"/>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Cash Bail Bond posted by the accused is </w:t>
      </w:r>
      <w:r w:rsidRPr="00A7389B">
        <w:rPr>
          <w:rFonts w:ascii="Bookman Old Style" w:eastAsia="Times New Roman" w:hAnsi="Bookman Old Style" w:cs="Arial"/>
          <w:b/>
          <w:bCs/>
          <w:color w:val="1B1C1D"/>
          <w:kern w:val="0"/>
          <w:bdr w:val="none" w:sz="0" w:space="0" w:color="auto" w:frame="1"/>
          <w14:ligatures w14:val="none"/>
        </w:rPr>
        <w:t>CANCELLED</w:t>
      </w:r>
      <w:r w:rsidRPr="00A7389B">
        <w:rPr>
          <w:rFonts w:ascii="Bookman Old Style" w:eastAsia="Times New Roman" w:hAnsi="Bookman Old Style" w:cs="Arial"/>
          <w:color w:val="1B1C1D"/>
          <w:kern w:val="0"/>
          <w14:ligatures w14:val="none"/>
        </w:rPr>
        <w:t xml:space="preserve"> and </w:t>
      </w:r>
      <w:r w:rsidRPr="00A7389B">
        <w:rPr>
          <w:rFonts w:ascii="Bookman Old Style" w:eastAsia="Times New Roman" w:hAnsi="Bookman Old Style" w:cs="Arial"/>
          <w:b/>
          <w:bCs/>
          <w:color w:val="1B1C1D"/>
          <w:kern w:val="0"/>
          <w:bdr w:val="none" w:sz="0" w:space="0" w:color="auto" w:frame="1"/>
          <w14:ligatures w14:val="none"/>
        </w:rPr>
        <w:t>RELEASED</w:t>
      </w:r>
      <w:r w:rsidRPr="00A7389B">
        <w:rPr>
          <w:rFonts w:ascii="Bookman Old Style" w:eastAsia="Times New Roman" w:hAnsi="Bookman Old Style" w:cs="Arial"/>
          <w:color w:val="1B1C1D"/>
          <w:kern w:val="0"/>
          <w14:ligatures w14:val="none"/>
        </w:rPr>
        <w:t>.</w:t>
      </w:r>
    </w:p>
    <w:p w14:paraId="03E50592" w14:textId="77777777" w:rsidR="00A7389B" w:rsidRPr="00A7389B" w:rsidRDefault="00A7389B" w:rsidP="00A7389B">
      <w:pPr>
        <w:numPr>
          <w:ilvl w:val="0"/>
          <w:numId w:val="28"/>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The parties are directed to refer all civil disputes regarding the proper amount of </w:t>
      </w:r>
      <w:r w:rsidRPr="00A7389B">
        <w:rPr>
          <w:rFonts w:ascii="Bookman Old Style" w:eastAsia="Times New Roman" w:hAnsi="Bookman Old Style" w:cs="Arial"/>
          <w:i/>
          <w:iCs/>
          <w:color w:val="1B1C1D"/>
          <w:kern w:val="0"/>
          <w:bdr w:val="none" w:sz="0" w:space="0" w:color="auto" w:frame="1"/>
          <w14:ligatures w14:val="none"/>
        </w:rPr>
        <w:t>'</w:t>
      </w:r>
      <w:proofErr w:type="spellStart"/>
      <w:r w:rsidRPr="00A7389B">
        <w:rPr>
          <w:rFonts w:ascii="Bookman Old Style" w:eastAsia="Times New Roman" w:hAnsi="Bookman Old Style" w:cs="Arial"/>
          <w:i/>
          <w:iCs/>
          <w:color w:val="1B1C1D"/>
          <w:kern w:val="0"/>
          <w:bdr w:val="none" w:sz="0" w:space="0" w:color="auto" w:frame="1"/>
          <w14:ligatures w14:val="none"/>
        </w:rPr>
        <w:t>idda</w:t>
      </w:r>
      <w:proofErr w:type="spellEnd"/>
      <w:r w:rsidRPr="00A7389B">
        <w:rPr>
          <w:rFonts w:ascii="Bookman Old Style" w:eastAsia="Times New Roman" w:hAnsi="Bookman Old Style" w:cs="Arial"/>
          <w:color w:val="1B1C1D"/>
          <w:kern w:val="0"/>
          <w14:ligatures w14:val="none"/>
        </w:rPr>
        <w:t xml:space="preserve"> support and settlement of property to the </w:t>
      </w:r>
      <w:proofErr w:type="spellStart"/>
      <w:r w:rsidRPr="00A7389B">
        <w:rPr>
          <w:rFonts w:ascii="Bookman Old Style" w:eastAsia="Times New Roman" w:hAnsi="Bookman Old Style" w:cs="Arial"/>
          <w:b/>
          <w:bCs/>
          <w:color w:val="1B1C1D"/>
          <w:kern w:val="0"/>
          <w:bdr w:val="none" w:sz="0" w:space="0" w:color="auto" w:frame="1"/>
          <w14:ligatures w14:val="none"/>
        </w:rPr>
        <w:t>Shari’ah</w:t>
      </w:r>
      <w:proofErr w:type="spellEnd"/>
      <w:r w:rsidRPr="00A7389B">
        <w:rPr>
          <w:rFonts w:ascii="Bookman Old Style" w:eastAsia="Times New Roman" w:hAnsi="Bookman Old Style" w:cs="Arial"/>
          <w:b/>
          <w:bCs/>
          <w:color w:val="1B1C1D"/>
          <w:kern w:val="0"/>
          <w:bdr w:val="none" w:sz="0" w:space="0" w:color="auto" w:frame="1"/>
          <w14:ligatures w14:val="none"/>
        </w:rPr>
        <w:t xml:space="preserve"> Circuit Court</w:t>
      </w:r>
      <w:r w:rsidRPr="00A7389B">
        <w:rPr>
          <w:rFonts w:ascii="Bookman Old Style" w:eastAsia="Times New Roman" w:hAnsi="Bookman Old Style" w:cs="Arial"/>
          <w:color w:val="1B1C1D"/>
          <w:kern w:val="0"/>
          <w14:ligatures w14:val="none"/>
        </w:rPr>
        <w:t xml:space="preserve"> pursuant to Article 155 of PD 1083.</w:t>
      </w:r>
    </w:p>
    <w:p w14:paraId="04135662"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SO ORDERED.</w:t>
      </w:r>
    </w:p>
    <w:p w14:paraId="74E5A4BF"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Hon. Presiding Judge</w:t>
      </w:r>
    </w:p>
    <w:p w14:paraId="28EE279A"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RTC Branch 10, Canton City</w:t>
      </w:r>
    </w:p>
    <w:p w14:paraId="53720E4B" w14:textId="77777777" w:rsidR="00A7389B" w:rsidRPr="00A7389B" w:rsidRDefault="00A7389B" w:rsidP="00A7389B">
      <w:pPr>
        <w:spacing w:before="240" w:after="0" w:line="240" w:lineRule="auto"/>
        <w:outlineLvl w:val="1"/>
        <w:rPr>
          <w:rFonts w:ascii="Bookman Old Style" w:eastAsia="Times New Roman" w:hAnsi="Bookman Old Style" w:cs="Arial"/>
          <w:b/>
          <w:bCs/>
          <w:color w:val="1B1C1D"/>
          <w:kern w:val="0"/>
          <w:sz w:val="36"/>
          <w:szCs w:val="36"/>
          <w14:ligatures w14:val="none"/>
        </w:rPr>
      </w:pPr>
      <w:r w:rsidRPr="00A7389B">
        <w:rPr>
          <w:rFonts w:ascii="Bookman Old Style" w:eastAsia="Times New Roman" w:hAnsi="Bookman Old Style" w:cs="Arial"/>
          <w:b/>
          <w:bCs/>
          <w:color w:val="1B1C1D"/>
          <w:kern w:val="0"/>
          <w:sz w:val="36"/>
          <w:szCs w:val="36"/>
          <w14:ligatures w14:val="none"/>
        </w:rPr>
        <w:t>5. Strategic Post-Mortem</w:t>
      </w:r>
    </w:p>
    <w:p w14:paraId="599B3ACC" w14:textId="77777777" w:rsidR="00A7389B" w:rsidRPr="00A7389B" w:rsidRDefault="00A7389B" w:rsidP="00A7389B">
      <w:p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color w:val="1B1C1D"/>
          <w:kern w:val="0"/>
          <w14:ligatures w14:val="none"/>
        </w:rPr>
        <w:t xml:space="preserve">This case highlights a critical defense doctrine for Muslim statutes in the Philippines: </w:t>
      </w:r>
      <w:r w:rsidRPr="00A7389B">
        <w:rPr>
          <w:rFonts w:ascii="Bookman Old Style" w:eastAsia="Times New Roman" w:hAnsi="Bookman Old Style" w:cs="Arial"/>
          <w:b/>
          <w:bCs/>
          <w:color w:val="1B1C1D"/>
          <w:kern w:val="0"/>
          <w:bdr w:val="none" w:sz="0" w:space="0" w:color="auto" w:frame="1"/>
          <w14:ligatures w14:val="none"/>
        </w:rPr>
        <w:t>The Information is the Key.</w:t>
      </w:r>
    </w:p>
    <w:p w14:paraId="332B7F00" w14:textId="77777777" w:rsidR="00A7389B" w:rsidRPr="00A7389B" w:rsidRDefault="00A7389B" w:rsidP="00A7389B">
      <w:pPr>
        <w:numPr>
          <w:ilvl w:val="0"/>
          <w:numId w:val="2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"Specific Charge" Trap:</w:t>
      </w:r>
      <w:r w:rsidRPr="00A7389B">
        <w:rPr>
          <w:rFonts w:ascii="Bookman Old Style" w:eastAsia="Times New Roman" w:hAnsi="Bookman Old Style" w:cs="Arial"/>
          <w:color w:val="1B1C1D"/>
          <w:kern w:val="0"/>
          <w14:ligatures w14:val="none"/>
        </w:rPr>
        <w:t xml:space="preserve"> The Prosecution failed because they limited the Information to the "Charlie" incident. Had they charged "Multiple counts of infidelity from 2023-2025" from the beginning, the defense would have faced a much harder battle regarding the pre-divorce acts. The Defense successfully used the </w:t>
      </w:r>
      <w:r w:rsidRPr="00A7389B">
        <w:rPr>
          <w:rFonts w:ascii="Bookman Old Style" w:eastAsia="Times New Roman" w:hAnsi="Bookman Old Style" w:cs="Arial"/>
          <w:i/>
          <w:iCs/>
          <w:color w:val="1B1C1D"/>
          <w:kern w:val="0"/>
          <w:bdr w:val="none" w:sz="0" w:space="0" w:color="auto" w:frame="1"/>
          <w14:ligatures w14:val="none"/>
        </w:rPr>
        <w:t>Variance Doctrine</w:t>
      </w:r>
      <w:r w:rsidRPr="00A7389B">
        <w:rPr>
          <w:rFonts w:ascii="Bookman Old Style" w:eastAsia="Times New Roman" w:hAnsi="Bookman Old Style" w:cs="Arial"/>
          <w:color w:val="1B1C1D"/>
          <w:kern w:val="0"/>
          <w14:ligatures w14:val="none"/>
        </w:rPr>
        <w:t xml:space="preserve"> to exclude the damaging "pattern" evidence, effectively blinding the court to the "worst-case" facts.</w:t>
      </w:r>
    </w:p>
    <w:p w14:paraId="26B3E324" w14:textId="77777777" w:rsidR="00A7389B" w:rsidRPr="00A7389B" w:rsidRDefault="00A7389B" w:rsidP="00A7389B">
      <w:pPr>
        <w:numPr>
          <w:ilvl w:val="0"/>
          <w:numId w:val="2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lastRenderedPageBreak/>
        <w:t xml:space="preserve">The </w:t>
      </w:r>
      <w:r w:rsidRPr="00A7389B">
        <w:rPr>
          <w:rFonts w:ascii="Bookman Old Style" w:eastAsia="Times New Roman" w:hAnsi="Bookman Old Style" w:cs="Arial"/>
          <w:b/>
          <w:bCs/>
          <w:i/>
          <w:iCs/>
          <w:color w:val="1B1C1D"/>
          <w:kern w:val="0"/>
          <w:bdr w:val="none" w:sz="0" w:space="0" w:color="auto" w:frame="1"/>
          <w14:ligatures w14:val="none"/>
        </w:rPr>
        <w:t>Talaq</w:t>
      </w:r>
      <w:r w:rsidRPr="00A7389B">
        <w:rPr>
          <w:rFonts w:ascii="Bookman Old Style" w:eastAsia="Times New Roman" w:hAnsi="Bookman Old Style" w:cs="Arial"/>
          <w:b/>
          <w:bCs/>
          <w:color w:val="1B1C1D"/>
          <w:kern w:val="0"/>
          <w:bdr w:val="none" w:sz="0" w:space="0" w:color="auto" w:frame="1"/>
          <w14:ligatures w14:val="none"/>
        </w:rPr>
        <w:t xml:space="preserve"> Wall:</w:t>
      </w:r>
      <w:r w:rsidRPr="00A7389B">
        <w:rPr>
          <w:rFonts w:ascii="Bookman Old Style" w:eastAsia="Times New Roman" w:hAnsi="Bookman Old Style" w:cs="Arial"/>
          <w:color w:val="1B1C1D"/>
          <w:kern w:val="0"/>
          <w14:ligatures w14:val="none"/>
        </w:rPr>
        <w:t xml:space="preserve"> The Defense successfully argued that you cannot retroactively apply VAWC to a marriage that was dissolved by </w:t>
      </w:r>
      <w:r w:rsidRPr="00A7389B">
        <w:rPr>
          <w:rFonts w:ascii="Bookman Old Style" w:eastAsia="Times New Roman" w:hAnsi="Bookman Old Style" w:cs="Arial"/>
          <w:i/>
          <w:iCs/>
          <w:color w:val="1B1C1D"/>
          <w:kern w:val="0"/>
          <w:bdr w:val="none" w:sz="0" w:space="0" w:color="auto" w:frame="1"/>
          <w14:ligatures w14:val="none"/>
        </w:rPr>
        <w:t>talaq</w:t>
      </w:r>
      <w:r w:rsidRPr="00A7389B">
        <w:rPr>
          <w:rFonts w:ascii="Bookman Old Style" w:eastAsia="Times New Roman" w:hAnsi="Bookman Old Style" w:cs="Arial"/>
          <w:color w:val="1B1C1D"/>
          <w:kern w:val="0"/>
          <w14:ligatures w14:val="none"/>
        </w:rPr>
        <w:t xml:space="preserve"> before the specific act charged occurred. This reinforces the autonomy of Muslim Personal Laws.</w:t>
      </w:r>
    </w:p>
    <w:p w14:paraId="5E1DA222" w14:textId="77777777" w:rsidR="00A7389B" w:rsidRPr="00A7389B" w:rsidRDefault="00A7389B" w:rsidP="00A7389B">
      <w:pPr>
        <w:numPr>
          <w:ilvl w:val="0"/>
          <w:numId w:val="2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Privacy vs. Violence:</w:t>
      </w:r>
      <w:r w:rsidRPr="00A7389B">
        <w:rPr>
          <w:rFonts w:ascii="Bookman Old Style" w:eastAsia="Times New Roman" w:hAnsi="Bookman Old Style" w:cs="Arial"/>
          <w:color w:val="1B1C1D"/>
          <w:kern w:val="0"/>
          <w14:ligatures w14:val="none"/>
        </w:rPr>
        <w:t xml:space="preserve"> The Court affirmed that a divorced husband (even during </w:t>
      </w:r>
      <w:r w:rsidRPr="00A7389B">
        <w:rPr>
          <w:rFonts w:ascii="Bookman Old Style" w:eastAsia="Times New Roman" w:hAnsi="Bookman Old Style" w:cs="Arial"/>
          <w:i/>
          <w:iCs/>
          <w:color w:val="1B1C1D"/>
          <w:kern w:val="0"/>
          <w:bdr w:val="none" w:sz="0" w:space="0" w:color="auto" w:frame="1"/>
          <w14:ligatures w14:val="none"/>
        </w:rPr>
        <w:t>'</w:t>
      </w:r>
      <w:proofErr w:type="spellStart"/>
      <w:r w:rsidRPr="00A7389B">
        <w:rPr>
          <w:rFonts w:ascii="Bookman Old Style" w:eastAsia="Times New Roman" w:hAnsi="Bookman Old Style" w:cs="Arial"/>
          <w:i/>
          <w:iCs/>
          <w:color w:val="1B1C1D"/>
          <w:kern w:val="0"/>
          <w:bdr w:val="none" w:sz="0" w:space="0" w:color="auto" w:frame="1"/>
          <w14:ligatures w14:val="none"/>
        </w:rPr>
        <w:t>idda</w:t>
      </w:r>
      <w:proofErr w:type="spellEnd"/>
      <w:r w:rsidRPr="00A7389B">
        <w:rPr>
          <w:rFonts w:ascii="Bookman Old Style" w:eastAsia="Times New Roman" w:hAnsi="Bookman Old Style" w:cs="Arial"/>
          <w:color w:val="1B1C1D"/>
          <w:kern w:val="0"/>
          <w14:ligatures w14:val="none"/>
        </w:rPr>
        <w:t>) has a right to privacy in his home. A wife cannot force entry, find a lover, and then claim "psychological violence" based on what she discovered during her own intrusion. This distinction protects individuals from having their private lives weaponized in court post-separation.</w:t>
      </w:r>
    </w:p>
    <w:p w14:paraId="31E1EC30" w14:textId="77777777" w:rsidR="00A7389B" w:rsidRPr="00A7389B" w:rsidRDefault="00A7389B" w:rsidP="00A7389B">
      <w:pPr>
        <w:numPr>
          <w:ilvl w:val="0"/>
          <w:numId w:val="29"/>
        </w:numPr>
        <w:spacing w:before="240" w:after="0" w:line="240" w:lineRule="auto"/>
        <w:rPr>
          <w:rFonts w:ascii="Bookman Old Style" w:eastAsia="Times New Roman" w:hAnsi="Bookman Old Style" w:cs="Arial"/>
          <w:color w:val="1B1C1D"/>
          <w:kern w:val="0"/>
          <w14:ligatures w14:val="none"/>
        </w:rPr>
      </w:pPr>
      <w:r w:rsidRPr="00A7389B">
        <w:rPr>
          <w:rFonts w:ascii="Bookman Old Style" w:eastAsia="Times New Roman" w:hAnsi="Bookman Old Style" w:cs="Arial"/>
          <w:b/>
          <w:bCs/>
          <w:color w:val="1B1C1D"/>
          <w:kern w:val="0"/>
          <w:bdr w:val="none" w:sz="0" w:space="0" w:color="auto" w:frame="1"/>
          <w14:ligatures w14:val="none"/>
        </w:rPr>
        <w:t>The Importance of Preliminary Investigation:</w:t>
      </w:r>
      <w:r w:rsidRPr="00A7389B">
        <w:rPr>
          <w:rFonts w:ascii="Bookman Old Style" w:eastAsia="Times New Roman" w:hAnsi="Bookman Old Style" w:cs="Arial"/>
          <w:color w:val="1B1C1D"/>
          <w:kern w:val="0"/>
          <w14:ligatures w14:val="none"/>
        </w:rPr>
        <w:t xml:space="preserve"> The Defense's ability to point out that the new witnesses (X and Y) were never presented during the preliminary investigation was crucial. It painted the Prosecution's strategy as unfair and procedural overreach, gaining the sympathy of the court for the Due Process argument.</w:t>
      </w:r>
    </w:p>
    <w:p w14:paraId="6870964A" w14:textId="77777777" w:rsidR="00CE151C" w:rsidRPr="00A7389B" w:rsidRDefault="00CE151C" w:rsidP="00A7389B">
      <w:pPr>
        <w:spacing w:before="240" w:after="0"/>
        <w:rPr>
          <w:rFonts w:ascii="Bookman Old Style" w:hAnsi="Bookman Old Style"/>
        </w:rPr>
      </w:pPr>
    </w:p>
    <w:sectPr w:rsidR="00CE151C" w:rsidRPr="00A738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F7D"/>
    <w:multiLevelType w:val="multilevel"/>
    <w:tmpl w:val="D61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81A9F"/>
    <w:multiLevelType w:val="multilevel"/>
    <w:tmpl w:val="098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91D"/>
    <w:multiLevelType w:val="multilevel"/>
    <w:tmpl w:val="9852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616F"/>
    <w:multiLevelType w:val="multilevel"/>
    <w:tmpl w:val="493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128E"/>
    <w:multiLevelType w:val="multilevel"/>
    <w:tmpl w:val="F8F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76A24"/>
    <w:multiLevelType w:val="multilevel"/>
    <w:tmpl w:val="792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B625D"/>
    <w:multiLevelType w:val="multilevel"/>
    <w:tmpl w:val="C0C0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07A00"/>
    <w:multiLevelType w:val="multilevel"/>
    <w:tmpl w:val="6D3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23CCA"/>
    <w:multiLevelType w:val="multilevel"/>
    <w:tmpl w:val="A32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75770"/>
    <w:multiLevelType w:val="multilevel"/>
    <w:tmpl w:val="4A0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B38C6"/>
    <w:multiLevelType w:val="multilevel"/>
    <w:tmpl w:val="870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223F2"/>
    <w:multiLevelType w:val="multilevel"/>
    <w:tmpl w:val="43F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10590"/>
    <w:multiLevelType w:val="multilevel"/>
    <w:tmpl w:val="0A88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A71497"/>
    <w:multiLevelType w:val="multilevel"/>
    <w:tmpl w:val="30D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36E3E"/>
    <w:multiLevelType w:val="multilevel"/>
    <w:tmpl w:val="417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A2064"/>
    <w:multiLevelType w:val="multilevel"/>
    <w:tmpl w:val="91C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46C46"/>
    <w:multiLevelType w:val="multilevel"/>
    <w:tmpl w:val="FD7A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738DF"/>
    <w:multiLevelType w:val="multilevel"/>
    <w:tmpl w:val="030E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E753F"/>
    <w:multiLevelType w:val="multilevel"/>
    <w:tmpl w:val="E506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606A11"/>
    <w:multiLevelType w:val="multilevel"/>
    <w:tmpl w:val="B652E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C5623F"/>
    <w:multiLevelType w:val="multilevel"/>
    <w:tmpl w:val="94F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63F01"/>
    <w:multiLevelType w:val="multilevel"/>
    <w:tmpl w:val="7E78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FB70BA"/>
    <w:multiLevelType w:val="multilevel"/>
    <w:tmpl w:val="A176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3F5213"/>
    <w:multiLevelType w:val="multilevel"/>
    <w:tmpl w:val="D6A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E07C5"/>
    <w:multiLevelType w:val="multilevel"/>
    <w:tmpl w:val="65C49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343CC"/>
    <w:multiLevelType w:val="multilevel"/>
    <w:tmpl w:val="548E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03191F"/>
    <w:multiLevelType w:val="multilevel"/>
    <w:tmpl w:val="D3E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D31D4"/>
    <w:multiLevelType w:val="multilevel"/>
    <w:tmpl w:val="A5B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8011A"/>
    <w:multiLevelType w:val="multilevel"/>
    <w:tmpl w:val="F29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83210">
    <w:abstractNumId w:val="18"/>
  </w:num>
  <w:num w:numId="2" w16cid:durableId="870457405">
    <w:abstractNumId w:val="13"/>
  </w:num>
  <w:num w:numId="3" w16cid:durableId="941837876">
    <w:abstractNumId w:val="1"/>
  </w:num>
  <w:num w:numId="4" w16cid:durableId="214897695">
    <w:abstractNumId w:val="23"/>
  </w:num>
  <w:num w:numId="5" w16cid:durableId="1757628875">
    <w:abstractNumId w:val="7"/>
  </w:num>
  <w:num w:numId="6" w16cid:durableId="1117260276">
    <w:abstractNumId w:val="10"/>
  </w:num>
  <w:num w:numId="7" w16cid:durableId="1990863837">
    <w:abstractNumId w:val="0"/>
  </w:num>
  <w:num w:numId="8" w16cid:durableId="1381436266">
    <w:abstractNumId w:val="3"/>
  </w:num>
  <w:num w:numId="9" w16cid:durableId="1362245376">
    <w:abstractNumId w:val="8"/>
  </w:num>
  <w:num w:numId="10" w16cid:durableId="284777519">
    <w:abstractNumId w:val="15"/>
  </w:num>
  <w:num w:numId="11" w16cid:durableId="429395096">
    <w:abstractNumId w:val="14"/>
  </w:num>
  <w:num w:numId="12" w16cid:durableId="2033528705">
    <w:abstractNumId w:val="20"/>
  </w:num>
  <w:num w:numId="13" w16cid:durableId="537008372">
    <w:abstractNumId w:val="11"/>
  </w:num>
  <w:num w:numId="14" w16cid:durableId="741025687">
    <w:abstractNumId w:val="28"/>
  </w:num>
  <w:num w:numId="15" w16cid:durableId="1879049665">
    <w:abstractNumId w:val="25"/>
  </w:num>
  <w:num w:numId="16" w16cid:durableId="981423388">
    <w:abstractNumId w:val="26"/>
  </w:num>
  <w:num w:numId="17" w16cid:durableId="1617171902">
    <w:abstractNumId w:val="16"/>
  </w:num>
  <w:num w:numId="18" w16cid:durableId="1143278751">
    <w:abstractNumId w:val="19"/>
  </w:num>
  <w:num w:numId="19" w16cid:durableId="1451779270">
    <w:abstractNumId w:val="2"/>
  </w:num>
  <w:num w:numId="20" w16cid:durableId="898714437">
    <w:abstractNumId w:val="17"/>
  </w:num>
  <w:num w:numId="21" w16cid:durableId="1701663890">
    <w:abstractNumId w:val="21"/>
  </w:num>
  <w:num w:numId="22" w16cid:durableId="337738729">
    <w:abstractNumId w:val="9"/>
  </w:num>
  <w:num w:numId="23" w16cid:durableId="1291982912">
    <w:abstractNumId w:val="24"/>
  </w:num>
  <w:num w:numId="24" w16cid:durableId="198249348">
    <w:abstractNumId w:val="6"/>
  </w:num>
  <w:num w:numId="25" w16cid:durableId="894509617">
    <w:abstractNumId w:val="4"/>
  </w:num>
  <w:num w:numId="26" w16cid:durableId="732046515">
    <w:abstractNumId w:val="27"/>
  </w:num>
  <w:num w:numId="27" w16cid:durableId="1232470854">
    <w:abstractNumId w:val="5"/>
  </w:num>
  <w:num w:numId="28" w16cid:durableId="1396513265">
    <w:abstractNumId w:val="12"/>
  </w:num>
  <w:num w:numId="29" w16cid:durableId="12594090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89B"/>
    <w:rsid w:val="000B452A"/>
    <w:rsid w:val="00353F66"/>
    <w:rsid w:val="003C3D1E"/>
    <w:rsid w:val="00722FDA"/>
    <w:rsid w:val="009075FA"/>
    <w:rsid w:val="00A7389B"/>
    <w:rsid w:val="00CE151C"/>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8F48"/>
  <w15:chartTrackingRefBased/>
  <w15:docId w15:val="{BB074561-E4A4-674D-956C-35233D5F1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3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3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3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3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89B"/>
    <w:rPr>
      <w:rFonts w:eastAsiaTheme="majorEastAsia" w:cstheme="majorBidi"/>
      <w:color w:val="272727" w:themeColor="text1" w:themeTint="D8"/>
    </w:rPr>
  </w:style>
  <w:style w:type="paragraph" w:styleId="Title">
    <w:name w:val="Title"/>
    <w:basedOn w:val="Normal"/>
    <w:next w:val="Normal"/>
    <w:link w:val="TitleChar"/>
    <w:uiPriority w:val="10"/>
    <w:qFormat/>
    <w:rsid w:val="00A7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89B"/>
    <w:pPr>
      <w:spacing w:before="160"/>
      <w:jc w:val="center"/>
    </w:pPr>
    <w:rPr>
      <w:i/>
      <w:iCs/>
      <w:color w:val="404040" w:themeColor="text1" w:themeTint="BF"/>
    </w:rPr>
  </w:style>
  <w:style w:type="character" w:customStyle="1" w:styleId="QuoteChar">
    <w:name w:val="Quote Char"/>
    <w:basedOn w:val="DefaultParagraphFont"/>
    <w:link w:val="Quote"/>
    <w:uiPriority w:val="29"/>
    <w:rsid w:val="00A7389B"/>
    <w:rPr>
      <w:i/>
      <w:iCs/>
      <w:color w:val="404040" w:themeColor="text1" w:themeTint="BF"/>
    </w:rPr>
  </w:style>
  <w:style w:type="paragraph" w:styleId="ListParagraph">
    <w:name w:val="List Paragraph"/>
    <w:basedOn w:val="Normal"/>
    <w:uiPriority w:val="34"/>
    <w:qFormat/>
    <w:rsid w:val="00A7389B"/>
    <w:pPr>
      <w:ind w:left="720"/>
      <w:contextualSpacing/>
    </w:pPr>
  </w:style>
  <w:style w:type="character" w:styleId="IntenseEmphasis">
    <w:name w:val="Intense Emphasis"/>
    <w:basedOn w:val="DefaultParagraphFont"/>
    <w:uiPriority w:val="21"/>
    <w:qFormat/>
    <w:rsid w:val="00A7389B"/>
    <w:rPr>
      <w:i/>
      <w:iCs/>
      <w:color w:val="0F4761" w:themeColor="accent1" w:themeShade="BF"/>
    </w:rPr>
  </w:style>
  <w:style w:type="paragraph" w:styleId="IntenseQuote">
    <w:name w:val="Intense Quote"/>
    <w:basedOn w:val="Normal"/>
    <w:next w:val="Normal"/>
    <w:link w:val="IntenseQuoteChar"/>
    <w:uiPriority w:val="30"/>
    <w:qFormat/>
    <w:rsid w:val="00A7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89B"/>
    <w:rPr>
      <w:i/>
      <w:iCs/>
      <w:color w:val="0F4761" w:themeColor="accent1" w:themeShade="BF"/>
    </w:rPr>
  </w:style>
  <w:style w:type="character" w:styleId="IntenseReference">
    <w:name w:val="Intense Reference"/>
    <w:basedOn w:val="DefaultParagraphFont"/>
    <w:uiPriority w:val="32"/>
    <w:qFormat/>
    <w:rsid w:val="00A7389B"/>
    <w:rPr>
      <w:b/>
      <w:bCs/>
      <w:smallCaps/>
      <w:color w:val="0F4761" w:themeColor="accent1" w:themeShade="BF"/>
      <w:spacing w:val="5"/>
    </w:rPr>
  </w:style>
  <w:style w:type="paragraph" w:styleId="NormalWeb">
    <w:name w:val="Normal (Web)"/>
    <w:basedOn w:val="Normal"/>
    <w:uiPriority w:val="99"/>
    <w:semiHidden/>
    <w:unhideWhenUsed/>
    <w:rsid w:val="00A738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389B"/>
    <w:rPr>
      <w:b/>
      <w:bCs/>
    </w:rPr>
  </w:style>
  <w:style w:type="character" w:styleId="Emphasis">
    <w:name w:val="Emphasis"/>
    <w:basedOn w:val="DefaultParagraphFont"/>
    <w:uiPriority w:val="20"/>
    <w:qFormat/>
    <w:rsid w:val="00A738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2955</Words>
  <Characters>16849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2</cp:revision>
  <dcterms:created xsi:type="dcterms:W3CDTF">2025-11-19T05:08:00Z</dcterms:created>
  <dcterms:modified xsi:type="dcterms:W3CDTF">2025-11-19T18:59:00Z</dcterms:modified>
</cp:coreProperties>
</file>