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41127" w14:textId="77777777" w:rsidR="00EA2097" w:rsidRPr="003B67FB" w:rsidRDefault="00000000">
      <w:pPr>
        <w:pStyle w:val="Title"/>
        <w:jc w:val="center"/>
        <w:rPr>
          <w:rFonts w:ascii="Bookman Old Style" w:hAnsi="Bookman Old Style"/>
        </w:rPr>
      </w:pPr>
      <w:r w:rsidRPr="003B67FB">
        <w:rPr>
          <w:rFonts w:ascii="Bookman Old Style" w:hAnsi="Bookman Old Style"/>
        </w:rPr>
        <w:t>COMPREHENSIVE LEGAL ANALYSIS AND DEFENSE STRATEGY</w:t>
      </w:r>
    </w:p>
    <w:p w14:paraId="3B62C72E" w14:textId="77777777" w:rsidR="00EA2097" w:rsidRPr="003B67FB" w:rsidRDefault="00000000">
      <w:pPr>
        <w:jc w:val="center"/>
        <w:rPr>
          <w:rFonts w:ascii="Bookman Old Style" w:hAnsi="Bookman Old Style"/>
        </w:rPr>
      </w:pPr>
      <w:r w:rsidRPr="003B67FB">
        <w:rPr>
          <w:rFonts w:ascii="Bookman Old Style" w:hAnsi="Bookman Old Style"/>
          <w:b/>
        </w:rPr>
        <w:t>REPUBLIC OF THE PHILIPPINES</w:t>
      </w:r>
    </w:p>
    <w:p w14:paraId="57800A86" w14:textId="77777777" w:rsidR="00EA2097" w:rsidRPr="003B67FB" w:rsidRDefault="00000000">
      <w:pPr>
        <w:jc w:val="center"/>
        <w:rPr>
          <w:rFonts w:ascii="Bookman Old Style" w:hAnsi="Bookman Old Style"/>
        </w:rPr>
      </w:pPr>
      <w:r w:rsidRPr="003B67FB">
        <w:rPr>
          <w:rFonts w:ascii="Bookman Old Style" w:hAnsi="Bookman Old Style"/>
          <w:b/>
        </w:rPr>
        <w:t>REGIONAL TRIAL COURT, 19TH JUDICIAL REGION</w:t>
      </w:r>
    </w:p>
    <w:p w14:paraId="66209636" w14:textId="77777777" w:rsidR="00EA2097" w:rsidRPr="003B67FB" w:rsidRDefault="00000000">
      <w:pPr>
        <w:jc w:val="center"/>
        <w:rPr>
          <w:rFonts w:ascii="Bookman Old Style" w:hAnsi="Bookman Old Style"/>
        </w:rPr>
      </w:pPr>
      <w:r w:rsidRPr="003B67FB">
        <w:rPr>
          <w:rFonts w:ascii="Bookman Old Style" w:hAnsi="Bookman Old Style"/>
          <w:b/>
        </w:rPr>
        <w:t>BRANCH [___], Canton City</w:t>
      </w:r>
    </w:p>
    <w:p w14:paraId="0B2F862A" w14:textId="77777777" w:rsidR="00EA2097" w:rsidRPr="003B67FB" w:rsidRDefault="00EA2097">
      <w:pPr>
        <w:jc w:val="center"/>
        <w:rPr>
          <w:rFonts w:ascii="Bookman Old Style" w:hAnsi="Bookman Old Style"/>
        </w:rPr>
      </w:pPr>
    </w:p>
    <w:p w14:paraId="393AA5FE" w14:textId="77777777" w:rsidR="00EA2097" w:rsidRPr="003B67FB" w:rsidRDefault="00000000">
      <w:pPr>
        <w:jc w:val="center"/>
        <w:rPr>
          <w:rFonts w:ascii="Bookman Old Style" w:hAnsi="Bookman Old Style"/>
        </w:rPr>
      </w:pPr>
      <w:r w:rsidRPr="003B67FB">
        <w:rPr>
          <w:rFonts w:ascii="Bookman Old Style" w:hAnsi="Bookman Old Style"/>
          <w:b/>
        </w:rPr>
        <w:t>PEOPLE OF THE PHILIPPINES,</w:t>
      </w:r>
    </w:p>
    <w:p w14:paraId="19FEC59C" w14:textId="77777777" w:rsidR="00EA2097" w:rsidRPr="003B67FB" w:rsidRDefault="00000000">
      <w:pPr>
        <w:jc w:val="center"/>
        <w:rPr>
          <w:rFonts w:ascii="Bookman Old Style" w:hAnsi="Bookman Old Style"/>
        </w:rPr>
      </w:pPr>
      <w:r w:rsidRPr="003B67FB">
        <w:rPr>
          <w:rFonts w:ascii="Bookman Old Style" w:hAnsi="Bookman Old Style"/>
          <w:b/>
        </w:rPr>
        <w:t>Complainant,</w:t>
      </w:r>
    </w:p>
    <w:p w14:paraId="5DEFBE52" w14:textId="77777777" w:rsidR="00EA2097" w:rsidRPr="003B67FB" w:rsidRDefault="00EA2097">
      <w:pPr>
        <w:jc w:val="center"/>
        <w:rPr>
          <w:rFonts w:ascii="Bookman Old Style" w:hAnsi="Bookman Old Style"/>
        </w:rPr>
      </w:pPr>
    </w:p>
    <w:p w14:paraId="51654906" w14:textId="77777777" w:rsidR="00EA2097" w:rsidRPr="003B67FB" w:rsidRDefault="00000000">
      <w:pPr>
        <w:jc w:val="center"/>
        <w:rPr>
          <w:rFonts w:ascii="Bookman Old Style" w:hAnsi="Bookman Old Style"/>
        </w:rPr>
      </w:pPr>
      <w:r w:rsidRPr="003B67FB">
        <w:rPr>
          <w:rFonts w:ascii="Bookman Old Style" w:hAnsi="Bookman Old Style"/>
        </w:rPr>
        <w:t>-versus-</w:t>
      </w:r>
    </w:p>
    <w:p w14:paraId="35AF40F9" w14:textId="77777777" w:rsidR="00EA2097" w:rsidRPr="003B67FB" w:rsidRDefault="00EA2097">
      <w:pPr>
        <w:jc w:val="center"/>
        <w:rPr>
          <w:rFonts w:ascii="Bookman Old Style" w:hAnsi="Bookman Old Style"/>
        </w:rPr>
      </w:pPr>
    </w:p>
    <w:p w14:paraId="1F5C6979" w14:textId="77777777" w:rsidR="00EA2097" w:rsidRPr="003B67FB" w:rsidRDefault="00000000">
      <w:pPr>
        <w:jc w:val="center"/>
        <w:rPr>
          <w:rFonts w:ascii="Bookman Old Style" w:hAnsi="Bookman Old Style"/>
        </w:rPr>
      </w:pPr>
      <w:r w:rsidRPr="003B67FB">
        <w:rPr>
          <w:rFonts w:ascii="Bookman Old Style" w:hAnsi="Bookman Old Style"/>
          <w:b/>
        </w:rPr>
        <w:t>ANDY and CHARLIE,</w:t>
      </w:r>
    </w:p>
    <w:p w14:paraId="374718B4" w14:textId="77777777" w:rsidR="00EA2097" w:rsidRPr="003B67FB" w:rsidRDefault="00000000">
      <w:pPr>
        <w:jc w:val="center"/>
        <w:rPr>
          <w:rFonts w:ascii="Bookman Old Style" w:hAnsi="Bookman Old Style"/>
        </w:rPr>
      </w:pPr>
      <w:r w:rsidRPr="003B67FB">
        <w:rPr>
          <w:rFonts w:ascii="Bookman Old Style" w:hAnsi="Bookman Old Style"/>
          <w:b/>
        </w:rPr>
        <w:t>Accused.</w:t>
      </w:r>
    </w:p>
    <w:p w14:paraId="3D8B91C0" w14:textId="77777777" w:rsidR="00EA2097" w:rsidRPr="003B67FB" w:rsidRDefault="00EA2097">
      <w:pPr>
        <w:jc w:val="center"/>
        <w:rPr>
          <w:rFonts w:ascii="Bookman Old Style" w:hAnsi="Bookman Old Style"/>
        </w:rPr>
      </w:pPr>
    </w:p>
    <w:p w14:paraId="2E633CDB" w14:textId="77777777" w:rsidR="00EA2097" w:rsidRPr="003B67FB" w:rsidRDefault="00000000">
      <w:pPr>
        <w:jc w:val="center"/>
        <w:rPr>
          <w:rFonts w:ascii="Bookman Old Style" w:hAnsi="Bookman Old Style"/>
        </w:rPr>
      </w:pPr>
      <w:r w:rsidRPr="003B67FB">
        <w:rPr>
          <w:rFonts w:ascii="Bookman Old Style" w:hAnsi="Bookman Old Style"/>
          <w:b/>
        </w:rPr>
        <w:t>CRIMINAL CASE NO. 2025-18700</w:t>
      </w:r>
    </w:p>
    <w:p w14:paraId="302269B0" w14:textId="77777777" w:rsidR="00EA2097" w:rsidRPr="003B67FB" w:rsidRDefault="00EA2097">
      <w:pPr>
        <w:jc w:val="center"/>
        <w:rPr>
          <w:rFonts w:ascii="Bookman Old Style" w:hAnsi="Bookman Old Style"/>
        </w:rPr>
      </w:pPr>
    </w:p>
    <w:p w14:paraId="333D4D65" w14:textId="77777777" w:rsidR="00EA2097" w:rsidRPr="003B67FB" w:rsidRDefault="00000000">
      <w:pPr>
        <w:jc w:val="center"/>
        <w:rPr>
          <w:rFonts w:ascii="Bookman Old Style" w:hAnsi="Bookman Old Style"/>
        </w:rPr>
      </w:pPr>
      <w:r w:rsidRPr="003B67FB">
        <w:rPr>
          <w:rFonts w:ascii="Bookman Old Style" w:hAnsi="Bookman Old Style"/>
          <w:b/>
        </w:rPr>
        <w:t>For: VIOLATION OF SECTION 5(i)</w:t>
      </w:r>
    </w:p>
    <w:p w14:paraId="51CEE7F8" w14:textId="77777777" w:rsidR="00EA2097" w:rsidRPr="003B67FB" w:rsidRDefault="00000000">
      <w:pPr>
        <w:jc w:val="center"/>
        <w:rPr>
          <w:rFonts w:ascii="Bookman Old Style" w:hAnsi="Bookman Old Style"/>
        </w:rPr>
      </w:pPr>
      <w:r w:rsidRPr="003B67FB">
        <w:rPr>
          <w:rFonts w:ascii="Bookman Old Style" w:hAnsi="Bookman Old Style"/>
          <w:b/>
        </w:rPr>
        <w:t>REPUBLIC ACT NO. 9262</w:t>
      </w:r>
    </w:p>
    <w:p w14:paraId="09A5EB7D" w14:textId="77777777" w:rsidR="00EA2097" w:rsidRPr="003B67FB" w:rsidRDefault="00000000">
      <w:pPr>
        <w:jc w:val="center"/>
        <w:rPr>
          <w:rFonts w:ascii="Bookman Old Style" w:hAnsi="Bookman Old Style"/>
        </w:rPr>
      </w:pPr>
      <w:r w:rsidRPr="003B67FB">
        <w:rPr>
          <w:rFonts w:ascii="Bookman Old Style" w:hAnsi="Bookman Old Style"/>
          <w:b/>
        </w:rPr>
        <w:t>(Anti-Violence Against Women and Their Children Act of 2004)</w:t>
      </w:r>
    </w:p>
    <w:p w14:paraId="092D928F" w14:textId="77777777" w:rsidR="00EA2097" w:rsidRPr="003B67FB" w:rsidRDefault="00EA2097">
      <w:pPr>
        <w:rPr>
          <w:rFonts w:ascii="Bookman Old Style" w:hAnsi="Bookman Old Style"/>
        </w:rPr>
      </w:pPr>
    </w:p>
    <w:p w14:paraId="345C34F1" w14:textId="77777777" w:rsidR="00EA2097" w:rsidRPr="003B67FB" w:rsidRDefault="00000000">
      <w:pPr>
        <w:jc w:val="center"/>
        <w:rPr>
          <w:rFonts w:ascii="Bookman Old Style" w:hAnsi="Bookman Old Style"/>
        </w:rPr>
      </w:pPr>
      <w:r w:rsidRPr="003B67FB">
        <w:rPr>
          <w:rFonts w:ascii="Bookman Old Style" w:hAnsi="Bookman Old Style"/>
          <w:b/>
          <w:sz w:val="28"/>
        </w:rPr>
        <w:t>COMPREHENSIVE MEMORANDUM</w:t>
      </w:r>
    </w:p>
    <w:p w14:paraId="5067D5D8" w14:textId="77777777" w:rsidR="00EA2097" w:rsidRPr="003B67FB" w:rsidRDefault="00000000">
      <w:pPr>
        <w:rPr>
          <w:rFonts w:ascii="Bookman Old Style" w:hAnsi="Bookman Old Style"/>
        </w:rPr>
      </w:pPr>
      <w:r w:rsidRPr="003B67FB">
        <w:rPr>
          <w:rFonts w:ascii="Bookman Old Style" w:hAnsi="Bookman Old Style"/>
        </w:rPr>
        <w:br w:type="page"/>
      </w:r>
    </w:p>
    <w:p w14:paraId="3A83A692" w14:textId="77777777" w:rsidR="00EA2097" w:rsidRPr="003B67FB" w:rsidRDefault="00000000">
      <w:pPr>
        <w:pStyle w:val="Heading1"/>
        <w:rPr>
          <w:rFonts w:ascii="Bookman Old Style" w:hAnsi="Bookman Old Style"/>
        </w:rPr>
      </w:pPr>
      <w:r w:rsidRPr="003B67FB">
        <w:rPr>
          <w:rFonts w:ascii="Bookman Old Style" w:hAnsi="Bookman Old Style"/>
        </w:rPr>
        <w:lastRenderedPageBreak/>
        <w:t>TABLE OF CONTENTS</w:t>
      </w:r>
    </w:p>
    <w:p w14:paraId="679A067A" w14:textId="77777777" w:rsidR="00EA2097" w:rsidRPr="003B67FB" w:rsidRDefault="00000000">
      <w:pPr>
        <w:pStyle w:val="ListNumber"/>
        <w:rPr>
          <w:rFonts w:ascii="Bookman Old Style" w:hAnsi="Bookman Old Style"/>
        </w:rPr>
      </w:pPr>
      <w:r w:rsidRPr="003B67FB">
        <w:rPr>
          <w:rFonts w:ascii="Bookman Old Style" w:hAnsi="Bookman Old Style"/>
        </w:rPr>
        <w:t>PART I: EXECUTIVE SUMMARY</w:t>
      </w:r>
    </w:p>
    <w:p w14:paraId="1AF7758D" w14:textId="77777777" w:rsidR="00EA2097" w:rsidRPr="003B67FB" w:rsidRDefault="00000000">
      <w:pPr>
        <w:pStyle w:val="ListNumber"/>
        <w:rPr>
          <w:rFonts w:ascii="Bookman Old Style" w:hAnsi="Bookman Old Style"/>
        </w:rPr>
      </w:pPr>
      <w:r w:rsidRPr="003B67FB">
        <w:rPr>
          <w:rFonts w:ascii="Bookman Old Style" w:hAnsi="Bookman Old Style"/>
        </w:rPr>
        <w:t>PART II: DETAILED FACTUAL BACKGROUND AND PROCEDURAL HISTORY</w:t>
      </w:r>
    </w:p>
    <w:p w14:paraId="22656609" w14:textId="77777777" w:rsidR="00EA2097" w:rsidRPr="003B67FB" w:rsidRDefault="00000000">
      <w:pPr>
        <w:pStyle w:val="ListBullet"/>
        <w:rPr>
          <w:rFonts w:ascii="Bookman Old Style" w:hAnsi="Bookman Old Style"/>
        </w:rPr>
      </w:pPr>
      <w:r w:rsidRPr="003B67FB">
        <w:rPr>
          <w:rFonts w:ascii="Bookman Old Style" w:hAnsi="Bookman Old Style"/>
        </w:rPr>
        <w:t xml:space="preserve">    A. The Marriage Under Muslim Personal Laws</w:t>
      </w:r>
    </w:p>
    <w:p w14:paraId="27082982" w14:textId="77777777" w:rsidR="00EA2097" w:rsidRPr="003B67FB" w:rsidRDefault="00000000">
      <w:pPr>
        <w:pStyle w:val="ListBullet"/>
        <w:rPr>
          <w:rFonts w:ascii="Bookman Old Style" w:hAnsi="Bookman Old Style"/>
        </w:rPr>
      </w:pPr>
      <w:r w:rsidRPr="003B67FB">
        <w:rPr>
          <w:rFonts w:ascii="Bookman Old Style" w:hAnsi="Bookman Old Style"/>
        </w:rPr>
        <w:t xml:space="preserve">    B. Marital Difficulties and Grounds for Divorce</w:t>
      </w:r>
    </w:p>
    <w:p w14:paraId="7F2D2994" w14:textId="77777777" w:rsidR="00EA2097" w:rsidRPr="003B67FB" w:rsidRDefault="00000000">
      <w:pPr>
        <w:pStyle w:val="ListBullet"/>
        <w:rPr>
          <w:rFonts w:ascii="Bookman Old Style" w:hAnsi="Bookman Old Style"/>
        </w:rPr>
      </w:pPr>
      <w:r w:rsidRPr="003B67FB">
        <w:rPr>
          <w:rFonts w:ascii="Bookman Old Style" w:hAnsi="Bookman Old Style"/>
        </w:rPr>
        <w:t xml:space="preserve">    C. The Talaq Pronouncement and Legal Effects</w:t>
      </w:r>
    </w:p>
    <w:p w14:paraId="02A10C4E" w14:textId="77777777" w:rsidR="00EA2097" w:rsidRPr="003B67FB" w:rsidRDefault="00000000">
      <w:pPr>
        <w:pStyle w:val="ListBullet"/>
        <w:rPr>
          <w:rFonts w:ascii="Bookman Old Style" w:hAnsi="Bookman Old Style"/>
        </w:rPr>
      </w:pPr>
      <w:r w:rsidRPr="003B67FB">
        <w:rPr>
          <w:rFonts w:ascii="Bookman Old Style" w:hAnsi="Bookman Old Style"/>
        </w:rPr>
        <w:t xml:space="preserve">    D. BOONY's Admissions and Acknowledgments</w:t>
      </w:r>
    </w:p>
    <w:p w14:paraId="7761B146" w14:textId="77777777" w:rsidR="00EA2097" w:rsidRPr="003B67FB" w:rsidRDefault="00000000">
      <w:pPr>
        <w:pStyle w:val="ListBullet"/>
        <w:rPr>
          <w:rFonts w:ascii="Bookman Old Style" w:hAnsi="Bookman Old Style"/>
        </w:rPr>
      </w:pPr>
      <w:r w:rsidRPr="003B67FB">
        <w:rPr>
          <w:rFonts w:ascii="Bookman Old Style" w:hAnsi="Bookman Old Style"/>
        </w:rPr>
        <w:t xml:space="preserve">    E. Post-Divorce Harassment Campaign</w:t>
      </w:r>
    </w:p>
    <w:p w14:paraId="79DAB953" w14:textId="77777777" w:rsidR="00EA2097" w:rsidRPr="003B67FB" w:rsidRDefault="00000000">
      <w:pPr>
        <w:pStyle w:val="ListBullet"/>
        <w:rPr>
          <w:rFonts w:ascii="Bookman Old Style" w:hAnsi="Bookman Old Style"/>
        </w:rPr>
      </w:pPr>
      <w:r w:rsidRPr="003B67FB">
        <w:rPr>
          <w:rFonts w:ascii="Bookman Old Style" w:hAnsi="Bookman Old Style"/>
        </w:rPr>
        <w:t xml:space="preserve">    F. Settlement Agreements and Subsequent Betrayal</w:t>
      </w:r>
    </w:p>
    <w:p w14:paraId="57048F53" w14:textId="77777777" w:rsidR="00EA2097" w:rsidRPr="003B67FB" w:rsidRDefault="00000000">
      <w:pPr>
        <w:pStyle w:val="ListBullet"/>
        <w:rPr>
          <w:rFonts w:ascii="Bookman Old Style" w:hAnsi="Bookman Old Style"/>
        </w:rPr>
      </w:pPr>
      <w:r w:rsidRPr="003B67FB">
        <w:rPr>
          <w:rFonts w:ascii="Bookman Old Style" w:hAnsi="Bookman Old Style"/>
        </w:rPr>
        <w:t xml:space="preserve">    G. Defective Preliminary Investigation</w:t>
      </w:r>
    </w:p>
    <w:p w14:paraId="64FB4BD3" w14:textId="77777777" w:rsidR="00EA2097" w:rsidRPr="003B67FB" w:rsidRDefault="00000000">
      <w:pPr>
        <w:pStyle w:val="ListBullet"/>
        <w:rPr>
          <w:rFonts w:ascii="Bookman Old Style" w:hAnsi="Bookman Old Style"/>
        </w:rPr>
      </w:pPr>
      <w:r w:rsidRPr="003B67FB">
        <w:rPr>
          <w:rFonts w:ascii="Bookman Old Style" w:hAnsi="Bookman Old Style"/>
        </w:rPr>
        <w:t xml:space="preserve">    H. Arrest, Detention, and Bail</w:t>
      </w:r>
    </w:p>
    <w:p w14:paraId="1798D457" w14:textId="77777777" w:rsidR="00EA2097" w:rsidRPr="003B67FB" w:rsidRDefault="00000000">
      <w:pPr>
        <w:pStyle w:val="ListNumber"/>
        <w:rPr>
          <w:rFonts w:ascii="Bookman Old Style" w:hAnsi="Bookman Old Style"/>
        </w:rPr>
      </w:pPr>
      <w:r w:rsidRPr="003B67FB">
        <w:rPr>
          <w:rFonts w:ascii="Bookman Old Style" w:hAnsi="Bookman Old Style"/>
        </w:rPr>
        <w:t>PART III: THE LANDMARK SUPREME COURT RULING - G.R. NO. 264870</w:t>
      </w:r>
    </w:p>
    <w:p w14:paraId="5D16DCA7" w14:textId="77777777" w:rsidR="00EA2097" w:rsidRPr="003B67FB" w:rsidRDefault="00000000">
      <w:pPr>
        <w:pStyle w:val="ListBullet"/>
        <w:rPr>
          <w:rFonts w:ascii="Bookman Old Style" w:hAnsi="Bookman Old Style"/>
        </w:rPr>
      </w:pPr>
      <w:r w:rsidRPr="003B67FB">
        <w:rPr>
          <w:rFonts w:ascii="Bookman Old Style" w:hAnsi="Bookman Old Style"/>
        </w:rPr>
        <w:t xml:space="preserve">    A. Background and Context of the Case</w:t>
      </w:r>
    </w:p>
    <w:p w14:paraId="511BE4B5" w14:textId="77777777" w:rsidR="00EA2097" w:rsidRPr="003B67FB" w:rsidRDefault="00000000">
      <w:pPr>
        <w:pStyle w:val="ListBullet"/>
        <w:rPr>
          <w:rFonts w:ascii="Bookman Old Style" w:hAnsi="Bookman Old Style"/>
        </w:rPr>
      </w:pPr>
      <w:r w:rsidRPr="003B67FB">
        <w:rPr>
          <w:rFonts w:ascii="Bookman Old Style" w:hAnsi="Bookman Old Style"/>
        </w:rPr>
        <w:t xml:space="preserve">    B. The Revolutionary Legal Holding</w:t>
      </w:r>
    </w:p>
    <w:p w14:paraId="3621DF21" w14:textId="77777777" w:rsidR="00EA2097" w:rsidRPr="003B67FB" w:rsidRDefault="00000000">
      <w:pPr>
        <w:pStyle w:val="ListBullet"/>
        <w:rPr>
          <w:rFonts w:ascii="Bookman Old Style" w:hAnsi="Bookman Old Style"/>
        </w:rPr>
      </w:pPr>
      <w:r w:rsidRPr="003B67FB">
        <w:rPr>
          <w:rFonts w:ascii="Bookman Old Style" w:hAnsi="Bookman Old Style"/>
        </w:rPr>
        <w:t xml:space="preserve">    C. Justice Leonen's Comprehensive Legal Analysis</w:t>
      </w:r>
    </w:p>
    <w:p w14:paraId="4C79B3A1" w14:textId="77777777" w:rsidR="00EA2097" w:rsidRPr="003B67FB" w:rsidRDefault="00000000">
      <w:pPr>
        <w:pStyle w:val="ListBullet"/>
        <w:rPr>
          <w:rFonts w:ascii="Bookman Old Style" w:hAnsi="Bookman Old Style"/>
        </w:rPr>
      </w:pPr>
      <w:r w:rsidRPr="003B67FB">
        <w:rPr>
          <w:rFonts w:ascii="Bookman Old Style" w:hAnsi="Bookman Old Style"/>
        </w:rPr>
        <w:t xml:space="preserve">    D. The Wife's Recantation and Its Significance</w:t>
      </w:r>
    </w:p>
    <w:p w14:paraId="73ECFBA1" w14:textId="77777777" w:rsidR="00EA2097" w:rsidRPr="003B67FB" w:rsidRDefault="00000000">
      <w:pPr>
        <w:pStyle w:val="ListBullet"/>
        <w:rPr>
          <w:rFonts w:ascii="Bookman Old Style" w:hAnsi="Bookman Old Style"/>
        </w:rPr>
      </w:pPr>
      <w:r w:rsidRPr="003B67FB">
        <w:rPr>
          <w:rFonts w:ascii="Bookman Old Style" w:hAnsi="Bookman Old Style"/>
        </w:rPr>
        <w:t xml:space="preserve">    E. Direct Application to the Present Case</w:t>
      </w:r>
    </w:p>
    <w:p w14:paraId="657E4F04" w14:textId="77777777" w:rsidR="00EA2097" w:rsidRPr="003B67FB" w:rsidRDefault="00000000">
      <w:pPr>
        <w:pStyle w:val="ListBullet"/>
        <w:rPr>
          <w:rFonts w:ascii="Bookman Old Style" w:hAnsi="Bookman Old Style"/>
        </w:rPr>
      </w:pPr>
      <w:r w:rsidRPr="003B67FB">
        <w:rPr>
          <w:rFonts w:ascii="Bookman Old Style" w:hAnsi="Bookman Old Style"/>
        </w:rPr>
        <w:t xml:space="preserve">    F. Implications for Philippine Family Law</w:t>
      </w:r>
    </w:p>
    <w:p w14:paraId="39AA2C23" w14:textId="77777777" w:rsidR="00EA2097" w:rsidRPr="003B67FB" w:rsidRDefault="00000000">
      <w:pPr>
        <w:pStyle w:val="ListNumber"/>
        <w:rPr>
          <w:rFonts w:ascii="Bookman Old Style" w:hAnsi="Bookman Old Style"/>
        </w:rPr>
      </w:pPr>
      <w:r w:rsidRPr="003B67FB">
        <w:rPr>
          <w:rFonts w:ascii="Bookman Old Style" w:hAnsi="Bookman Old Style"/>
        </w:rPr>
        <w:t>PART IV: COMPREHENSIVE SUBSTANTIVE LEGAL DEFENSES</w:t>
      </w:r>
    </w:p>
    <w:p w14:paraId="506C12D4" w14:textId="77777777" w:rsidR="00EA2097" w:rsidRPr="003B67FB" w:rsidRDefault="00000000">
      <w:pPr>
        <w:pStyle w:val="ListBullet"/>
        <w:rPr>
          <w:rFonts w:ascii="Bookman Old Style" w:hAnsi="Bookman Old Style"/>
        </w:rPr>
      </w:pPr>
      <w:r w:rsidRPr="003B67FB">
        <w:rPr>
          <w:rFonts w:ascii="Bookman Old Style" w:hAnsi="Bookman Old Style"/>
        </w:rPr>
        <w:t xml:space="preserve">    A. Failure to Establish Essential Elements of Section 5(i)</w:t>
      </w:r>
    </w:p>
    <w:p w14:paraId="5D1B403B" w14:textId="77777777" w:rsidR="00EA2097" w:rsidRPr="003B67FB" w:rsidRDefault="00000000">
      <w:pPr>
        <w:pStyle w:val="ListBullet"/>
        <w:rPr>
          <w:rFonts w:ascii="Bookman Old Style" w:hAnsi="Bookman Old Style"/>
        </w:rPr>
      </w:pPr>
      <w:r w:rsidRPr="003B67FB">
        <w:rPr>
          <w:rFonts w:ascii="Bookman Old Style" w:hAnsi="Bookman Old Style"/>
        </w:rPr>
        <w:t xml:space="preserve">    B. Valid Islamic Divorce Under Presidential Decree No. 1083</w:t>
      </w:r>
    </w:p>
    <w:p w14:paraId="797C02E1" w14:textId="77777777" w:rsidR="00EA2097" w:rsidRPr="003B67FB" w:rsidRDefault="00000000">
      <w:pPr>
        <w:pStyle w:val="ListBullet"/>
        <w:rPr>
          <w:rFonts w:ascii="Bookman Old Style" w:hAnsi="Bookman Old Style"/>
        </w:rPr>
      </w:pPr>
      <w:r w:rsidRPr="003B67FB">
        <w:rPr>
          <w:rFonts w:ascii="Bookman Old Style" w:hAnsi="Bookman Old Style"/>
        </w:rPr>
        <w:t xml:space="preserve">    C. Grave Violation of Constitutional Due Process Rights</w:t>
      </w:r>
    </w:p>
    <w:p w14:paraId="25875DB6" w14:textId="77777777" w:rsidR="00EA2097" w:rsidRPr="003B67FB" w:rsidRDefault="00000000">
      <w:pPr>
        <w:pStyle w:val="ListBullet"/>
        <w:rPr>
          <w:rFonts w:ascii="Bookman Old Style" w:hAnsi="Bookman Old Style"/>
        </w:rPr>
      </w:pPr>
      <w:r w:rsidRPr="003B67FB">
        <w:rPr>
          <w:rFonts w:ascii="Bookman Old Style" w:hAnsi="Bookman Old Style"/>
        </w:rPr>
        <w:t xml:space="preserve">    D. Settlement Agreements, Estoppel, and Waiver</w:t>
      </w:r>
    </w:p>
    <w:p w14:paraId="5522DF37" w14:textId="77777777" w:rsidR="00EA2097" w:rsidRPr="003B67FB" w:rsidRDefault="00000000">
      <w:pPr>
        <w:pStyle w:val="ListBullet"/>
        <w:rPr>
          <w:rFonts w:ascii="Bookman Old Style" w:hAnsi="Bookman Old Style"/>
        </w:rPr>
      </w:pPr>
      <w:r w:rsidRPr="003B67FB">
        <w:rPr>
          <w:rFonts w:ascii="Bookman Old Style" w:hAnsi="Bookman Old Style"/>
        </w:rPr>
        <w:t xml:space="preserve">    E. Lack of Criminal Intent (Mens Rea)</w:t>
      </w:r>
    </w:p>
    <w:p w14:paraId="35DA217D" w14:textId="77777777" w:rsidR="00EA2097" w:rsidRPr="003B67FB" w:rsidRDefault="00000000">
      <w:pPr>
        <w:pStyle w:val="ListBullet"/>
        <w:rPr>
          <w:rFonts w:ascii="Bookman Old Style" w:hAnsi="Bookman Old Style"/>
        </w:rPr>
      </w:pPr>
      <w:r w:rsidRPr="003B67FB">
        <w:rPr>
          <w:rFonts w:ascii="Bookman Old Style" w:hAnsi="Bookman Old Style"/>
        </w:rPr>
        <w:t xml:space="preserve">    F. Prescription and Laches</w:t>
      </w:r>
    </w:p>
    <w:p w14:paraId="0C439074" w14:textId="77777777" w:rsidR="00EA2097" w:rsidRPr="003B67FB" w:rsidRDefault="00000000">
      <w:pPr>
        <w:pStyle w:val="ListNumber"/>
        <w:rPr>
          <w:rFonts w:ascii="Bookman Old Style" w:hAnsi="Bookman Old Style"/>
        </w:rPr>
      </w:pPr>
      <w:r w:rsidRPr="003B67FB">
        <w:rPr>
          <w:rFonts w:ascii="Bookman Old Style" w:hAnsi="Bookman Old Style"/>
        </w:rPr>
        <w:t>PART V: BOONY'S EXTENSIVE CRIMINAL LIABILITIES</w:t>
      </w:r>
    </w:p>
    <w:p w14:paraId="17097607" w14:textId="77777777" w:rsidR="00EA2097" w:rsidRPr="003B67FB" w:rsidRDefault="00000000">
      <w:pPr>
        <w:pStyle w:val="ListBullet"/>
        <w:rPr>
          <w:rFonts w:ascii="Bookman Old Style" w:hAnsi="Bookman Old Style"/>
        </w:rPr>
      </w:pPr>
      <w:r w:rsidRPr="003B67FB">
        <w:rPr>
          <w:rFonts w:ascii="Bookman Old Style" w:hAnsi="Bookman Old Style"/>
        </w:rPr>
        <w:t xml:space="preserve">    A. Cyber Libel Under Republic Act No. 10175</w:t>
      </w:r>
    </w:p>
    <w:p w14:paraId="6101B3BF" w14:textId="77777777" w:rsidR="00EA2097" w:rsidRPr="003B67FB" w:rsidRDefault="00000000">
      <w:pPr>
        <w:pStyle w:val="ListBullet"/>
        <w:rPr>
          <w:rFonts w:ascii="Bookman Old Style" w:hAnsi="Bookman Old Style"/>
        </w:rPr>
      </w:pPr>
      <w:r w:rsidRPr="003B67FB">
        <w:rPr>
          <w:rFonts w:ascii="Bookman Old Style" w:hAnsi="Bookman Old Style"/>
        </w:rPr>
        <w:t xml:space="preserve">    B. Gender-Based Online Sexual Harassment Under RA 11313</w:t>
      </w:r>
    </w:p>
    <w:p w14:paraId="195991FD" w14:textId="77777777" w:rsidR="00EA2097" w:rsidRPr="003B67FB" w:rsidRDefault="00000000">
      <w:pPr>
        <w:pStyle w:val="ListBullet"/>
        <w:rPr>
          <w:rFonts w:ascii="Bookman Old Style" w:hAnsi="Bookman Old Style"/>
        </w:rPr>
      </w:pPr>
      <w:r w:rsidRPr="003B67FB">
        <w:rPr>
          <w:rFonts w:ascii="Bookman Old Style" w:hAnsi="Bookman Old Style"/>
        </w:rPr>
        <w:t xml:space="preserve">    C. Violations of the Data Privacy Act (RA 10173)</w:t>
      </w:r>
    </w:p>
    <w:p w14:paraId="1C424418" w14:textId="77777777" w:rsidR="00EA2097" w:rsidRPr="003B67FB" w:rsidRDefault="00000000">
      <w:pPr>
        <w:pStyle w:val="ListBullet"/>
        <w:rPr>
          <w:rFonts w:ascii="Bookman Old Style" w:hAnsi="Bookman Old Style"/>
        </w:rPr>
      </w:pPr>
      <w:r w:rsidRPr="003B67FB">
        <w:rPr>
          <w:rFonts w:ascii="Bookman Old Style" w:hAnsi="Bookman Old Style"/>
        </w:rPr>
        <w:t xml:space="preserve">    D. Theft Under the Revised Penal Code</w:t>
      </w:r>
    </w:p>
    <w:p w14:paraId="353B1480" w14:textId="77777777" w:rsidR="00EA2097" w:rsidRPr="003B67FB" w:rsidRDefault="00000000">
      <w:pPr>
        <w:pStyle w:val="ListBullet"/>
        <w:rPr>
          <w:rFonts w:ascii="Bookman Old Style" w:hAnsi="Bookman Old Style"/>
        </w:rPr>
      </w:pPr>
      <w:r w:rsidRPr="003B67FB">
        <w:rPr>
          <w:rFonts w:ascii="Bookman Old Style" w:hAnsi="Bookman Old Style"/>
        </w:rPr>
        <w:t xml:space="preserve">    E. Malicious Prosecution and Abuse of Process</w:t>
      </w:r>
    </w:p>
    <w:p w14:paraId="368E4CCA" w14:textId="77777777" w:rsidR="00EA2097" w:rsidRPr="003B67FB" w:rsidRDefault="00000000">
      <w:pPr>
        <w:pStyle w:val="ListBullet"/>
        <w:rPr>
          <w:rFonts w:ascii="Bookman Old Style" w:hAnsi="Bookman Old Style"/>
        </w:rPr>
      </w:pPr>
      <w:r w:rsidRPr="003B67FB">
        <w:rPr>
          <w:rFonts w:ascii="Bookman Old Style" w:hAnsi="Bookman Old Style"/>
        </w:rPr>
        <w:t xml:space="preserve">    F. Workplace Harassment and Tortious Interference</w:t>
      </w:r>
    </w:p>
    <w:p w14:paraId="0C24B681" w14:textId="77777777" w:rsidR="00EA2097" w:rsidRPr="003B67FB" w:rsidRDefault="00000000">
      <w:pPr>
        <w:pStyle w:val="ListBullet"/>
        <w:rPr>
          <w:rFonts w:ascii="Bookman Old Style" w:hAnsi="Bookman Old Style"/>
        </w:rPr>
      </w:pPr>
      <w:r w:rsidRPr="003B67FB">
        <w:rPr>
          <w:rFonts w:ascii="Bookman Old Style" w:hAnsi="Bookman Old Style"/>
        </w:rPr>
        <w:lastRenderedPageBreak/>
        <w:t xml:space="preserve">    G. Violation of Barangay Protection Order</w:t>
      </w:r>
    </w:p>
    <w:p w14:paraId="777A3386" w14:textId="77777777" w:rsidR="00EA2097" w:rsidRPr="003B67FB" w:rsidRDefault="00000000">
      <w:pPr>
        <w:pStyle w:val="ListBullet"/>
        <w:rPr>
          <w:rFonts w:ascii="Bookman Old Style" w:hAnsi="Bookman Old Style"/>
        </w:rPr>
      </w:pPr>
      <w:r w:rsidRPr="003B67FB">
        <w:rPr>
          <w:rFonts w:ascii="Bookman Old Style" w:hAnsi="Bookman Old Style"/>
        </w:rPr>
        <w:t xml:space="preserve">    H. Perjury and False Testimony</w:t>
      </w:r>
    </w:p>
    <w:p w14:paraId="26179285" w14:textId="77777777" w:rsidR="00EA2097" w:rsidRPr="003B67FB" w:rsidRDefault="00000000">
      <w:pPr>
        <w:pStyle w:val="ListNumber"/>
        <w:rPr>
          <w:rFonts w:ascii="Bookman Old Style" w:hAnsi="Bookman Old Style"/>
        </w:rPr>
      </w:pPr>
      <w:r w:rsidRPr="003B67FB">
        <w:rPr>
          <w:rFonts w:ascii="Bookman Old Style" w:hAnsi="Bookman Old Style"/>
        </w:rPr>
        <w:t>PART VI: COMPREHENSIVE PENALTIES ANALYSIS</w:t>
      </w:r>
    </w:p>
    <w:p w14:paraId="715CAEF0" w14:textId="77777777" w:rsidR="00EA2097" w:rsidRPr="003B67FB" w:rsidRDefault="00000000">
      <w:pPr>
        <w:pStyle w:val="ListBullet"/>
        <w:rPr>
          <w:rFonts w:ascii="Bookman Old Style" w:hAnsi="Bookman Old Style"/>
        </w:rPr>
      </w:pPr>
      <w:r w:rsidRPr="003B67FB">
        <w:rPr>
          <w:rFonts w:ascii="Bookman Old Style" w:hAnsi="Bookman Old Style"/>
        </w:rPr>
        <w:t xml:space="preserve">    A. Potential Penalties if ANDY is Wrongfully Convicted</w:t>
      </w:r>
    </w:p>
    <w:p w14:paraId="0BB016FD" w14:textId="77777777" w:rsidR="00EA2097" w:rsidRPr="003B67FB" w:rsidRDefault="00000000">
      <w:pPr>
        <w:pStyle w:val="ListBullet"/>
        <w:rPr>
          <w:rFonts w:ascii="Bookman Old Style" w:hAnsi="Bookman Old Style"/>
        </w:rPr>
      </w:pPr>
      <w:r w:rsidRPr="003B67FB">
        <w:rPr>
          <w:rFonts w:ascii="Bookman Old Style" w:hAnsi="Bookman Old Style"/>
        </w:rPr>
        <w:t xml:space="preserve">    B. Detailed Analysis of Penalties for BOONY's Violations</w:t>
      </w:r>
    </w:p>
    <w:p w14:paraId="7D6EADAA" w14:textId="77777777" w:rsidR="00EA2097" w:rsidRPr="003B67FB" w:rsidRDefault="00000000">
      <w:pPr>
        <w:pStyle w:val="ListBullet"/>
        <w:rPr>
          <w:rFonts w:ascii="Bookman Old Style" w:hAnsi="Bookman Old Style"/>
        </w:rPr>
      </w:pPr>
      <w:r w:rsidRPr="003B67FB">
        <w:rPr>
          <w:rFonts w:ascii="Bookman Old Style" w:hAnsi="Bookman Old Style"/>
        </w:rPr>
        <w:t xml:space="preserve">    C. Comparative Analysis of Criminal Liability</w:t>
      </w:r>
    </w:p>
    <w:p w14:paraId="1A095715" w14:textId="77777777" w:rsidR="00EA2097" w:rsidRPr="003B67FB" w:rsidRDefault="00000000">
      <w:pPr>
        <w:pStyle w:val="ListNumber"/>
        <w:rPr>
          <w:rFonts w:ascii="Bookman Old Style" w:hAnsi="Bookman Old Style"/>
        </w:rPr>
      </w:pPr>
      <w:r w:rsidRPr="003B67FB">
        <w:rPr>
          <w:rFonts w:ascii="Bookman Old Style" w:hAnsi="Bookman Old Style"/>
        </w:rPr>
        <w:t>PART VII: DETAILED DEFENSE STRATEGIES AND REMEDIES</w:t>
      </w:r>
    </w:p>
    <w:p w14:paraId="735E91EC" w14:textId="77777777" w:rsidR="00EA2097" w:rsidRPr="003B67FB" w:rsidRDefault="00000000">
      <w:pPr>
        <w:pStyle w:val="ListBullet"/>
        <w:rPr>
          <w:rFonts w:ascii="Bookman Old Style" w:hAnsi="Bookman Old Style"/>
        </w:rPr>
      </w:pPr>
      <w:r w:rsidRPr="003B67FB">
        <w:rPr>
          <w:rFonts w:ascii="Bookman Old Style" w:hAnsi="Bookman Old Style"/>
        </w:rPr>
        <w:t xml:space="preserve">    A. Pre-Trial Remedies</w:t>
      </w:r>
    </w:p>
    <w:p w14:paraId="0E110E03" w14:textId="77777777" w:rsidR="00EA2097" w:rsidRPr="003B67FB" w:rsidRDefault="00000000">
      <w:pPr>
        <w:pStyle w:val="ListBullet"/>
        <w:rPr>
          <w:rFonts w:ascii="Bookman Old Style" w:hAnsi="Bookman Old Style"/>
        </w:rPr>
      </w:pPr>
      <w:r w:rsidRPr="003B67FB">
        <w:rPr>
          <w:rFonts w:ascii="Bookman Old Style" w:hAnsi="Bookman Old Style"/>
        </w:rPr>
        <w:t xml:space="preserve">    B. Trial Strategy</w:t>
      </w:r>
    </w:p>
    <w:p w14:paraId="3F53458F" w14:textId="77777777" w:rsidR="00EA2097" w:rsidRPr="003B67FB" w:rsidRDefault="00000000">
      <w:pPr>
        <w:pStyle w:val="ListBullet"/>
        <w:rPr>
          <w:rFonts w:ascii="Bookman Old Style" w:hAnsi="Bookman Old Style"/>
        </w:rPr>
      </w:pPr>
      <w:r w:rsidRPr="003B67FB">
        <w:rPr>
          <w:rFonts w:ascii="Bookman Old Style" w:hAnsi="Bookman Old Style"/>
        </w:rPr>
        <w:t xml:space="preserve">    C. Post-Conviction Remedies</w:t>
      </w:r>
    </w:p>
    <w:p w14:paraId="78A048D3" w14:textId="77777777" w:rsidR="00EA2097" w:rsidRPr="003B67FB" w:rsidRDefault="00000000">
      <w:pPr>
        <w:pStyle w:val="ListBullet"/>
        <w:rPr>
          <w:rFonts w:ascii="Bookman Old Style" w:hAnsi="Bookman Old Style"/>
        </w:rPr>
      </w:pPr>
      <w:r w:rsidRPr="003B67FB">
        <w:rPr>
          <w:rFonts w:ascii="Bookman Old Style" w:hAnsi="Bookman Old Style"/>
        </w:rPr>
        <w:t xml:space="preserve">    D. Offensive Strategy Against BOONY</w:t>
      </w:r>
    </w:p>
    <w:p w14:paraId="3816CA9A" w14:textId="77777777" w:rsidR="00EA2097" w:rsidRPr="003B67FB" w:rsidRDefault="00000000">
      <w:pPr>
        <w:pStyle w:val="ListNumber"/>
        <w:rPr>
          <w:rFonts w:ascii="Bookman Old Style" w:hAnsi="Bookman Old Style"/>
        </w:rPr>
      </w:pPr>
      <w:r w:rsidRPr="003B67FB">
        <w:rPr>
          <w:rFonts w:ascii="Bookman Old Style" w:hAnsi="Bookman Old Style"/>
        </w:rPr>
        <w:t>PART VIII: DETAILED LEGAL PROVISIONS AND COMPLETE CITATIONS</w:t>
      </w:r>
    </w:p>
    <w:p w14:paraId="5D674AD6" w14:textId="77777777" w:rsidR="00EA2097" w:rsidRPr="003B67FB" w:rsidRDefault="00000000">
      <w:pPr>
        <w:pStyle w:val="ListNumber"/>
        <w:rPr>
          <w:rFonts w:ascii="Bookman Old Style" w:hAnsi="Bookman Old Style"/>
        </w:rPr>
      </w:pPr>
      <w:r w:rsidRPr="003B67FB">
        <w:rPr>
          <w:rFonts w:ascii="Bookman Old Style" w:hAnsi="Bookman Old Style"/>
        </w:rPr>
        <w:t>PART IX: CONCLUSION AND PRAYER FOR RELIEF</w:t>
      </w:r>
    </w:p>
    <w:p w14:paraId="5EAEEC3A" w14:textId="77777777" w:rsidR="00EA2097" w:rsidRPr="003B67FB" w:rsidRDefault="00000000">
      <w:pPr>
        <w:pStyle w:val="ListNumber"/>
        <w:rPr>
          <w:rFonts w:ascii="Bookman Old Style" w:hAnsi="Bookman Old Style"/>
        </w:rPr>
      </w:pPr>
      <w:r w:rsidRPr="003B67FB">
        <w:rPr>
          <w:rFonts w:ascii="Bookman Old Style" w:hAnsi="Bookman Old Style"/>
        </w:rPr>
        <w:t>APPENDICES</w:t>
      </w:r>
    </w:p>
    <w:p w14:paraId="77A949E7" w14:textId="77777777" w:rsidR="00EA2097" w:rsidRPr="003B67FB" w:rsidRDefault="00000000">
      <w:pPr>
        <w:rPr>
          <w:rFonts w:ascii="Bookman Old Style" w:hAnsi="Bookman Old Style"/>
        </w:rPr>
      </w:pPr>
      <w:r w:rsidRPr="003B67FB">
        <w:rPr>
          <w:rFonts w:ascii="Bookman Old Style" w:hAnsi="Bookman Old Style"/>
        </w:rPr>
        <w:br w:type="page"/>
      </w:r>
    </w:p>
    <w:p w14:paraId="34852525" w14:textId="77777777" w:rsidR="00EA2097" w:rsidRPr="003B67FB" w:rsidRDefault="00000000">
      <w:pPr>
        <w:pStyle w:val="Heading1"/>
        <w:rPr>
          <w:rFonts w:ascii="Bookman Old Style" w:hAnsi="Bookman Old Style"/>
        </w:rPr>
      </w:pPr>
      <w:r w:rsidRPr="003B67FB">
        <w:rPr>
          <w:rFonts w:ascii="Bookman Old Style" w:hAnsi="Bookman Old Style"/>
        </w:rPr>
        <w:lastRenderedPageBreak/>
        <w:t>PART I: EXECUTIVE SUMMARY</w:t>
      </w:r>
    </w:p>
    <w:p w14:paraId="72EECA70" w14:textId="77777777" w:rsidR="00EA2097" w:rsidRPr="003B67FB" w:rsidRDefault="00000000">
      <w:pPr>
        <w:rPr>
          <w:rFonts w:ascii="Bookman Old Style" w:hAnsi="Bookman Old Style"/>
        </w:rPr>
      </w:pPr>
      <w:r w:rsidRPr="003B67FB">
        <w:rPr>
          <w:rFonts w:ascii="Bookman Old Style" w:hAnsi="Bookman Old Style"/>
          <w:b/>
        </w:rPr>
        <w:t>Overview of the Case</w:t>
      </w:r>
    </w:p>
    <w:p w14:paraId="4DD92E43" w14:textId="77777777" w:rsidR="00EA2097" w:rsidRPr="003B67FB" w:rsidRDefault="00000000">
      <w:pPr>
        <w:rPr>
          <w:rFonts w:ascii="Bookman Old Style" w:hAnsi="Bookman Old Style"/>
        </w:rPr>
      </w:pPr>
      <w:r w:rsidRPr="003B67FB">
        <w:rPr>
          <w:rFonts w:ascii="Bookman Old Style" w:hAnsi="Bookman Old Style"/>
        </w:rPr>
        <w:t>This comprehensive legal memorandum presents a detailed analysis demonstrating that the criminal charges filed against ANDY for alleged violation of Section 5(i) of Republic Act No. 9262 (Anti-Violence Against Women and Their Children Act of 2004) must be dismissed on multiple independent, compelling, and dispositive grounds. Each ground standing alone is sufficient to warrant complete dismissal of the charges; collectively, they present an overwhelming case for immediate acquittal and exoneration.</w:t>
      </w:r>
    </w:p>
    <w:p w14:paraId="1FD098AF" w14:textId="77777777" w:rsidR="00EA2097" w:rsidRPr="003B67FB" w:rsidRDefault="00000000">
      <w:pPr>
        <w:pStyle w:val="Heading2"/>
        <w:rPr>
          <w:rFonts w:ascii="Bookman Old Style" w:hAnsi="Bookman Old Style"/>
        </w:rPr>
      </w:pPr>
      <w:r w:rsidRPr="003B67FB">
        <w:rPr>
          <w:rFonts w:ascii="Bookman Old Style" w:hAnsi="Bookman Old Style"/>
        </w:rPr>
        <w:t>The Five Pillars of Defense</w:t>
      </w:r>
    </w:p>
    <w:p w14:paraId="207E2AF9" w14:textId="77777777" w:rsidR="00EA2097" w:rsidRPr="003B67FB" w:rsidRDefault="00000000">
      <w:pPr>
        <w:pStyle w:val="Heading3"/>
        <w:rPr>
          <w:rFonts w:ascii="Bookman Old Style" w:hAnsi="Bookman Old Style"/>
        </w:rPr>
      </w:pPr>
      <w:r w:rsidRPr="003B67FB">
        <w:rPr>
          <w:rFonts w:ascii="Bookman Old Style" w:hAnsi="Bookman Old Style"/>
        </w:rPr>
        <w:t>First Pillar: The Landmark G.R. No. 264870 Ruling</w:t>
      </w:r>
    </w:p>
    <w:p w14:paraId="23434B2E" w14:textId="77777777" w:rsidR="00EA2097" w:rsidRPr="003B67FB" w:rsidRDefault="00000000">
      <w:pPr>
        <w:rPr>
          <w:rFonts w:ascii="Bookman Old Style" w:hAnsi="Bookman Old Style"/>
        </w:rPr>
      </w:pPr>
      <w:r w:rsidRPr="003B67FB">
        <w:rPr>
          <w:rFonts w:ascii="Bookman Old Style" w:hAnsi="Bookman Old Style"/>
        </w:rPr>
        <w:t>On April 21, 2025, the Supreme Court's Second Division, through Justice Marvic M.V.F. Leonen, issued a revolutionary and paradigm-shifting decision in G.R. No. 264870 that fundamentally reinterprets Section 5(i) of Republic Act No. 9262. This landmark ruling establishes unequivocally that marital infidelity, standing alone without additional proof of coercive intent, pattern of domination, or abuse of power, does not constitute psychological violence criminalized under RA 9262. The Court held that the State has no business interfering in private experiences of heartbreak that do not involve systematic abuse or coercion. The prosecution must now prove not merely that an affair occurred and caused emotional distress, but that: (1) the accused acted with specific intent to cause psychological harm; (2) the conduct was part of a systematic pattern of domination or control; and (3) the behavior constituted an abuse of power within the intimate relationship rather than a private relationship choice. The present case fails all three requirements.</w:t>
      </w:r>
    </w:p>
    <w:p w14:paraId="67A7EA71" w14:textId="77777777" w:rsidR="00EA2097" w:rsidRPr="003B67FB" w:rsidRDefault="00000000">
      <w:pPr>
        <w:pStyle w:val="Heading3"/>
        <w:rPr>
          <w:rFonts w:ascii="Bookman Old Style" w:hAnsi="Bookman Old Style"/>
        </w:rPr>
      </w:pPr>
      <w:r w:rsidRPr="003B67FB">
        <w:rPr>
          <w:rFonts w:ascii="Bookman Old Style" w:hAnsi="Bookman Old Style"/>
        </w:rPr>
        <w:t>Second Pillar: Valid Islamic Divorce Under Presidential Decree No. 1083</w:t>
      </w:r>
    </w:p>
    <w:p w14:paraId="2FD9DCE0" w14:textId="77777777" w:rsidR="00EA2097" w:rsidRPr="003B67FB" w:rsidRDefault="00000000">
      <w:pPr>
        <w:rPr>
          <w:rFonts w:ascii="Bookman Old Style" w:hAnsi="Bookman Old Style"/>
        </w:rPr>
      </w:pPr>
      <w:r w:rsidRPr="003B67FB">
        <w:rPr>
          <w:rFonts w:ascii="Bookman Old Style" w:hAnsi="Bookman Old Style"/>
        </w:rPr>
        <w:t xml:space="preserve">ANDY and BOONY were married under Muslim rites and their marriage is governed exclusively by Presidential Decree No. 1083, the Code of Muslim Personal Laws of the Philippines. On January 23, 2025, ANDY validly pronounced talaq (Islamic divorce) to BOONY in full compliance with Articles 45 and 46 of PD 1083. BOONY accepted the talaq and voluntarily left their shared dwelling. Under Article 57 of PD 1083, BOONY was obligated to observe an idda (waiting period) of three </w:t>
      </w:r>
      <w:r w:rsidRPr="003B67FB">
        <w:rPr>
          <w:rFonts w:ascii="Bookman Old Style" w:hAnsi="Bookman Old Style"/>
        </w:rPr>
        <w:lastRenderedPageBreak/>
        <w:t>monthly courses, approximately 90 days. This period expired around April 23, 2025, at which point the talaq became absolutely and irrevocably final under Article 46(1), completely severing all marital bonds and discontinuing all mutual rights and obligations under Article 54.</w:t>
      </w:r>
    </w:p>
    <w:p w14:paraId="53FB3F76" w14:textId="77777777" w:rsidR="00EA2097" w:rsidRPr="003B67FB" w:rsidRDefault="00000000">
      <w:pPr>
        <w:rPr>
          <w:rFonts w:ascii="Bookman Old Style" w:hAnsi="Bookman Old Style"/>
        </w:rPr>
      </w:pPr>
      <w:r w:rsidRPr="003B67FB">
        <w:rPr>
          <w:rFonts w:ascii="Bookman Old Style" w:hAnsi="Bookman Old Style"/>
        </w:rPr>
        <w:t>The critical chronology establishes that: (1) The talaq was pronounced on January 23, 2025; (2) The alleged acts of psychological violence occurred on February 12, 2025, which was after the talaq but during the idda period; (3) The idda period expired on approximately April 23, 2025, rendering the divorce irrevocable; and (4) The criminal complaint was filed on May 21, 2025, nearly one month after the divorce became final and irrevocable. Since the alleged acts occurred after ANDY pronounced talaq and BOONY accepted it, and since the criminal case was filed after the divorce became absolutely final, BOONY was no longer ANDY's wife for purposes of RA 9262. The Supreme Court in G.R. No. 264870 explicitly recognized that in situations involving separated or divorced parties, extramarital relationships may not inflict punishable mental or emotional suffering.</w:t>
      </w:r>
    </w:p>
    <w:p w14:paraId="68BE73A5" w14:textId="77777777" w:rsidR="00EA2097" w:rsidRPr="003B67FB" w:rsidRDefault="00000000">
      <w:pPr>
        <w:pStyle w:val="Heading3"/>
        <w:rPr>
          <w:rFonts w:ascii="Bookman Old Style" w:hAnsi="Bookman Old Style"/>
        </w:rPr>
      </w:pPr>
      <w:r w:rsidRPr="003B67FB">
        <w:rPr>
          <w:rFonts w:ascii="Bookman Old Style" w:hAnsi="Bookman Old Style"/>
        </w:rPr>
        <w:t>Third Pillar: Grave Violation of Constitutional Due Process</w:t>
      </w:r>
    </w:p>
    <w:p w14:paraId="6D6782B7" w14:textId="77777777" w:rsidR="00EA2097" w:rsidRPr="003B67FB" w:rsidRDefault="00000000">
      <w:pPr>
        <w:rPr>
          <w:rFonts w:ascii="Bookman Old Style" w:hAnsi="Bookman Old Style"/>
        </w:rPr>
      </w:pPr>
      <w:r w:rsidRPr="003B67FB">
        <w:rPr>
          <w:rFonts w:ascii="Bookman Old Style" w:hAnsi="Bookman Old Style"/>
        </w:rPr>
        <w:t>The preliminary investigation conducted by the Office of the City Prosecutor was fatally and irreparably defective due to complete failure to properly serve ANDY with a subpoena and provide him with any notice or opportunity to participate in the investigation. The Constitution guarantees that no person shall be deprived of life, liberty, or property without due process of law. In the criminal justice context, due process requires, at an absolute minimum: (1) notice of the charges and evidence; and (2) a meaningful opportunity to be heard and present controverting evidence. ANDY received neither.</w:t>
      </w:r>
    </w:p>
    <w:p w14:paraId="370E9766" w14:textId="77777777" w:rsidR="00EA2097" w:rsidRPr="003B67FB" w:rsidRDefault="00000000">
      <w:pPr>
        <w:rPr>
          <w:rFonts w:ascii="Bookman Old Style" w:hAnsi="Bookman Old Style"/>
        </w:rPr>
      </w:pPr>
      <w:r w:rsidRPr="003B67FB">
        <w:rPr>
          <w:rFonts w:ascii="Bookman Old Style" w:hAnsi="Bookman Old Style"/>
        </w:rPr>
        <w:t xml:space="preserve">The undisputed facts establish that: (1) ANDY never received the subpoena purportedly issued on May 21, 2025; (2) ANDY was never informed about the complaint filed against him; (3) ANDY was never provided copies of BOONY's judicial affidavit or other evidence; (4) ANDY was given absolutely no opportunity to submit a counter-affidavit, controverting evidence, or any defense whatsoever; (5) ANDY first learned of the charges only when a warrant of arrest was served upon him on September 9, 2025, nearly four months after the complaint was filed; and (6) ANDY was arrested and detained for two days based entirely on a </w:t>
      </w:r>
      <w:r w:rsidRPr="003B67FB">
        <w:rPr>
          <w:rFonts w:ascii="Bookman Old Style" w:hAnsi="Bookman Old Style"/>
        </w:rPr>
        <w:lastRenderedPageBreak/>
        <w:t>one-sided investigation conducted without his knowledge or participation.</w:t>
      </w:r>
    </w:p>
    <w:p w14:paraId="45D2F3B4" w14:textId="77777777" w:rsidR="00EA2097" w:rsidRPr="003B67FB" w:rsidRDefault="00000000">
      <w:pPr>
        <w:rPr>
          <w:rFonts w:ascii="Bookman Old Style" w:hAnsi="Bookman Old Style"/>
        </w:rPr>
      </w:pPr>
      <w:r w:rsidRPr="003B67FB">
        <w:rPr>
          <w:rFonts w:ascii="Bookman Old Style" w:hAnsi="Bookman Old Style"/>
        </w:rPr>
        <w:t>The prosecutor's certification that ANDY "was informed of the complaint and of the evidence submitted against him and was given an opportunity to submit controverting evidence" is demonstrably false, a mere boilerplate statement unsupported by any proof of service. Under Palacios v. People, G.R. No. 240676, where service of notice is disputed, the burden is on the party asserting that notice was served to prove it through registry receipts, affidavits of service, or other concrete evidence. No such proof exists. Under Duterte v. Sandiganbayan, conducting a preliminary investigation without proper notice renders the procedure "plainly anomalous and highly irregular" and violates constitutional due process rights. The entire preliminary investigation must be declared null and void.</w:t>
      </w:r>
    </w:p>
    <w:p w14:paraId="48DC1D74" w14:textId="77777777" w:rsidR="00EA2097" w:rsidRPr="003B67FB" w:rsidRDefault="00000000">
      <w:pPr>
        <w:pStyle w:val="Heading3"/>
        <w:rPr>
          <w:rFonts w:ascii="Bookman Old Style" w:hAnsi="Bookman Old Style"/>
        </w:rPr>
      </w:pPr>
      <w:r w:rsidRPr="003B67FB">
        <w:rPr>
          <w:rFonts w:ascii="Bookman Old Style" w:hAnsi="Bookman Old Style"/>
        </w:rPr>
        <w:t>Fourth Pillar: Settlement Agreements and Estoppel</w:t>
      </w:r>
    </w:p>
    <w:p w14:paraId="3F62B58B" w14:textId="77777777" w:rsidR="00EA2097" w:rsidRPr="003B67FB" w:rsidRDefault="00000000">
      <w:pPr>
        <w:rPr>
          <w:rFonts w:ascii="Bookman Old Style" w:hAnsi="Bookman Old Style"/>
        </w:rPr>
      </w:pPr>
      <w:r w:rsidRPr="003B67FB">
        <w:rPr>
          <w:rFonts w:ascii="Bookman Old Style" w:hAnsi="Bookman Old Style"/>
        </w:rPr>
        <w:t>On April 6, 2025, after months of discussion and negotiation, both families met and reached a comprehensive divorce settlement agreement. Under this agreement, ANDY agreed to give BOONY their housing unit in [address], despite the fact that the marriage was not bound by conjugal property ownership under Presidential Decree No. 1083. BOONY was personally present at this family meeting and did not raise any objection to the settlement terms. She accepted the agreement. By her acceptance of this settlement, BOONY: (1) admitted that the marital dispute had been resolved; (2) waived any claims arising from the marriage and its dissolution; and (3) estopped herself from subsequently filing criminal charges for acts that occurred during the period covered by the settlement discussions.</w:t>
      </w:r>
    </w:p>
    <w:p w14:paraId="48DB7D7F" w14:textId="77777777" w:rsidR="00EA2097" w:rsidRPr="003B67FB" w:rsidRDefault="00000000">
      <w:pPr>
        <w:rPr>
          <w:rFonts w:ascii="Bookman Old Style" w:hAnsi="Bookman Old Style"/>
        </w:rPr>
      </w:pPr>
      <w:r w:rsidRPr="003B67FB">
        <w:rPr>
          <w:rFonts w:ascii="Bookman Old Style" w:hAnsi="Bookman Old Style"/>
        </w:rPr>
        <w:t xml:space="preserve">The timeline demonstrates abuse of process: BOONY accepted the talaq on January 23, 2025; agreed to the settlement on April 6, 2025; allowed the idda period to expire making the divorce irrevocable around April 23, 2025; and then maliciously filed criminal charges on May 21, 2025—six weeks after accepting the settlement and one month after the divorce became final. This was not done in pursuit of justice but as retaliation and harassment. After ANDY's arrest and release on bail, another settlement meeting occurred in which BOONY's family indicated peaceful resolution. However, on November 3, 2025, BOONY retracted her agreement to settle peacefully, contrary to the express wishes of her own parents and family members. This pattern of accepting settlements and </w:t>
      </w:r>
      <w:r w:rsidRPr="003B67FB">
        <w:rPr>
          <w:rFonts w:ascii="Bookman Old Style" w:hAnsi="Bookman Old Style"/>
        </w:rPr>
        <w:lastRenderedPageBreak/>
        <w:t>then reneging demonstrates that BOONY is not a genuine victim seeking justice but a vindictive individual weaponizing the legal system for harassment.</w:t>
      </w:r>
    </w:p>
    <w:p w14:paraId="276A4F79" w14:textId="77777777" w:rsidR="00EA2097" w:rsidRPr="003B67FB" w:rsidRDefault="00000000">
      <w:pPr>
        <w:pStyle w:val="Heading3"/>
        <w:rPr>
          <w:rFonts w:ascii="Bookman Old Style" w:hAnsi="Bookman Old Style"/>
        </w:rPr>
      </w:pPr>
      <w:r w:rsidRPr="003B67FB">
        <w:rPr>
          <w:rFonts w:ascii="Bookman Old Style" w:hAnsi="Bookman Old Style"/>
        </w:rPr>
        <w:t>Fifth Pillar: BOONY's Own Extensive Criminal Conduct</w:t>
      </w:r>
    </w:p>
    <w:p w14:paraId="3477A2BC" w14:textId="77777777" w:rsidR="00EA2097" w:rsidRPr="003B67FB" w:rsidRDefault="00000000">
      <w:pPr>
        <w:rPr>
          <w:rFonts w:ascii="Bookman Old Style" w:hAnsi="Bookman Old Style"/>
        </w:rPr>
      </w:pPr>
      <w:r w:rsidRPr="003B67FB">
        <w:rPr>
          <w:rFonts w:ascii="Bookman Old Style" w:hAnsi="Bookman Old Style"/>
        </w:rPr>
        <w:t>The evidence establishes that BOONY herself has committed multiple serious criminal offenses with combined potential penalties that far exceed anything ANDY could face. BOONY engaged in a systematic and deliberate campaign of harassment, character assassination, theft, and abuse of legal processes. Her criminal conduct includes:</w:t>
      </w:r>
    </w:p>
    <w:p w14:paraId="6CAACE9A" w14:textId="77777777" w:rsidR="00EA2097" w:rsidRPr="003B67FB" w:rsidRDefault="00000000">
      <w:pPr>
        <w:rPr>
          <w:rFonts w:ascii="Bookman Old Style" w:hAnsi="Bookman Old Style"/>
        </w:rPr>
      </w:pPr>
      <w:r w:rsidRPr="003B67FB">
        <w:rPr>
          <w:rFonts w:ascii="Bookman Old Style" w:hAnsi="Bookman Old Style"/>
          <w:b/>
        </w:rPr>
        <w:t>Cyber Libel under RA 10175:</w:t>
      </w:r>
      <w:r w:rsidRPr="003B67FB">
        <w:rPr>
          <w:rFonts w:ascii="Bookman Old Style" w:hAnsi="Bookman Old Style"/>
        </w:rPr>
        <w:t xml:space="preserve"> Malicious defamatory imputations through social media and electronic messaging calling ANDY "gay" and repeatedly accusing him of being a "narcissist," causing him public ridicule, dishonor, and contempt. Penalty: 4 years 2 months 1 day to 8 years imprisonment and/or fine up to PHP 1,000,000.</w:t>
      </w:r>
    </w:p>
    <w:p w14:paraId="6FC4CEA5" w14:textId="77777777" w:rsidR="00EA2097" w:rsidRPr="003B67FB" w:rsidRDefault="00000000">
      <w:pPr>
        <w:rPr>
          <w:rFonts w:ascii="Bookman Old Style" w:hAnsi="Bookman Old Style"/>
        </w:rPr>
      </w:pPr>
      <w:r w:rsidRPr="003B67FB">
        <w:rPr>
          <w:rFonts w:ascii="Bookman Old Style" w:hAnsi="Bookman Old Style"/>
          <w:b/>
        </w:rPr>
        <w:t>Gender-Based Online Sexual Harassment under RA 11313:</w:t>
      </w:r>
      <w:r w:rsidRPr="003B67FB">
        <w:rPr>
          <w:rFonts w:ascii="Bookman Old Style" w:hAnsi="Bookman Old Style"/>
        </w:rPr>
        <w:t xml:space="preserve"> Making unwanted homophobic remarks and slurs against ANDY online, violating the Safe Spaces Act. Penalty: 2 months 1 day to 4 months imprisonment and/or fine of PHP 30,000 to PHP 100,000.</w:t>
      </w:r>
    </w:p>
    <w:p w14:paraId="6C3894F0" w14:textId="77777777" w:rsidR="00EA2097" w:rsidRPr="003B67FB" w:rsidRDefault="00000000">
      <w:pPr>
        <w:rPr>
          <w:rFonts w:ascii="Bookman Old Style" w:hAnsi="Bookman Old Style"/>
        </w:rPr>
      </w:pPr>
      <w:r w:rsidRPr="003B67FB">
        <w:rPr>
          <w:rFonts w:ascii="Bookman Old Style" w:hAnsi="Bookman Old Style"/>
          <w:b/>
        </w:rPr>
        <w:t>Data Privacy Act Violations under RA 10173:</w:t>
      </w:r>
      <w:r w:rsidRPr="003B67FB">
        <w:rPr>
          <w:rFonts w:ascii="Bookman Old Style" w:hAnsi="Bookman Old Style"/>
        </w:rPr>
        <w:t xml:space="preserve"> Unauthorized access to and processing of ANDY's personal information and communications from a smartphone where her Facebook account was logged in, then sharing this private information with third parties. Penalty: 1 to 3 years imprisonment and PHP 500,000 to PHP 4,000,000 fine.</w:t>
      </w:r>
    </w:p>
    <w:p w14:paraId="51B6A4E9" w14:textId="77777777" w:rsidR="00EA2097" w:rsidRPr="003B67FB" w:rsidRDefault="00000000">
      <w:pPr>
        <w:rPr>
          <w:rFonts w:ascii="Bookman Old Style" w:hAnsi="Bookman Old Style"/>
        </w:rPr>
      </w:pPr>
      <w:r w:rsidRPr="003B67FB">
        <w:rPr>
          <w:rFonts w:ascii="Bookman Old Style" w:hAnsi="Bookman Old Style"/>
          <w:b/>
        </w:rPr>
        <w:t>Theft under Article 308 of the Revised Penal Code:</w:t>
      </w:r>
      <w:r w:rsidRPr="003B67FB">
        <w:rPr>
          <w:rFonts w:ascii="Bookman Old Style" w:hAnsi="Bookman Old Style"/>
        </w:rPr>
        <w:t xml:space="preserve"> On February 18, 2025, forcibly entering ANDY's apartment and taking without consent his iPad Mini with folio worth approximately PHP 40,000, which she has not returned despite demand. Penalty: 2 years 4 months 1 day to 6 years imprisonment (prision correccional medium and maximum).</w:t>
      </w:r>
    </w:p>
    <w:p w14:paraId="66E163DF" w14:textId="77777777" w:rsidR="00EA2097" w:rsidRPr="003B67FB" w:rsidRDefault="00000000">
      <w:pPr>
        <w:rPr>
          <w:rFonts w:ascii="Bookman Old Style" w:hAnsi="Bookman Old Style"/>
        </w:rPr>
      </w:pPr>
      <w:r w:rsidRPr="003B67FB">
        <w:rPr>
          <w:rFonts w:ascii="Bookman Old Style" w:hAnsi="Bookman Old Style"/>
          <w:b/>
        </w:rPr>
        <w:t>Malicious Prosecution and Abuse of Process:</w:t>
      </w:r>
      <w:r w:rsidRPr="003B67FB">
        <w:rPr>
          <w:rFonts w:ascii="Bookman Old Style" w:hAnsi="Bookman Old Style"/>
        </w:rPr>
        <w:t xml:space="preserve"> Filing baseless criminal charges six weeks after accepting settlement and one month after divorce became irrevocable, motivated by retaliation rather than genuine pursuit of justice.</w:t>
      </w:r>
    </w:p>
    <w:p w14:paraId="6FC14B0F" w14:textId="77777777" w:rsidR="00EA2097" w:rsidRPr="003B67FB" w:rsidRDefault="00000000">
      <w:pPr>
        <w:rPr>
          <w:rFonts w:ascii="Bookman Old Style" w:hAnsi="Bookman Old Style"/>
        </w:rPr>
      </w:pPr>
      <w:r w:rsidRPr="003B67FB">
        <w:rPr>
          <w:rFonts w:ascii="Bookman Old Style" w:hAnsi="Bookman Old Style"/>
          <w:b/>
        </w:rPr>
        <w:t>Workplace Harassment and Tortious Interference:</w:t>
      </w:r>
      <w:r w:rsidRPr="003B67FB">
        <w:rPr>
          <w:rFonts w:ascii="Bookman Old Style" w:hAnsi="Bookman Old Style"/>
        </w:rPr>
        <w:t xml:space="preserve"> Sending complaint emails to ANDY's office on February 17 and 20, 2025, appearing at his workplace creating scandalous scenes, and causing him to lose his </w:t>
      </w:r>
      <w:r w:rsidRPr="003B67FB">
        <w:rPr>
          <w:rFonts w:ascii="Bookman Old Style" w:hAnsi="Bookman Old Style"/>
        </w:rPr>
        <w:lastRenderedPageBreak/>
        <w:t>employment, resulting in significant financial harm and professional reputation damage.</w:t>
      </w:r>
    </w:p>
    <w:p w14:paraId="6569719D" w14:textId="77777777" w:rsidR="00EA2097" w:rsidRPr="003B67FB" w:rsidRDefault="00000000">
      <w:pPr>
        <w:rPr>
          <w:rFonts w:ascii="Bookman Old Style" w:hAnsi="Bookman Old Style"/>
        </w:rPr>
      </w:pPr>
      <w:r w:rsidRPr="003B67FB">
        <w:rPr>
          <w:rFonts w:ascii="Bookman Old Style" w:hAnsi="Bookman Old Style"/>
          <w:b/>
        </w:rPr>
        <w:t>Violation of Barangay Protection Order:</w:t>
      </w:r>
      <w:r w:rsidRPr="003B67FB">
        <w:rPr>
          <w:rFonts w:ascii="Bookman Old Style" w:hAnsi="Bookman Old Style"/>
        </w:rPr>
        <w:t xml:space="preserve"> Obtaining BPO on February 13, 2025 ostensibly to "secure belongings" but instead ransacking the apartment and damaging ANDY's personal properties, exceeding the scope of the BPO, witnessed by VAWC Chairperson, barangay personnel, and police officers.</w:t>
      </w:r>
    </w:p>
    <w:p w14:paraId="193874EC" w14:textId="77777777" w:rsidR="00EA2097" w:rsidRPr="003B67FB" w:rsidRDefault="00000000">
      <w:pPr>
        <w:rPr>
          <w:rFonts w:ascii="Bookman Old Style" w:hAnsi="Bookman Old Style"/>
        </w:rPr>
      </w:pPr>
      <w:r w:rsidRPr="003B67FB">
        <w:rPr>
          <w:rFonts w:ascii="Bookman Old Style" w:hAnsi="Bookman Old Style"/>
        </w:rPr>
        <w:t>BOONY's total potential criminal liability ranges from 7 years 7 months 2 days to 21 years imprisonment (if sentences run consecutively) and PHP 630,000 to PHP 5,100,000 in fines. These penalties dwarf anything ANDY could possibly face, demonstrating that BOONY is not a victim but an aggressor who has committed far more serious crimes than those alleged against ANDY.</w:t>
      </w:r>
    </w:p>
    <w:p w14:paraId="25EA2FE4" w14:textId="77777777" w:rsidR="00EA2097" w:rsidRPr="003B67FB" w:rsidRDefault="00000000">
      <w:pPr>
        <w:pStyle w:val="Heading2"/>
        <w:rPr>
          <w:rFonts w:ascii="Bookman Old Style" w:hAnsi="Bookman Old Style"/>
        </w:rPr>
      </w:pPr>
      <w:r w:rsidRPr="003B67FB">
        <w:rPr>
          <w:rFonts w:ascii="Bookman Old Style" w:hAnsi="Bookman Old Style"/>
        </w:rPr>
        <w:t>The Prosecution's Complete Failure of Proof</w:t>
      </w:r>
    </w:p>
    <w:p w14:paraId="243C1379" w14:textId="77777777" w:rsidR="00EA2097" w:rsidRPr="003B67FB" w:rsidRDefault="00000000">
      <w:pPr>
        <w:rPr>
          <w:rFonts w:ascii="Bookman Old Style" w:hAnsi="Bookman Old Style"/>
        </w:rPr>
      </w:pPr>
      <w:r w:rsidRPr="003B67FB">
        <w:rPr>
          <w:rFonts w:ascii="Bookman Old Style" w:hAnsi="Bookman Old Style"/>
        </w:rPr>
        <w:t>Even setting aside the five independent grounds for dismissal discussed above, the prosecution has utterly and completely failed to establish the essential elements of Section 5(i) of RA 9262. The prosecution must prove beyond reasonable doubt: (1) that ANDY is or was BOONY's husband; (2) that ANDY committed acts causing BOONY mental or emotional anguish; (3) that such anguish was caused through specific enumerated acts including repeated verbal and emotional abuse or denial of financial support; and (4) following G.R. No. 264870, that ANDY acted with intent to cause harm as part of a pattern of domination or abuse of power.</w:t>
      </w:r>
    </w:p>
    <w:p w14:paraId="2FC3D409" w14:textId="77777777" w:rsidR="00EA2097" w:rsidRPr="003B67FB" w:rsidRDefault="00000000">
      <w:pPr>
        <w:rPr>
          <w:rFonts w:ascii="Bookman Old Style" w:hAnsi="Bookman Old Style"/>
        </w:rPr>
      </w:pPr>
      <w:r w:rsidRPr="003B67FB">
        <w:rPr>
          <w:rFonts w:ascii="Bookman Old Style" w:hAnsi="Bookman Old Style"/>
        </w:rPr>
        <w:t>The prosecution has failed every element: As to Element 1, while they were married on May 20, 2017, ANDY validly dissolved that marriage by talaq on January 23, 2025. As to Element 2, any emotional distress BOONY experienced was self-inflicted by her own admitted mistakes, toxic behaviors, and refusal to maintain the household. As to Element 3, BOONY managed the household finances herself with full access to ANDY's funds, and ANDY repeatedly encouraged her to set aside money for her needs—there was no denial of financial support. As to Element 4, there is zero evidence of intent to harm, pattern of domination, or abuse of power. ANDY attempted to empower BOONY through education and professional development; she refused these opportunities.</w:t>
      </w:r>
    </w:p>
    <w:p w14:paraId="06AA3743" w14:textId="77777777" w:rsidR="00EA2097" w:rsidRPr="003B67FB" w:rsidRDefault="00000000">
      <w:pPr>
        <w:pStyle w:val="Heading2"/>
        <w:rPr>
          <w:rFonts w:ascii="Bookman Old Style" w:hAnsi="Bookman Old Style"/>
        </w:rPr>
      </w:pPr>
      <w:r w:rsidRPr="003B67FB">
        <w:rPr>
          <w:rFonts w:ascii="Bookman Old Style" w:hAnsi="Bookman Old Style"/>
        </w:rPr>
        <w:lastRenderedPageBreak/>
        <w:t>Conclusion of Executive Summary</w:t>
      </w:r>
    </w:p>
    <w:p w14:paraId="4B16BE96" w14:textId="77777777" w:rsidR="00EA2097" w:rsidRPr="003B67FB" w:rsidRDefault="00000000">
      <w:pPr>
        <w:rPr>
          <w:rFonts w:ascii="Bookman Old Style" w:hAnsi="Bookman Old Style"/>
        </w:rPr>
      </w:pPr>
      <w:r w:rsidRPr="003B67FB">
        <w:rPr>
          <w:rFonts w:ascii="Bookman Old Style" w:hAnsi="Bookman Old Style"/>
        </w:rPr>
        <w:t>The charges against ANDY are not merely weak—they are baseless, malicious, and violative of fundamental constitutional rights. The case should never have been filed. It must be dismissed immediately and completely, with prejudice. Justice demands not only ANDY's acquittal but also the filing of appropriate criminal charges against BOONY for her extensive criminal conduct. This memorandum provides the comprehensive legal and factual foundation for such relief.</w:t>
      </w:r>
    </w:p>
    <w:p w14:paraId="429A51A4" w14:textId="77777777" w:rsidR="00EA2097" w:rsidRPr="003B67FB" w:rsidRDefault="00000000">
      <w:pPr>
        <w:rPr>
          <w:rFonts w:ascii="Bookman Old Style" w:hAnsi="Bookman Old Style"/>
        </w:rPr>
      </w:pPr>
      <w:r w:rsidRPr="003B67FB">
        <w:rPr>
          <w:rFonts w:ascii="Bookman Old Style" w:hAnsi="Bookman Old Style"/>
        </w:rPr>
        <w:br w:type="page"/>
      </w:r>
    </w:p>
    <w:p w14:paraId="353ACF8E" w14:textId="77777777" w:rsidR="00EA2097" w:rsidRPr="003B67FB" w:rsidRDefault="00000000">
      <w:pPr>
        <w:pStyle w:val="Heading1"/>
        <w:rPr>
          <w:rFonts w:ascii="Bookman Old Style" w:hAnsi="Bookman Old Style"/>
        </w:rPr>
      </w:pPr>
      <w:r w:rsidRPr="003B67FB">
        <w:rPr>
          <w:rFonts w:ascii="Bookman Old Style" w:hAnsi="Bookman Old Style"/>
        </w:rPr>
        <w:lastRenderedPageBreak/>
        <w:t>PART II: DETAILED FACTUAL BACKGROUND AND PROCEDURAL HISTORY</w:t>
      </w:r>
    </w:p>
    <w:p w14:paraId="2C393F4C" w14:textId="77777777" w:rsidR="00EA2097" w:rsidRPr="003B67FB" w:rsidRDefault="00000000">
      <w:pPr>
        <w:pStyle w:val="Heading2"/>
        <w:rPr>
          <w:rFonts w:ascii="Bookman Old Style" w:hAnsi="Bookman Old Style"/>
        </w:rPr>
      </w:pPr>
      <w:r w:rsidRPr="003B67FB">
        <w:rPr>
          <w:rFonts w:ascii="Bookman Old Style" w:hAnsi="Bookman Old Style"/>
        </w:rPr>
        <w:t>A. The Marriage Under Muslim Personal Laws</w:t>
      </w:r>
    </w:p>
    <w:p w14:paraId="2B3E0FBE" w14:textId="77777777" w:rsidR="00EA2097" w:rsidRPr="003B67FB" w:rsidRDefault="00000000">
      <w:pPr>
        <w:rPr>
          <w:rFonts w:ascii="Bookman Old Style" w:hAnsi="Bookman Old Style"/>
        </w:rPr>
      </w:pPr>
      <w:r w:rsidRPr="003B67FB">
        <w:rPr>
          <w:rFonts w:ascii="Bookman Old Style" w:hAnsi="Bookman Old Style"/>
        </w:rPr>
        <w:t>ANDY and BOONY were married on May 20, 2017, in a ceremony conducted in accordance with Muslim rites and customs in [location], Canton City. Both parties are Muslims. Under Article 13(1) of Presidential Decree No. 1083, this marriage is governed exclusively by the Code of Muslim Personal Laws of the Philippines, not by the Family Code applicable to non-Muslim Filipinos. The parties secured their marriage contract under the Shari'ah Court on August 16, 2022, with Registry No. [number] and with remarks indicating "late registration of marriage."</w:t>
      </w:r>
    </w:p>
    <w:p w14:paraId="06EEAA4B" w14:textId="77777777" w:rsidR="00EA2097" w:rsidRPr="003B67FB" w:rsidRDefault="00000000">
      <w:pPr>
        <w:rPr>
          <w:rFonts w:ascii="Bookman Old Style" w:hAnsi="Bookman Old Style"/>
        </w:rPr>
      </w:pPr>
      <w:r w:rsidRPr="003B67FB">
        <w:rPr>
          <w:rFonts w:ascii="Bookman Old Style" w:hAnsi="Bookman Old Style"/>
        </w:rPr>
        <w:t>The marriage produced no children. Throughout their approximately eight-year marriage, the couple resided in various rented accommodations in Canton City, including at the ORC and later at [address 7]. The parties never accumulated conjugal property subject to division, as Muslim marriages under PD 1083 are not automatically governed by the conjugal partnership regime unless specifically stipulated in marriage settlements under Articles 37-43 of PD 1083.</w:t>
      </w:r>
    </w:p>
    <w:p w14:paraId="0D07B08D" w14:textId="77777777" w:rsidR="00EA2097" w:rsidRPr="003B67FB" w:rsidRDefault="00000000">
      <w:pPr>
        <w:pStyle w:val="Heading2"/>
        <w:rPr>
          <w:rFonts w:ascii="Bookman Old Style" w:hAnsi="Bookman Old Style"/>
        </w:rPr>
      </w:pPr>
      <w:r w:rsidRPr="003B67FB">
        <w:rPr>
          <w:rFonts w:ascii="Bookman Old Style" w:hAnsi="Bookman Old Style"/>
        </w:rPr>
        <w:t>B. Marital Difficulties and Grounds for Divorce</w:t>
      </w:r>
    </w:p>
    <w:p w14:paraId="7B0CD8A0" w14:textId="77777777" w:rsidR="00EA2097" w:rsidRPr="003B67FB" w:rsidRDefault="00000000">
      <w:pPr>
        <w:rPr>
          <w:rFonts w:ascii="Bookman Old Style" w:hAnsi="Bookman Old Style"/>
        </w:rPr>
      </w:pPr>
      <w:r w:rsidRPr="003B67FB">
        <w:rPr>
          <w:rFonts w:ascii="Bookman Old Style" w:hAnsi="Bookman Old Style"/>
          <w:b/>
        </w:rPr>
        <w:t>Pattern of Marital Discord</w:t>
      </w:r>
    </w:p>
    <w:p w14:paraId="36DF764D" w14:textId="77777777" w:rsidR="00EA2097" w:rsidRPr="003B67FB" w:rsidRDefault="00000000">
      <w:pPr>
        <w:rPr>
          <w:rFonts w:ascii="Bookman Old Style" w:hAnsi="Bookman Old Style"/>
        </w:rPr>
      </w:pPr>
      <w:r w:rsidRPr="003B67FB">
        <w:rPr>
          <w:rFonts w:ascii="Bookman Old Style" w:hAnsi="Bookman Old Style"/>
        </w:rPr>
        <w:t>From early in the marriage, the relationship between ANDY and BOONY was characterized by persistent and escalating difficulties. These problems were not caused by ANDY's conduct but by BOONY's toxic behaviors, emotional instability, chronic indolence, and inability or unwillingness to fulfill basic household responsibilities. The specific problems included:</w:t>
      </w:r>
    </w:p>
    <w:p w14:paraId="35CA2B56" w14:textId="77777777" w:rsidR="00EA2097" w:rsidRPr="003B67FB" w:rsidRDefault="00000000">
      <w:pPr>
        <w:rPr>
          <w:rFonts w:ascii="Bookman Old Style" w:hAnsi="Bookman Old Style"/>
        </w:rPr>
      </w:pPr>
      <w:r w:rsidRPr="003B67FB">
        <w:rPr>
          <w:rFonts w:ascii="Bookman Old Style" w:hAnsi="Bookman Old Style"/>
        </w:rPr>
        <w:t>1. Chronic Household Disorganization: Despite there being only two persons living in the household, BOONY consistently failed to maintain even basic cleanliness and organization. ANDY repeatedly requested her assistance in keeping an orderly home. The apartment remained in a constant state of disorder with unwashed dishes, unfolded laundry, and general disarray. ANDY even suggested that if BOONY found household management overwhelming, she could hire domestic help. BOONY refused this option, yet continued to neglect household duties.</w:t>
      </w:r>
    </w:p>
    <w:p w14:paraId="27ED4109" w14:textId="77777777" w:rsidR="00EA2097" w:rsidRPr="003B67FB" w:rsidRDefault="00000000">
      <w:pPr>
        <w:rPr>
          <w:rFonts w:ascii="Bookman Old Style" w:hAnsi="Bookman Old Style"/>
        </w:rPr>
      </w:pPr>
      <w:r w:rsidRPr="003B67FB">
        <w:rPr>
          <w:rFonts w:ascii="Bookman Old Style" w:hAnsi="Bookman Old Style"/>
        </w:rPr>
        <w:lastRenderedPageBreak/>
        <w:t>2. Failure to Pursue Economic Independence: ANDY made extraordinary efforts to empower BOONY economically and professionally. He enrolled her in and paid for her Bachelor of Science in Community Development degree program. He convinced her to enroll in the first cohort of the Diploma on Women, Peace and Security program. He personally mentored her to acquire knowledge, skills, and abilities that would advance her chosen career. He asked her to prepare for and take the Civil Service Examination, which is required for government employment. He purchased review books and study materials for her. Despite these investments of time, money, and effort, BOONY failed to utilize these opportunities. She did not use the review books. She did not prepare for the Civil Service Examination. She did not take the examination. She squandered every opportunity ANDY provided.</w:t>
      </w:r>
    </w:p>
    <w:p w14:paraId="53E4B1FD" w14:textId="77777777" w:rsidR="00EA2097" w:rsidRPr="003B67FB" w:rsidRDefault="00000000">
      <w:pPr>
        <w:rPr>
          <w:rFonts w:ascii="Bookman Old Style" w:hAnsi="Bookman Old Style"/>
        </w:rPr>
      </w:pPr>
      <w:r w:rsidRPr="003B67FB">
        <w:rPr>
          <w:rFonts w:ascii="Bookman Old Style" w:hAnsi="Bookman Old Style"/>
        </w:rPr>
        <w:t>3. Toxic Behaviors and Emotional Instability: BOONY exhibited consistent patterns of toxic behavior including initiating constant fights and arguments, exhibiting unstable mental and emotional conditions, creating drama and conflict, and refusing to address her own behavioral issues. In SMS messages dated around January 30, 2025, BOONY herself explicitly admitted to these failings.</w:t>
      </w:r>
    </w:p>
    <w:p w14:paraId="078D07D6" w14:textId="77777777" w:rsidR="00EA2097" w:rsidRPr="003B67FB" w:rsidRDefault="00000000">
      <w:pPr>
        <w:rPr>
          <w:rFonts w:ascii="Bookman Old Style" w:hAnsi="Bookman Old Style"/>
        </w:rPr>
      </w:pPr>
      <w:r w:rsidRPr="003B67FB">
        <w:rPr>
          <w:rFonts w:ascii="Bookman Old Style" w:hAnsi="Bookman Old Style"/>
        </w:rPr>
        <w:t>4. Neglect of Personal Hygiene: BOONY neglected basic personal hygiene and cleanliness, creating an uncomfortable living environment.</w:t>
      </w:r>
    </w:p>
    <w:p w14:paraId="487256D0" w14:textId="77777777" w:rsidR="00EA2097" w:rsidRPr="003B67FB" w:rsidRDefault="00000000">
      <w:pPr>
        <w:rPr>
          <w:rFonts w:ascii="Bookman Old Style" w:hAnsi="Bookman Old Style"/>
        </w:rPr>
      </w:pPr>
      <w:r w:rsidRPr="003B67FB">
        <w:rPr>
          <w:rFonts w:ascii="Bookman Old Style" w:hAnsi="Bookman Old Style"/>
        </w:rPr>
        <w:t>5. Financial Management Issues: Although BOONY managed the household budget and had complete access to ANDY's income, wallet, and ATM cards, she chose not to set aside any amount for herself despite ANDY's repeated advice to do so. She then later complained about lack of "personal allowance" despite having had full access to all funds throughout the marriage.</w:t>
      </w:r>
    </w:p>
    <w:p w14:paraId="65793AA2" w14:textId="77777777" w:rsidR="00EA2097" w:rsidRPr="003B67FB" w:rsidRDefault="00000000">
      <w:pPr>
        <w:pStyle w:val="Heading2"/>
        <w:rPr>
          <w:rFonts w:ascii="Bookman Old Style" w:hAnsi="Bookman Old Style"/>
        </w:rPr>
      </w:pPr>
      <w:r w:rsidRPr="003B67FB">
        <w:rPr>
          <w:rFonts w:ascii="Bookman Old Style" w:hAnsi="Bookman Old Style"/>
        </w:rPr>
        <w:t>C. The Talaq Pronouncement and Its Legal Effects</w:t>
      </w:r>
    </w:p>
    <w:p w14:paraId="76CB4738" w14:textId="77777777" w:rsidR="00EA2097" w:rsidRPr="003B67FB" w:rsidRDefault="00000000">
      <w:pPr>
        <w:pStyle w:val="Heading3"/>
        <w:rPr>
          <w:rFonts w:ascii="Bookman Old Style" w:hAnsi="Bookman Old Style"/>
        </w:rPr>
      </w:pPr>
      <w:r w:rsidRPr="003B67FB">
        <w:rPr>
          <w:rFonts w:ascii="Bookman Old Style" w:hAnsi="Bookman Old Style"/>
        </w:rPr>
        <w:t>The January 23, 2025 Pronouncement</w:t>
      </w:r>
    </w:p>
    <w:p w14:paraId="6F781E89" w14:textId="77777777" w:rsidR="00EA2097" w:rsidRPr="003B67FB" w:rsidRDefault="00000000">
      <w:pPr>
        <w:rPr>
          <w:rFonts w:ascii="Bookman Old Style" w:hAnsi="Bookman Old Style"/>
        </w:rPr>
      </w:pPr>
      <w:r w:rsidRPr="003B67FB">
        <w:rPr>
          <w:rFonts w:ascii="Bookman Old Style" w:hAnsi="Bookman Old Style"/>
        </w:rPr>
        <w:t xml:space="preserve">After years of attempting to salvage the marriage, including efforts at counseling, empowerment, and accommodation, ANDY finally reached the conclusion that the marriage was irretrievably broken and could not be saved. On January 23, 2025, ANDY pronounced talaq to BOONY in accordance with Article 46 of Presidential Decree No. 1083. The pronouncement was clear, unequivocal, and made with full awareness of its legal consequences. BOONY accepted the talaq. She did not object. </w:t>
      </w:r>
      <w:r w:rsidRPr="003B67FB">
        <w:rPr>
          <w:rFonts w:ascii="Bookman Old Style" w:hAnsi="Bookman Old Style"/>
        </w:rPr>
        <w:lastRenderedPageBreak/>
        <w:t>She did not protest. She voluntarily left the marital dwelling that same day.</w:t>
      </w:r>
    </w:p>
    <w:p w14:paraId="6E385CE3" w14:textId="77777777" w:rsidR="00EA2097" w:rsidRPr="003B67FB" w:rsidRDefault="00000000">
      <w:pPr>
        <w:pStyle w:val="Heading3"/>
        <w:rPr>
          <w:rFonts w:ascii="Bookman Old Style" w:hAnsi="Bookman Old Style"/>
        </w:rPr>
      </w:pPr>
      <w:r w:rsidRPr="003B67FB">
        <w:rPr>
          <w:rFonts w:ascii="Bookman Old Style" w:hAnsi="Bookman Old Style"/>
        </w:rPr>
        <w:t>Legal Framework of Talaq Under PD 1083</w:t>
      </w:r>
    </w:p>
    <w:p w14:paraId="035058B2" w14:textId="77777777" w:rsidR="00EA2097" w:rsidRPr="003B67FB" w:rsidRDefault="00000000">
      <w:pPr>
        <w:rPr>
          <w:rFonts w:ascii="Bookman Old Style" w:hAnsi="Bookman Old Style"/>
        </w:rPr>
      </w:pPr>
      <w:r w:rsidRPr="003B67FB">
        <w:rPr>
          <w:rFonts w:ascii="Bookman Old Style" w:hAnsi="Bookman Old Style"/>
          <w:b/>
        </w:rPr>
        <w:t>Article 45 of PD 1083 - Definition and Forms of Divorce:</w:t>
      </w:r>
    </w:p>
    <w:p w14:paraId="3C674B41" w14:textId="77777777" w:rsidR="00EA2097" w:rsidRPr="003B67FB" w:rsidRDefault="00000000">
      <w:pPr>
        <w:rPr>
          <w:rFonts w:ascii="Bookman Old Style" w:hAnsi="Bookman Old Style"/>
        </w:rPr>
      </w:pPr>
      <w:r w:rsidRPr="003B67FB">
        <w:rPr>
          <w:rFonts w:ascii="Bookman Old Style" w:hAnsi="Bookman Old Style"/>
          <w:i/>
        </w:rPr>
        <w:t>"Divorce is the formal dissolution of the marriage bond in accordance with this Code to be granted only after the exhaustion of all possible means of reconciliation between the spouses. It may be effected by: (a) Repudiation of the wife by the husband (talaq); (b) Vow of continence by the husband (ila); (c) Injurious assimilation (zihar); (d) Act of imprecation (li'an); (e) Redemption by the wife (khul'); (f) Exercise of the option of puberty (khiyar al-bulugh); (g) Repudiation by mutual consent (mubara'ah); (h) Judicial decree (faskh); and (i) By virtue of a stipulation in the marriage settlement (taklik)."</w:t>
      </w:r>
    </w:p>
    <w:p w14:paraId="61BEC4FF" w14:textId="77777777" w:rsidR="00EA2097" w:rsidRPr="003B67FB" w:rsidRDefault="00000000">
      <w:pPr>
        <w:rPr>
          <w:rFonts w:ascii="Bookman Old Style" w:hAnsi="Bookman Old Style"/>
        </w:rPr>
      </w:pPr>
      <w:r w:rsidRPr="003B67FB">
        <w:rPr>
          <w:rFonts w:ascii="Bookman Old Style" w:hAnsi="Bookman Old Style"/>
        </w:rPr>
        <w:t>ANDY's pronouncement of talaq falls squarely within subsection (a) - repudiation of the wife by the husband. This is one of the forms of divorce explicitly recognized and authorized by Philippine law for Muslim couples.</w:t>
      </w:r>
    </w:p>
    <w:p w14:paraId="6E9846F2" w14:textId="77777777" w:rsidR="00EA2097" w:rsidRPr="003B67FB" w:rsidRDefault="00000000">
      <w:pPr>
        <w:rPr>
          <w:rFonts w:ascii="Bookman Old Style" w:hAnsi="Bookman Old Style"/>
        </w:rPr>
      </w:pPr>
      <w:r w:rsidRPr="003B67FB">
        <w:rPr>
          <w:rFonts w:ascii="Bookman Old Style" w:hAnsi="Bookman Old Style"/>
          <w:b/>
        </w:rPr>
        <w:t>Article 46 of PD 1083 - Divorce by Talaq:</w:t>
      </w:r>
    </w:p>
    <w:p w14:paraId="62E6A9B9" w14:textId="77777777" w:rsidR="00EA2097" w:rsidRPr="003B67FB" w:rsidRDefault="00EA2097">
      <w:pPr>
        <w:rPr>
          <w:rFonts w:ascii="Bookman Old Style" w:hAnsi="Bookman Old Style"/>
        </w:rPr>
      </w:pPr>
    </w:p>
    <w:p w14:paraId="460A0921" w14:textId="77777777" w:rsidR="00EA2097" w:rsidRPr="003B67FB" w:rsidRDefault="00000000">
      <w:pPr>
        <w:rPr>
          <w:rFonts w:ascii="Bookman Old Style" w:hAnsi="Bookman Old Style"/>
        </w:rPr>
      </w:pPr>
      <w:r w:rsidRPr="003B67FB">
        <w:rPr>
          <w:rFonts w:ascii="Bookman Old Style" w:hAnsi="Bookman Old Style"/>
          <w:i/>
        </w:rPr>
        <w:t>"(1) A divorce by talaq may be effected by the husband in a single repudiation of his wife during her non-menstrual period (tuhr) within which he has totally abstained from carnal relation with her. Any number of repudiations made during one tuhr shall constitute only one repudiation and shall become irrevocable after the expiration of the prescribed 'idda. (2) A husband who repudiates his wife, either for the first or second time, shall have the right to take her back (ruju) within the prescribed 'idda by resumption of cohabitation without need of a new contract of marriage. If he repudiates her for the third time, she shall not be lawful for him thereafter until she has married another husband who divorces her in accordance with this Code and only after observance of the prescribed 'idda."</w:t>
      </w:r>
    </w:p>
    <w:p w14:paraId="0A0D188C" w14:textId="77777777" w:rsidR="00EA2097" w:rsidRPr="003B67FB" w:rsidRDefault="00000000">
      <w:pPr>
        <w:rPr>
          <w:rFonts w:ascii="Bookman Old Style" w:hAnsi="Bookman Old Style"/>
        </w:rPr>
      </w:pPr>
      <w:r w:rsidRPr="003B67FB">
        <w:rPr>
          <w:rFonts w:ascii="Bookman Old Style" w:hAnsi="Bookman Old Style"/>
        </w:rPr>
        <w:t>ANDY's pronouncement satisfied all requirements: it was a single repudiation during BOONY's non-menstrual period; ANDY had abstained from carnal relations with her; the pronouncement was clear and unambiguous.</w:t>
      </w:r>
    </w:p>
    <w:p w14:paraId="3373795E" w14:textId="77777777" w:rsidR="00EA2097" w:rsidRPr="003B67FB" w:rsidRDefault="00000000">
      <w:pPr>
        <w:rPr>
          <w:rFonts w:ascii="Bookman Old Style" w:hAnsi="Bookman Old Style"/>
        </w:rPr>
      </w:pPr>
      <w:r w:rsidRPr="003B67FB">
        <w:rPr>
          <w:rFonts w:ascii="Bookman Old Style" w:hAnsi="Bookman Old Style"/>
          <w:b/>
        </w:rPr>
        <w:lastRenderedPageBreak/>
        <w:t>Article 54 of PD 1083 - Effects of Irrevocable Talaq:</w:t>
      </w:r>
    </w:p>
    <w:p w14:paraId="7003E210" w14:textId="77777777" w:rsidR="00EA2097" w:rsidRPr="003B67FB" w:rsidRDefault="00EA2097">
      <w:pPr>
        <w:rPr>
          <w:rFonts w:ascii="Bookman Old Style" w:hAnsi="Bookman Old Style"/>
        </w:rPr>
      </w:pPr>
    </w:p>
    <w:p w14:paraId="600474A0" w14:textId="77777777" w:rsidR="00EA2097" w:rsidRPr="003B67FB" w:rsidRDefault="00000000">
      <w:pPr>
        <w:rPr>
          <w:rFonts w:ascii="Bookman Old Style" w:hAnsi="Bookman Old Style"/>
        </w:rPr>
      </w:pPr>
      <w:r w:rsidRPr="003B67FB">
        <w:rPr>
          <w:rFonts w:ascii="Bookman Old Style" w:hAnsi="Bookman Old Style"/>
          <w:i/>
        </w:rPr>
        <w:t>"A talaq or faskh, as soon as it becomes irrevocable, shall: (a) Sever the marital bonds; (b) Discontinue the mutual rights of inheritance between the parties; (c) Terminate the period of waiting ('idda) in case of talaq; (d) The wife shall be entitled to recover from the husband her whole dower in case the talaq has been effected after the consummation of the marriage, or one-half thereof if effected before its consummation; (e) The husband shall not be discharged from his obligation to give support in accordance with Article 67; (f) The conjugal partnership if stipulated in the marriage settlements, shall be dissolved and liquidated."</w:t>
      </w:r>
    </w:p>
    <w:p w14:paraId="25FAFEDC" w14:textId="77777777" w:rsidR="00EA2097" w:rsidRPr="003B67FB" w:rsidRDefault="00000000">
      <w:pPr>
        <w:rPr>
          <w:rFonts w:ascii="Bookman Old Style" w:hAnsi="Bookman Old Style"/>
        </w:rPr>
      </w:pPr>
      <w:r w:rsidRPr="003B67FB">
        <w:rPr>
          <w:rFonts w:ascii="Bookman Old Style" w:hAnsi="Bookman Old Style"/>
          <w:b/>
        </w:rPr>
        <w:t>Article 57 of PD 1083 - The 'Idda Period:</w:t>
      </w:r>
    </w:p>
    <w:p w14:paraId="29100482" w14:textId="77777777" w:rsidR="00EA2097" w:rsidRPr="003B67FB" w:rsidRDefault="00EA2097">
      <w:pPr>
        <w:rPr>
          <w:rFonts w:ascii="Bookman Old Style" w:hAnsi="Bookman Old Style"/>
        </w:rPr>
      </w:pPr>
    </w:p>
    <w:p w14:paraId="6689A6BF" w14:textId="77777777" w:rsidR="00EA2097" w:rsidRPr="003B67FB" w:rsidRDefault="00000000">
      <w:pPr>
        <w:rPr>
          <w:rFonts w:ascii="Bookman Old Style" w:hAnsi="Bookman Old Style"/>
        </w:rPr>
      </w:pPr>
      <w:r w:rsidRPr="003B67FB">
        <w:rPr>
          <w:rFonts w:ascii="Bookman Old Style" w:hAnsi="Bookman Old Style"/>
          <w:i/>
        </w:rPr>
        <w:t>"(1) Every wife shall be obliged to observe 'idda as follows: (a) In case of dissolution of marriage by death, four months and ten days counted from the death of her husband, or if she is pregnant at the time of his death, until delivery; (b) In case of dissolution of marriage by divorce, three monthly courses counted from the date of divorce. However, if she is pregnant at the time of the divorce, she may remarry only after delivery. (c) In case of annulment of marriage or dissolution of marriage before cohabitation, no 'idda shall be required. (2) Should a repudiated woman and her husband reconcile during her 'idda, he shall have a better right to take her back during such period but such reconciliation shall not bar her right to continue with the suit for divorce."</w:t>
      </w:r>
    </w:p>
    <w:p w14:paraId="49CEDE14" w14:textId="77777777" w:rsidR="00EA2097" w:rsidRPr="003B67FB" w:rsidRDefault="00000000">
      <w:pPr>
        <w:rPr>
          <w:rFonts w:ascii="Bookman Old Style" w:hAnsi="Bookman Old Style"/>
        </w:rPr>
      </w:pPr>
      <w:r w:rsidRPr="003B67FB">
        <w:rPr>
          <w:rFonts w:ascii="Bookman Old Style" w:hAnsi="Bookman Old Style"/>
        </w:rPr>
        <w:t>Under Article 57(1)(b), BOONY was required to observe an 'idda period of three monthly courses from January 23, 2025. This period expired around April 23, 2025.</w:t>
      </w:r>
    </w:p>
    <w:p w14:paraId="202A864D" w14:textId="77777777" w:rsidR="00EA2097" w:rsidRPr="003B67FB" w:rsidRDefault="00000000">
      <w:pPr>
        <w:pStyle w:val="Heading3"/>
        <w:rPr>
          <w:rFonts w:ascii="Bookman Old Style" w:hAnsi="Bookman Old Style"/>
        </w:rPr>
      </w:pPr>
      <w:r w:rsidRPr="003B67FB">
        <w:rPr>
          <w:rFonts w:ascii="Bookman Old Style" w:hAnsi="Bookman Old Style"/>
        </w:rPr>
        <w:t>Timeline and Legal Consequences</w:t>
      </w:r>
    </w:p>
    <w:p w14:paraId="1A6EF411" w14:textId="77777777" w:rsidR="00EA2097" w:rsidRPr="003B67FB" w:rsidRDefault="00000000">
      <w:pPr>
        <w:rPr>
          <w:rFonts w:ascii="Bookman Old Style" w:hAnsi="Bookman Old Style"/>
        </w:rPr>
      </w:pPr>
      <w:r w:rsidRPr="003B67FB">
        <w:rPr>
          <w:rFonts w:ascii="Bookman Old Style" w:hAnsi="Bookman Old Style"/>
          <w:b/>
        </w:rPr>
        <w:t xml:space="preserve">January 23, 2025: </w:t>
      </w:r>
      <w:r w:rsidRPr="003B67FB">
        <w:rPr>
          <w:rFonts w:ascii="Bookman Old Style" w:hAnsi="Bookman Old Style"/>
        </w:rPr>
        <w:t>ANDY pronounces talaq to BOONY. She accepts and leaves the marital dwelling. The marriage is dissolved subject to the 'idda period. Under Article 46(2), ANDY had the right to take her back (ruju) during the 'idda by resumption of cohabitation.</w:t>
      </w:r>
    </w:p>
    <w:p w14:paraId="2D95FD94" w14:textId="77777777" w:rsidR="00EA2097" w:rsidRPr="003B67FB" w:rsidRDefault="00000000">
      <w:pPr>
        <w:rPr>
          <w:rFonts w:ascii="Bookman Old Style" w:hAnsi="Bookman Old Style"/>
        </w:rPr>
      </w:pPr>
      <w:r w:rsidRPr="003B67FB">
        <w:rPr>
          <w:rFonts w:ascii="Bookman Old Style" w:hAnsi="Bookman Old Style"/>
          <w:b/>
        </w:rPr>
        <w:t xml:space="preserve">January 30, 2025 (approximately): </w:t>
      </w:r>
      <w:r w:rsidRPr="003B67FB">
        <w:rPr>
          <w:rFonts w:ascii="Bookman Old Style" w:hAnsi="Bookman Old Style"/>
        </w:rPr>
        <w:t xml:space="preserve">BOONY sends SMS messages to ANDY admitting her numerous mistakes (mali), shortcomings (pagkukulang), that she is no longer good for ANDY, that she is no longer </w:t>
      </w:r>
      <w:r w:rsidRPr="003B67FB">
        <w:rPr>
          <w:rFonts w:ascii="Bookman Old Style" w:hAnsi="Bookman Old Style"/>
        </w:rPr>
        <w:lastRenderedPageBreak/>
        <w:t>a source of peace, that she caused ANDY pain, that she damaged (nasira) ANDY and other people, and that she failed the trust ANDY gave her. These admissions constitute acknowledgment of the grounds for talaq.</w:t>
      </w:r>
    </w:p>
    <w:p w14:paraId="6E2DE297" w14:textId="77777777" w:rsidR="00EA2097" w:rsidRPr="003B67FB" w:rsidRDefault="00000000">
      <w:pPr>
        <w:rPr>
          <w:rFonts w:ascii="Bookman Old Style" w:hAnsi="Bookman Old Style"/>
        </w:rPr>
      </w:pPr>
      <w:r w:rsidRPr="003B67FB">
        <w:rPr>
          <w:rFonts w:ascii="Bookman Old Style" w:hAnsi="Bookman Old Style"/>
          <w:b/>
        </w:rPr>
        <w:t xml:space="preserve">February 6, 2025: </w:t>
      </w:r>
      <w:r w:rsidRPr="003B67FB">
        <w:rPr>
          <w:rFonts w:ascii="Bookman Old Style" w:hAnsi="Bookman Old Style"/>
        </w:rPr>
        <w:t>Screenshot taken of the SMS exchange showing BOONY's admissions.</w:t>
      </w:r>
    </w:p>
    <w:p w14:paraId="715AB429" w14:textId="77777777" w:rsidR="00EA2097" w:rsidRPr="003B67FB" w:rsidRDefault="00000000">
      <w:pPr>
        <w:rPr>
          <w:rFonts w:ascii="Bookman Old Style" w:hAnsi="Bookman Old Style"/>
        </w:rPr>
      </w:pPr>
      <w:r w:rsidRPr="003B67FB">
        <w:rPr>
          <w:rFonts w:ascii="Bookman Old Style" w:hAnsi="Bookman Old Style"/>
          <w:b/>
        </w:rPr>
        <w:t xml:space="preserve">February 12, 2025: </w:t>
      </w:r>
      <w:r w:rsidRPr="003B67FB">
        <w:rPr>
          <w:rFonts w:ascii="Bookman Old Style" w:hAnsi="Bookman Old Style"/>
        </w:rPr>
        <w:t>Alleged acts of psychological violence. However, at this point the marriage had already been dissolved by talaq on January 23, 2025. BOONY was no longer ANDY's wife in the full sense, as she had accepted the talaq and was observing the 'idda period. Importantly, BOONY was attempting to compel ANDY to reconcile, but ANDY was hesitant given the magnitude of their differences.</w:t>
      </w:r>
    </w:p>
    <w:p w14:paraId="3FBE8C18" w14:textId="77777777" w:rsidR="00EA2097" w:rsidRPr="003B67FB" w:rsidRDefault="00000000">
      <w:pPr>
        <w:rPr>
          <w:rFonts w:ascii="Bookman Old Style" w:hAnsi="Bookman Old Style"/>
        </w:rPr>
      </w:pPr>
      <w:r w:rsidRPr="003B67FB">
        <w:rPr>
          <w:rFonts w:ascii="Bookman Old Style" w:hAnsi="Bookman Old Style"/>
          <w:b/>
        </w:rPr>
        <w:t xml:space="preserve">April 6, 2025: </w:t>
      </w:r>
      <w:r w:rsidRPr="003B67FB">
        <w:rPr>
          <w:rFonts w:ascii="Bookman Old Style" w:hAnsi="Bookman Old Style"/>
        </w:rPr>
        <w:t>Both families meet and reach comprehensive divorce settlement. ANDY agrees to give BOONY their housing unit. BOONY is present and does not object. She accepts the settlement.</w:t>
      </w:r>
    </w:p>
    <w:p w14:paraId="0C1150A9" w14:textId="77777777" w:rsidR="00EA2097" w:rsidRPr="003B67FB" w:rsidRDefault="00000000">
      <w:pPr>
        <w:rPr>
          <w:rFonts w:ascii="Bookman Old Style" w:hAnsi="Bookman Old Style"/>
        </w:rPr>
      </w:pPr>
      <w:r w:rsidRPr="003B67FB">
        <w:rPr>
          <w:rFonts w:ascii="Bookman Old Style" w:hAnsi="Bookman Old Style"/>
          <w:b/>
        </w:rPr>
        <w:t xml:space="preserve">April 23, 2025 (approximately): </w:t>
      </w:r>
      <w:r w:rsidRPr="003B67FB">
        <w:rPr>
          <w:rFonts w:ascii="Bookman Old Style" w:hAnsi="Bookman Old Style"/>
        </w:rPr>
        <w:t>The three-month 'idda period expires. Under Article 46(1), the talaq becomes absolutely and irrevocably final. All marital bonds are completely severed under Article 54(a). Mutual rights of inheritance are discontinued under Article 54(b). The parties are no longer husband and wife in any sense whatsoever.</w:t>
      </w:r>
    </w:p>
    <w:p w14:paraId="0F501201" w14:textId="77777777" w:rsidR="00EA2097" w:rsidRPr="003B67FB" w:rsidRDefault="00000000">
      <w:pPr>
        <w:rPr>
          <w:rFonts w:ascii="Bookman Old Style" w:hAnsi="Bookman Old Style"/>
        </w:rPr>
      </w:pPr>
      <w:r w:rsidRPr="003B67FB">
        <w:rPr>
          <w:rFonts w:ascii="Bookman Old Style" w:hAnsi="Bookman Old Style"/>
          <w:b/>
        </w:rPr>
        <w:t xml:space="preserve">May 21, 2025: </w:t>
      </w:r>
      <w:r w:rsidRPr="003B67FB">
        <w:rPr>
          <w:rFonts w:ascii="Bookman Old Style" w:hAnsi="Bookman Old Style"/>
        </w:rPr>
        <w:t>BOONY files criminal complaint for RA 9262 for alleged acts on February 12, 2025. This is six weeks after the settlement agreement and one month after the talaq became irrevocable.</w:t>
      </w:r>
    </w:p>
    <w:p w14:paraId="0DCF6318" w14:textId="77777777" w:rsidR="00EA2097" w:rsidRPr="003B67FB" w:rsidRDefault="00000000">
      <w:pPr>
        <w:pStyle w:val="Heading3"/>
        <w:rPr>
          <w:rFonts w:ascii="Bookman Old Style" w:hAnsi="Bookman Old Style"/>
        </w:rPr>
      </w:pPr>
      <w:r w:rsidRPr="003B67FB">
        <w:rPr>
          <w:rFonts w:ascii="Bookman Old Style" w:hAnsi="Bookman Old Style"/>
        </w:rPr>
        <w:t>Legal Analysis of Marital Status</w:t>
      </w:r>
    </w:p>
    <w:p w14:paraId="68194212" w14:textId="77777777" w:rsidR="00EA2097" w:rsidRPr="003B67FB" w:rsidRDefault="00000000">
      <w:pPr>
        <w:rPr>
          <w:rFonts w:ascii="Bookman Old Style" w:hAnsi="Bookman Old Style"/>
        </w:rPr>
      </w:pPr>
      <w:r w:rsidRPr="003B67FB">
        <w:rPr>
          <w:rFonts w:ascii="Bookman Old Style" w:hAnsi="Bookman Old Style"/>
        </w:rPr>
        <w:t>The critical legal question is: What was BOONY's marital status on February 12, 2025 (the date of alleged acts) and on May 21, 2025 (the date the complaint was filed)?</w:t>
      </w:r>
    </w:p>
    <w:p w14:paraId="2C0888C7" w14:textId="77777777" w:rsidR="00EA2097" w:rsidRPr="003B67FB" w:rsidRDefault="00000000">
      <w:pPr>
        <w:rPr>
          <w:rFonts w:ascii="Bookman Old Style" w:hAnsi="Bookman Old Style"/>
        </w:rPr>
      </w:pPr>
      <w:r w:rsidRPr="003B67FB">
        <w:rPr>
          <w:rFonts w:ascii="Bookman Old Style" w:hAnsi="Bookman Old Style"/>
        </w:rPr>
        <w:t>On February 12, 2025, ANDY had pronounced talaq on January 23, 2025 (20 days earlier), and BOONY had accepted it. She was observing the 'idda period. While the talaq was still technically revocable during 'idda, BOONY had left the marital dwelling and was not cohabiting with ANDY. The marriage had been effectively dissolved. BOONY was no longer ANDY's wife in the full matrimonial sense. She was a divorced woman observing a waiting period. Under Article 161 of PD 1083, ANDY had filed notice of the talaq with the Shari'ah Circuit Court Clerk.</w:t>
      </w:r>
    </w:p>
    <w:p w14:paraId="5E7404C5" w14:textId="77777777" w:rsidR="00EA2097" w:rsidRPr="003B67FB" w:rsidRDefault="00000000">
      <w:pPr>
        <w:rPr>
          <w:rFonts w:ascii="Bookman Old Style" w:hAnsi="Bookman Old Style"/>
        </w:rPr>
      </w:pPr>
      <w:r w:rsidRPr="003B67FB">
        <w:rPr>
          <w:rFonts w:ascii="Bookman Old Style" w:hAnsi="Bookman Old Style"/>
        </w:rPr>
        <w:lastRenderedPageBreak/>
        <w:t>On May 21, 2025, the 'idda period had expired around April 23, 2025. The talaq was absolutely irrevocable. All marital bonds were completely severed. BOONY was definitively and permanently divorced from ANDY. She was no longer his wife in any sense.</w:t>
      </w:r>
    </w:p>
    <w:p w14:paraId="23E7E88A" w14:textId="77777777" w:rsidR="00EA2097" w:rsidRPr="003B67FB" w:rsidRDefault="00000000">
      <w:pPr>
        <w:rPr>
          <w:rFonts w:ascii="Bookman Old Style" w:hAnsi="Bookman Old Style"/>
        </w:rPr>
      </w:pPr>
      <w:r w:rsidRPr="003B67FB">
        <w:rPr>
          <w:rFonts w:ascii="Bookman Old Style" w:hAnsi="Bookman Old Style"/>
        </w:rPr>
        <w:t>Republic Act No. 9262 applies to acts committed by "a woman who is his wife, former wife, or against a woman with whom the person has or had a sexual or dating relationship..." Under Section 3(a), the protected class includes current wives and former wives. However, the specific provision under which ANDY is charged - Section 5(i) - addresses acts causing anguish "to the woman or her child" in the context of an intimate relationship where control and abuse of power are present.</w:t>
      </w:r>
    </w:p>
    <w:p w14:paraId="12D0A9FC" w14:textId="77777777" w:rsidR="00EA2097" w:rsidRPr="003B67FB" w:rsidRDefault="00000000">
      <w:pPr>
        <w:rPr>
          <w:rFonts w:ascii="Bookman Old Style" w:hAnsi="Bookman Old Style"/>
        </w:rPr>
      </w:pPr>
      <w:r w:rsidRPr="003B67FB">
        <w:rPr>
          <w:rFonts w:ascii="Bookman Old Style" w:hAnsi="Bookman Old Style"/>
        </w:rPr>
        <w:t>The Supreme Court in G.R. No. 264870 made clear that RA 9262 is not intended to criminalize private relationship choices made after a marriage has effectively ended. The Court stated: "In non-traditional family setups and modern relationship arrangements with consciously consenting spouses, extramarital relationships may not inflict mental or emotional suffering and is not punishable as a crime under the law." Once ANDY pronounced talaq and BOONY accepted it, their "marital arrangement" became a "non-traditional setup" where both parties understood the marriage was over.</w:t>
      </w:r>
    </w:p>
    <w:p w14:paraId="6A15F6B2" w14:textId="77777777" w:rsidR="00EA2097" w:rsidRPr="003B67FB" w:rsidRDefault="00000000">
      <w:pPr>
        <w:pStyle w:val="Heading2"/>
        <w:rPr>
          <w:rFonts w:ascii="Bookman Old Style" w:hAnsi="Bookman Old Style"/>
        </w:rPr>
      </w:pPr>
      <w:r w:rsidRPr="003B67FB">
        <w:rPr>
          <w:rFonts w:ascii="Bookman Old Style" w:hAnsi="Bookman Old Style"/>
        </w:rPr>
        <w:t>D. BOONY's Admissions and Acknowledgments</w:t>
      </w:r>
    </w:p>
    <w:p w14:paraId="67A5F5CF" w14:textId="77777777" w:rsidR="00EA2097" w:rsidRPr="003B67FB" w:rsidRDefault="00000000">
      <w:pPr>
        <w:rPr>
          <w:rFonts w:ascii="Bookman Old Style" w:hAnsi="Bookman Old Style"/>
        </w:rPr>
      </w:pPr>
      <w:r w:rsidRPr="003B67FB">
        <w:rPr>
          <w:rFonts w:ascii="Bookman Old Style" w:hAnsi="Bookman Old Style"/>
        </w:rPr>
        <w:t>Perhaps the most damning evidence against BOONY's victimization narrative comes from her own words. In SMS messages exchanged around January 30, 2025 (screenshot taken February 6, 2025), BOONY made explicit and comprehensive admissions of fault:</w:t>
      </w:r>
    </w:p>
    <w:p w14:paraId="64D3FCA9" w14:textId="77777777" w:rsidR="00EA2097" w:rsidRPr="003B67FB" w:rsidRDefault="00000000">
      <w:pPr>
        <w:rPr>
          <w:rFonts w:ascii="Bookman Old Style" w:hAnsi="Bookman Old Style"/>
        </w:rPr>
      </w:pPr>
      <w:r w:rsidRPr="003B67FB">
        <w:rPr>
          <w:rFonts w:ascii="Bookman Old Style" w:hAnsi="Bookman Old Style"/>
          <w:b/>
        </w:rPr>
        <w:t xml:space="preserve">Admission 1: Numerous Mistakes: </w:t>
      </w:r>
      <w:r w:rsidRPr="003B67FB">
        <w:rPr>
          <w:rFonts w:ascii="Bookman Old Style" w:hAnsi="Bookman Old Style"/>
        </w:rPr>
        <w:t>BOONY admitted she made numerous mistakes (Tagalog: "mali") during the marriage.</w:t>
      </w:r>
    </w:p>
    <w:p w14:paraId="3390BFE7" w14:textId="77777777" w:rsidR="00EA2097" w:rsidRPr="003B67FB" w:rsidRDefault="00000000">
      <w:pPr>
        <w:rPr>
          <w:rFonts w:ascii="Bookman Old Style" w:hAnsi="Bookman Old Style"/>
        </w:rPr>
      </w:pPr>
      <w:r w:rsidRPr="003B67FB">
        <w:rPr>
          <w:rFonts w:ascii="Bookman Old Style" w:hAnsi="Bookman Old Style"/>
          <w:b/>
        </w:rPr>
        <w:t xml:space="preserve">Admission 2: Shortcomings: </w:t>
      </w:r>
      <w:r w:rsidRPr="003B67FB">
        <w:rPr>
          <w:rFonts w:ascii="Bookman Old Style" w:hAnsi="Bookman Old Style"/>
        </w:rPr>
        <w:t>BOONY admitted she had shortcomings (Tagalog: "pagkukulang") in fulfilling her role as a wife.</w:t>
      </w:r>
    </w:p>
    <w:p w14:paraId="531ED8F5" w14:textId="77777777" w:rsidR="00EA2097" w:rsidRPr="003B67FB" w:rsidRDefault="00000000">
      <w:pPr>
        <w:rPr>
          <w:rFonts w:ascii="Bookman Old Style" w:hAnsi="Bookman Old Style"/>
        </w:rPr>
      </w:pPr>
      <w:r w:rsidRPr="003B67FB">
        <w:rPr>
          <w:rFonts w:ascii="Bookman Old Style" w:hAnsi="Bookman Old Style"/>
          <w:b/>
        </w:rPr>
        <w:t xml:space="preserve">Admission 3: No Longer Good for ANDY: </w:t>
      </w:r>
      <w:r w:rsidRPr="003B67FB">
        <w:rPr>
          <w:rFonts w:ascii="Bookman Old Style" w:hAnsi="Bookman Old Style"/>
        </w:rPr>
        <w:t>BOONY admitted "hindi na ako maganda para sa iyo" - she is no longer good for ANDY and the people connected to or around him.</w:t>
      </w:r>
    </w:p>
    <w:p w14:paraId="61761940" w14:textId="77777777" w:rsidR="00EA2097" w:rsidRPr="003B67FB" w:rsidRDefault="00000000">
      <w:pPr>
        <w:rPr>
          <w:rFonts w:ascii="Bookman Old Style" w:hAnsi="Bookman Old Style"/>
        </w:rPr>
      </w:pPr>
      <w:r w:rsidRPr="003B67FB">
        <w:rPr>
          <w:rFonts w:ascii="Bookman Old Style" w:hAnsi="Bookman Old Style"/>
          <w:b/>
        </w:rPr>
        <w:t xml:space="preserve">Admission 4: Not a Source of Peace: </w:t>
      </w:r>
      <w:r w:rsidRPr="003B67FB">
        <w:rPr>
          <w:rFonts w:ascii="Bookman Old Style" w:hAnsi="Bookman Old Style"/>
        </w:rPr>
        <w:t>BOONY admitted she is no longer the source of peace (tranquility/kapayapaan) in their relationship.</w:t>
      </w:r>
    </w:p>
    <w:p w14:paraId="0AB39BD2" w14:textId="77777777" w:rsidR="00EA2097" w:rsidRPr="003B67FB" w:rsidRDefault="00000000">
      <w:pPr>
        <w:rPr>
          <w:rFonts w:ascii="Bookman Old Style" w:hAnsi="Bookman Old Style"/>
        </w:rPr>
      </w:pPr>
      <w:r w:rsidRPr="003B67FB">
        <w:rPr>
          <w:rFonts w:ascii="Bookman Old Style" w:hAnsi="Bookman Old Style"/>
          <w:b/>
        </w:rPr>
        <w:lastRenderedPageBreak/>
        <w:t xml:space="preserve">Admission 5: Caused Pain: </w:t>
      </w:r>
      <w:r w:rsidRPr="003B67FB">
        <w:rPr>
          <w:rFonts w:ascii="Bookman Old Style" w:hAnsi="Bookman Old Style"/>
        </w:rPr>
        <w:t>BOONY admitted she caused ANDY so much pain (sakit) when they fought.</w:t>
      </w:r>
    </w:p>
    <w:p w14:paraId="276D8C86" w14:textId="77777777" w:rsidR="00EA2097" w:rsidRPr="003B67FB" w:rsidRDefault="00000000">
      <w:pPr>
        <w:rPr>
          <w:rFonts w:ascii="Bookman Old Style" w:hAnsi="Bookman Old Style"/>
        </w:rPr>
      </w:pPr>
      <w:r w:rsidRPr="003B67FB">
        <w:rPr>
          <w:rFonts w:ascii="Bookman Old Style" w:hAnsi="Bookman Old Style"/>
          <w:b/>
        </w:rPr>
        <w:t xml:space="preserve">Admission 6: Caused Damage: </w:t>
      </w:r>
      <w:r w:rsidRPr="003B67FB">
        <w:rPr>
          <w:rFonts w:ascii="Bookman Old Style" w:hAnsi="Bookman Old Style"/>
        </w:rPr>
        <w:t>BOONY admitted she caused damage (Tagalog: "nasira") to ANDY and other people.</w:t>
      </w:r>
    </w:p>
    <w:p w14:paraId="30B4C43A" w14:textId="77777777" w:rsidR="00EA2097" w:rsidRPr="003B67FB" w:rsidRDefault="00000000">
      <w:pPr>
        <w:rPr>
          <w:rFonts w:ascii="Bookman Old Style" w:hAnsi="Bookman Old Style"/>
        </w:rPr>
      </w:pPr>
      <w:r w:rsidRPr="003B67FB">
        <w:rPr>
          <w:rFonts w:ascii="Bookman Old Style" w:hAnsi="Bookman Old Style"/>
          <w:b/>
        </w:rPr>
        <w:t xml:space="preserve">Admission 7: Failed Trust: </w:t>
      </w:r>
      <w:r w:rsidRPr="003B67FB">
        <w:rPr>
          <w:rFonts w:ascii="Bookman Old Style" w:hAnsi="Bookman Old Style"/>
        </w:rPr>
        <w:t>BOONY admitted she failed the trust that ANDY gave her.</w:t>
      </w:r>
    </w:p>
    <w:p w14:paraId="21D8ACDB" w14:textId="77777777" w:rsidR="00EA2097" w:rsidRPr="003B67FB" w:rsidRDefault="00000000">
      <w:pPr>
        <w:rPr>
          <w:rFonts w:ascii="Bookman Old Style" w:hAnsi="Bookman Old Style"/>
        </w:rPr>
      </w:pPr>
      <w:r w:rsidRPr="003B67FB">
        <w:rPr>
          <w:rFonts w:ascii="Bookman Old Style" w:hAnsi="Bookman Old Style"/>
        </w:rPr>
        <w:t>These admissions are crucial for several reasons:</w:t>
      </w:r>
    </w:p>
    <w:p w14:paraId="106C017D" w14:textId="77777777" w:rsidR="00EA2097" w:rsidRPr="003B67FB" w:rsidRDefault="00000000">
      <w:pPr>
        <w:rPr>
          <w:rFonts w:ascii="Bookman Old Style" w:hAnsi="Bookman Old Style"/>
        </w:rPr>
      </w:pPr>
      <w:r w:rsidRPr="003B67FB">
        <w:rPr>
          <w:rFonts w:ascii="Bookman Old Style" w:hAnsi="Bookman Old Style"/>
        </w:rPr>
        <w:t>First, they establish that BOONY herself recognized and acknowledged that she was the source of marital problems, not ANDY. She admits toxic behavior, inability to provide peace, causing pain, and damaging ANDY.</w:t>
      </w:r>
    </w:p>
    <w:p w14:paraId="1A81C72B" w14:textId="77777777" w:rsidR="00EA2097" w:rsidRPr="003B67FB" w:rsidRDefault="00000000">
      <w:pPr>
        <w:rPr>
          <w:rFonts w:ascii="Bookman Old Style" w:hAnsi="Bookman Old Style"/>
        </w:rPr>
      </w:pPr>
      <w:r w:rsidRPr="003B67FB">
        <w:rPr>
          <w:rFonts w:ascii="Bookman Old Style" w:hAnsi="Bookman Old Style"/>
        </w:rPr>
        <w:t>Second, they demonstrate that BOONY was not a helpless victim but a willing participant who understood her own culpability in the marriage's failure.</w:t>
      </w:r>
    </w:p>
    <w:p w14:paraId="7FC27D48" w14:textId="77777777" w:rsidR="00EA2097" w:rsidRPr="003B67FB" w:rsidRDefault="00000000">
      <w:pPr>
        <w:rPr>
          <w:rFonts w:ascii="Bookman Old Style" w:hAnsi="Bookman Old Style"/>
        </w:rPr>
      </w:pPr>
      <w:r w:rsidRPr="003B67FB">
        <w:rPr>
          <w:rFonts w:ascii="Bookman Old Style" w:hAnsi="Bookman Old Style"/>
        </w:rPr>
        <w:t>Third, they undermine any claim that ANDY engaged in psychological violence against BOONY. If anyone was psychologically abused, it was ANDY who suffered from BOONY's admitted toxic behaviors.</w:t>
      </w:r>
    </w:p>
    <w:p w14:paraId="634D29FE" w14:textId="77777777" w:rsidR="00EA2097" w:rsidRPr="003B67FB" w:rsidRDefault="00000000">
      <w:pPr>
        <w:rPr>
          <w:rFonts w:ascii="Bookman Old Style" w:hAnsi="Bookman Old Style"/>
        </w:rPr>
      </w:pPr>
      <w:r w:rsidRPr="003B67FB">
        <w:rPr>
          <w:rFonts w:ascii="Bookman Old Style" w:hAnsi="Bookman Old Style"/>
        </w:rPr>
        <w:t>Fourth, they show that BOONY accepted responsibility for the marriage ending. She did not, at that time, blame ANDY or claim victimization.</w:t>
      </w:r>
    </w:p>
    <w:p w14:paraId="2250D243" w14:textId="77777777" w:rsidR="00EA2097" w:rsidRPr="003B67FB" w:rsidRDefault="00000000">
      <w:pPr>
        <w:rPr>
          <w:rFonts w:ascii="Bookman Old Style" w:hAnsi="Bookman Old Style"/>
        </w:rPr>
      </w:pPr>
      <w:r w:rsidRPr="003B67FB">
        <w:rPr>
          <w:rFonts w:ascii="Bookman Old Style" w:hAnsi="Bookman Old Style"/>
        </w:rPr>
        <w:t>Fifth, these admissions constitute powerful evidence that BOONY's later criminal complaint is motivated by retaliation and vindictiveness rather than genuine victimization. Having initially accepted responsibility, she later reversed course and filed false criminal charges.</w:t>
      </w:r>
    </w:p>
    <w:p w14:paraId="119F17C7" w14:textId="77777777" w:rsidR="00EA2097" w:rsidRPr="003B67FB" w:rsidRDefault="00000000">
      <w:pPr>
        <w:rPr>
          <w:rFonts w:ascii="Bookman Old Style" w:hAnsi="Bookman Old Style"/>
        </w:rPr>
      </w:pPr>
      <w:r w:rsidRPr="003B67FB">
        <w:rPr>
          <w:rFonts w:ascii="Bookman Old Style" w:hAnsi="Bookman Old Style"/>
        </w:rPr>
        <w:br w:type="page"/>
      </w:r>
    </w:p>
    <w:p w14:paraId="1F5FF30E" w14:textId="77777777" w:rsidR="00EA2097" w:rsidRPr="003B67FB" w:rsidRDefault="00000000">
      <w:pPr>
        <w:pStyle w:val="Heading1"/>
        <w:rPr>
          <w:rFonts w:ascii="Bookman Old Style" w:hAnsi="Bookman Old Style"/>
        </w:rPr>
      </w:pPr>
      <w:r w:rsidRPr="003B67FB">
        <w:rPr>
          <w:rFonts w:ascii="Bookman Old Style" w:hAnsi="Bookman Old Style"/>
        </w:rPr>
        <w:lastRenderedPageBreak/>
        <w:t>PART III: THE LANDMARK SUPREME COURT RULING IN G.R. NO. 264870</w:t>
      </w:r>
    </w:p>
    <w:p w14:paraId="3EFC17AF" w14:textId="77777777" w:rsidR="00EA2097" w:rsidRPr="003B67FB" w:rsidRDefault="00000000">
      <w:pPr>
        <w:pStyle w:val="Heading2"/>
        <w:rPr>
          <w:rFonts w:ascii="Bookman Old Style" w:hAnsi="Bookman Old Style"/>
        </w:rPr>
      </w:pPr>
      <w:r w:rsidRPr="003B67FB">
        <w:rPr>
          <w:rFonts w:ascii="Bookman Old Style" w:hAnsi="Bookman Old Style"/>
        </w:rPr>
        <w:t>A. Background and Context of the Case</w:t>
      </w:r>
    </w:p>
    <w:p w14:paraId="682565DF" w14:textId="77777777" w:rsidR="00EA2097" w:rsidRPr="003B67FB" w:rsidRDefault="00000000">
      <w:pPr>
        <w:rPr>
          <w:rFonts w:ascii="Bookman Old Style" w:hAnsi="Bookman Old Style"/>
        </w:rPr>
      </w:pPr>
      <w:r w:rsidRPr="003B67FB">
        <w:rPr>
          <w:rFonts w:ascii="Bookman Old Style" w:hAnsi="Bookman Old Style"/>
        </w:rPr>
        <w:t>On April 21, 2025, the Supreme Court Second Division issued a decision that represents perhaps the most significant reinterpretation of Section 5(i) of Republic Act No. 9262 since the law was enacted in 2004. The case, G.R. No. 264870, involved a husband (XXX264870) who had an extramarital affair with his wife's close friend (BBB264870) and fathered a child with her. The wife (AAA264870) filed criminal charges under Section 5(h) of RA 9262.</w:t>
      </w:r>
    </w:p>
    <w:p w14:paraId="7DC1F8EB" w14:textId="77777777" w:rsidR="00EA2097" w:rsidRPr="003B67FB" w:rsidRDefault="00000000">
      <w:pPr>
        <w:rPr>
          <w:rFonts w:ascii="Bookman Old Style" w:hAnsi="Bookman Old Style"/>
        </w:rPr>
      </w:pPr>
      <w:r w:rsidRPr="003B67FB">
        <w:rPr>
          <w:rFonts w:ascii="Bookman Old Style" w:hAnsi="Bookman Old Style"/>
        </w:rPr>
        <w:t>The Regional Trial Court found XXX264870 guilty, not under Section 5(h) as charged, but under Section 5(i) for causing psychological violence resulting in emotional anguish. The Court of Appeals affirmed. XXX264870 was sentenced to imprisonment of up to eight years, fined PHP 100,000, ordered to pay PHP 20,000 in moral damages, and required to attend monthly psychological counseling sessions.</w:t>
      </w:r>
    </w:p>
    <w:p w14:paraId="15775891" w14:textId="77777777" w:rsidR="00EA2097" w:rsidRPr="003B67FB" w:rsidRDefault="00000000">
      <w:pPr>
        <w:pStyle w:val="Heading2"/>
        <w:rPr>
          <w:rFonts w:ascii="Bookman Old Style" w:hAnsi="Bookman Old Style"/>
        </w:rPr>
      </w:pPr>
      <w:r w:rsidRPr="003B67FB">
        <w:rPr>
          <w:rFonts w:ascii="Bookman Old Style" w:hAnsi="Bookman Old Style"/>
        </w:rPr>
        <w:t>B. The Wife's Recantation - A Critical Turn</w:t>
      </w:r>
    </w:p>
    <w:p w14:paraId="1E8D7CA2" w14:textId="77777777" w:rsidR="00EA2097" w:rsidRPr="003B67FB" w:rsidRDefault="00000000">
      <w:pPr>
        <w:rPr>
          <w:rFonts w:ascii="Bookman Old Style" w:hAnsi="Bookman Old Style"/>
        </w:rPr>
      </w:pPr>
      <w:r w:rsidRPr="003B67FB">
        <w:rPr>
          <w:rFonts w:ascii="Bookman Old Style" w:hAnsi="Bookman Old Style"/>
        </w:rPr>
        <w:t>After conviction, AAA264870 executed an Affidavit of Recantation that became central to the Supreme Court's analysis. In this affidavit, she declared:</w:t>
      </w:r>
    </w:p>
    <w:p w14:paraId="34F3110B" w14:textId="77777777" w:rsidR="00EA2097" w:rsidRPr="003B67FB" w:rsidRDefault="00000000">
      <w:pPr>
        <w:rPr>
          <w:rFonts w:ascii="Bookman Old Style" w:hAnsi="Bookman Old Style"/>
        </w:rPr>
      </w:pPr>
      <w:r w:rsidRPr="003B67FB">
        <w:rPr>
          <w:rFonts w:ascii="Bookman Old Style" w:hAnsi="Bookman Old Style"/>
        </w:rPr>
        <w:t>• She had not suffered anguish or trauma due to her husband's affair</w:t>
      </w:r>
    </w:p>
    <w:p w14:paraId="6BE1A3B1" w14:textId="77777777" w:rsidR="00EA2097" w:rsidRPr="003B67FB" w:rsidRDefault="00000000">
      <w:pPr>
        <w:rPr>
          <w:rFonts w:ascii="Bookman Old Style" w:hAnsi="Bookman Old Style"/>
        </w:rPr>
      </w:pPr>
      <w:r w:rsidRPr="003B67FB">
        <w:rPr>
          <w:rFonts w:ascii="Bookman Old Style" w:hAnsi="Bookman Old Style"/>
        </w:rPr>
        <w:t>• They had been living separately long before the affair began</w:t>
      </w:r>
    </w:p>
    <w:p w14:paraId="4A51AF31" w14:textId="77777777" w:rsidR="00EA2097" w:rsidRPr="003B67FB" w:rsidRDefault="00000000">
      <w:pPr>
        <w:rPr>
          <w:rFonts w:ascii="Bookman Old Style" w:hAnsi="Bookman Old Style"/>
        </w:rPr>
      </w:pPr>
      <w:r w:rsidRPr="003B67FB">
        <w:rPr>
          <w:rFonts w:ascii="Bookman Old Style" w:hAnsi="Bookman Old Style"/>
        </w:rPr>
        <w:t>• Both she and her husband understood the possibility of having new relationships given their separation</w:t>
      </w:r>
    </w:p>
    <w:p w14:paraId="3ABAC83D" w14:textId="77777777" w:rsidR="00EA2097" w:rsidRPr="003B67FB" w:rsidRDefault="00000000">
      <w:pPr>
        <w:rPr>
          <w:rFonts w:ascii="Bookman Old Style" w:hAnsi="Bookman Old Style"/>
        </w:rPr>
      </w:pPr>
      <w:r w:rsidRPr="003B67FB">
        <w:rPr>
          <w:rFonts w:ascii="Bookman Old Style" w:hAnsi="Bookman Old Style"/>
        </w:rPr>
        <w:t>• She filed the criminal case largely out of feelings of betrayal toward her friend BBB264870, not because of emotional abuse from her husband</w:t>
      </w:r>
    </w:p>
    <w:p w14:paraId="2AA0930B" w14:textId="77777777" w:rsidR="00EA2097" w:rsidRPr="003B67FB" w:rsidRDefault="00000000">
      <w:pPr>
        <w:rPr>
          <w:rFonts w:ascii="Bookman Old Style" w:hAnsi="Bookman Old Style"/>
        </w:rPr>
      </w:pPr>
      <w:r w:rsidRPr="003B67FB">
        <w:rPr>
          <w:rFonts w:ascii="Bookman Old Style" w:hAnsi="Bookman Old Style"/>
        </w:rPr>
        <w:t>• The criminal prosecution was not motivated by genuine psychological harm but by anger at the friend</w:t>
      </w:r>
    </w:p>
    <w:p w14:paraId="6D35E064" w14:textId="77777777" w:rsidR="00EA2097" w:rsidRPr="003B67FB" w:rsidRDefault="00000000">
      <w:pPr>
        <w:rPr>
          <w:rFonts w:ascii="Bookman Old Style" w:hAnsi="Bookman Old Style"/>
        </w:rPr>
      </w:pPr>
      <w:r w:rsidRPr="003B67FB">
        <w:rPr>
          <w:rFonts w:ascii="Bookman Old Style" w:hAnsi="Bookman Old Style"/>
        </w:rPr>
        <w:t>The Court of Appeals had dismissed this affidavit as unreliable, following the general rule that recantations are viewed with suspicion. However, the Supreme Court took a different approach.</w:t>
      </w:r>
    </w:p>
    <w:p w14:paraId="46EE3C89" w14:textId="77777777" w:rsidR="00EA2097" w:rsidRPr="003B67FB" w:rsidRDefault="00000000">
      <w:pPr>
        <w:pStyle w:val="Heading2"/>
        <w:rPr>
          <w:rFonts w:ascii="Bookman Old Style" w:hAnsi="Bookman Old Style"/>
        </w:rPr>
      </w:pPr>
      <w:r w:rsidRPr="003B67FB">
        <w:rPr>
          <w:rFonts w:ascii="Bookman Old Style" w:hAnsi="Bookman Old Style"/>
        </w:rPr>
        <w:lastRenderedPageBreak/>
        <w:t>C. The Supreme Court's Revolutionary Legal Holding</w:t>
      </w:r>
    </w:p>
    <w:p w14:paraId="3C95364D" w14:textId="77777777" w:rsidR="00EA2097" w:rsidRPr="003B67FB" w:rsidRDefault="00000000">
      <w:pPr>
        <w:pStyle w:val="Heading3"/>
        <w:rPr>
          <w:rFonts w:ascii="Bookman Old Style" w:hAnsi="Bookman Old Style"/>
        </w:rPr>
      </w:pPr>
      <w:r w:rsidRPr="003B67FB">
        <w:rPr>
          <w:rFonts w:ascii="Bookman Old Style" w:hAnsi="Bookman Old Style"/>
        </w:rPr>
        <w:t>The Core Principle</w:t>
      </w:r>
    </w:p>
    <w:p w14:paraId="4350FC58" w14:textId="77777777" w:rsidR="00EA2097" w:rsidRPr="003B67FB" w:rsidRDefault="00000000">
      <w:pPr>
        <w:rPr>
          <w:rFonts w:ascii="Bookman Old Style" w:hAnsi="Bookman Old Style"/>
        </w:rPr>
      </w:pPr>
      <w:r w:rsidRPr="003B67FB">
        <w:rPr>
          <w:rFonts w:ascii="Bookman Old Style" w:hAnsi="Bookman Old Style"/>
          <w:b/>
        </w:rPr>
        <w:t xml:space="preserve">The Supreme Court held that: </w:t>
      </w:r>
      <w:r w:rsidRPr="003B67FB">
        <w:rPr>
          <w:rFonts w:ascii="Bookman Old Style" w:hAnsi="Bookman Old Style"/>
          <w:b/>
          <w:i/>
        </w:rPr>
        <w:t>"Marital infidelity per se is not a form of psychological violence criminalized by Republic Act No. 9262."</w:t>
      </w:r>
    </w:p>
    <w:p w14:paraId="14ED83AE" w14:textId="77777777" w:rsidR="00EA2097" w:rsidRPr="003B67FB" w:rsidRDefault="00000000">
      <w:pPr>
        <w:rPr>
          <w:rFonts w:ascii="Bookman Old Style" w:hAnsi="Bookman Old Style"/>
        </w:rPr>
      </w:pPr>
      <w:r w:rsidRPr="003B67FB">
        <w:rPr>
          <w:rFonts w:ascii="Bookman Old Style" w:hAnsi="Bookman Old Style"/>
        </w:rPr>
        <w:t>This holding fundamentally changes the interpretation and application of Section 5(i). Prior to this decision, lower courts had been routinely convicting defendants for marital infidelity based solely on proof that: (1) an affair occurred; and (2) the spouse experienced emotional distress. The Supreme Court rejected this approach.</w:t>
      </w:r>
    </w:p>
    <w:p w14:paraId="76E1572A" w14:textId="77777777" w:rsidR="00EA2097" w:rsidRPr="003B67FB" w:rsidRDefault="00000000">
      <w:pPr>
        <w:pStyle w:val="Heading3"/>
        <w:rPr>
          <w:rFonts w:ascii="Bookman Old Style" w:hAnsi="Bookman Old Style"/>
        </w:rPr>
      </w:pPr>
      <w:r w:rsidRPr="003B67FB">
        <w:rPr>
          <w:rFonts w:ascii="Bookman Old Style" w:hAnsi="Bookman Old Style"/>
        </w:rPr>
        <w:t>Justice Leonen's Comprehensive Analysis</w:t>
      </w:r>
    </w:p>
    <w:p w14:paraId="3DD9E5DC" w14:textId="77777777" w:rsidR="00EA2097" w:rsidRPr="003B67FB" w:rsidRDefault="00000000">
      <w:pPr>
        <w:rPr>
          <w:rFonts w:ascii="Bookman Old Style" w:hAnsi="Bookman Old Style"/>
        </w:rPr>
      </w:pPr>
      <w:r w:rsidRPr="003B67FB">
        <w:rPr>
          <w:rFonts w:ascii="Bookman Old Style" w:hAnsi="Bookman Old Style"/>
        </w:rPr>
        <w:t>Justice Marvic M.V.F. Leonen penned the majority opinion, which contains several key analytical components:</w:t>
      </w:r>
    </w:p>
    <w:p w14:paraId="6B540FA5" w14:textId="77777777" w:rsidR="00EA2097" w:rsidRPr="003B67FB" w:rsidRDefault="00000000">
      <w:pPr>
        <w:rPr>
          <w:rFonts w:ascii="Bookman Old Style" w:hAnsi="Bookman Old Style"/>
        </w:rPr>
      </w:pPr>
      <w:r w:rsidRPr="003B67FB">
        <w:rPr>
          <w:rFonts w:ascii="Bookman Old Style" w:hAnsi="Bookman Old Style"/>
          <w:b/>
        </w:rPr>
        <w:t>1. The Purpose and Nature of RA 9262:</w:t>
      </w:r>
    </w:p>
    <w:p w14:paraId="12E92E45" w14:textId="77777777" w:rsidR="00EA2097" w:rsidRPr="003B67FB" w:rsidRDefault="00000000">
      <w:pPr>
        <w:rPr>
          <w:rFonts w:ascii="Bookman Old Style" w:hAnsi="Bookman Old Style"/>
        </w:rPr>
      </w:pPr>
      <w:r w:rsidRPr="003B67FB">
        <w:rPr>
          <w:rFonts w:ascii="Bookman Old Style" w:hAnsi="Bookman Old Style"/>
        </w:rPr>
        <w:t>The Court emphasized that RA 9262 was enacted to address gender-based violence rooted in patriarchy and abuse of power within intimate relationships. The law targets systematic patterns of domination, control, and coercion - not merely actions that cause emotional pain.</w:t>
      </w:r>
    </w:p>
    <w:p w14:paraId="16A0D42D" w14:textId="77777777" w:rsidR="00EA2097" w:rsidRPr="003B67FB" w:rsidRDefault="00000000">
      <w:pPr>
        <w:rPr>
          <w:rFonts w:ascii="Bookman Old Style" w:hAnsi="Bookman Old Style"/>
        </w:rPr>
      </w:pPr>
      <w:r w:rsidRPr="003B67FB">
        <w:rPr>
          <w:rFonts w:ascii="Bookman Old Style" w:hAnsi="Bookman Old Style"/>
          <w:i/>
        </w:rPr>
        <w:t>"Republic Act No. 9262 looks at the effects of a certain act or omission against a woman or their child, rather than the motive of the offender."</w:t>
      </w:r>
    </w:p>
    <w:p w14:paraId="32F88449" w14:textId="77777777" w:rsidR="00EA2097" w:rsidRPr="003B67FB" w:rsidRDefault="00000000">
      <w:pPr>
        <w:rPr>
          <w:rFonts w:ascii="Bookman Old Style" w:hAnsi="Bookman Old Style"/>
        </w:rPr>
      </w:pPr>
      <w:r w:rsidRPr="003B67FB">
        <w:rPr>
          <w:rFonts w:ascii="Bookman Old Style" w:hAnsi="Bookman Old Style"/>
        </w:rPr>
        <w:t>However, the Court clarified that this does not mean ANY act causing emotional distress is criminal. The act must be part of a pattern of abuse and must involve an abuse of power or control.</w:t>
      </w:r>
    </w:p>
    <w:p w14:paraId="02F7B85E" w14:textId="77777777" w:rsidR="00EA2097" w:rsidRPr="003B67FB" w:rsidRDefault="00000000">
      <w:pPr>
        <w:rPr>
          <w:rFonts w:ascii="Bookman Old Style" w:hAnsi="Bookman Old Style"/>
        </w:rPr>
      </w:pPr>
      <w:r w:rsidRPr="003B67FB">
        <w:rPr>
          <w:rFonts w:ascii="Bookman Old Style" w:hAnsi="Bookman Old Style"/>
          <w:b/>
        </w:rPr>
        <w:t>2. The Two-Element Test for Psychological Violence:</w:t>
      </w:r>
    </w:p>
    <w:p w14:paraId="7468AB70" w14:textId="77777777" w:rsidR="00EA2097" w:rsidRPr="003B67FB" w:rsidRDefault="00000000">
      <w:pPr>
        <w:rPr>
          <w:rFonts w:ascii="Bookman Old Style" w:hAnsi="Bookman Old Style"/>
        </w:rPr>
      </w:pPr>
      <w:r w:rsidRPr="003B67FB">
        <w:rPr>
          <w:rFonts w:ascii="Bookman Old Style" w:hAnsi="Bookman Old Style"/>
        </w:rPr>
        <w:t>Justice Leonen clarified that psychological violence under Section 5(i) involves two distinct and necessary elements:</w:t>
      </w:r>
    </w:p>
    <w:p w14:paraId="6E85D7DB" w14:textId="77777777" w:rsidR="00EA2097" w:rsidRPr="003B67FB" w:rsidRDefault="00000000">
      <w:pPr>
        <w:rPr>
          <w:rFonts w:ascii="Bookman Old Style" w:hAnsi="Bookman Old Style"/>
        </w:rPr>
      </w:pPr>
      <w:r w:rsidRPr="003B67FB">
        <w:rPr>
          <w:rFonts w:ascii="Bookman Old Style" w:hAnsi="Bookman Old Style"/>
          <w:b/>
        </w:rPr>
        <w:t xml:space="preserve">Element One: </w:t>
      </w:r>
      <w:r w:rsidRPr="003B67FB">
        <w:rPr>
          <w:rFonts w:ascii="Bookman Old Style" w:hAnsi="Bookman Old Style"/>
        </w:rPr>
        <w:t>An act of psychological abuse (such as intimidation, harassment, humiliation, or coercion) that is INTENDED to cause harm to the woman or child. The act must be deliberate and calculated to cause psychological suffering.</w:t>
      </w:r>
    </w:p>
    <w:p w14:paraId="1FB6DA2E" w14:textId="77777777" w:rsidR="00EA2097" w:rsidRPr="003B67FB" w:rsidRDefault="00000000">
      <w:pPr>
        <w:rPr>
          <w:rFonts w:ascii="Bookman Old Style" w:hAnsi="Bookman Old Style"/>
        </w:rPr>
      </w:pPr>
      <w:r w:rsidRPr="003B67FB">
        <w:rPr>
          <w:rFonts w:ascii="Bookman Old Style" w:hAnsi="Bookman Old Style"/>
          <w:b/>
        </w:rPr>
        <w:t xml:space="preserve">Element Two: </w:t>
      </w:r>
      <w:r w:rsidRPr="003B67FB">
        <w:rPr>
          <w:rFonts w:ascii="Bookman Old Style" w:hAnsi="Bookman Old Style"/>
        </w:rPr>
        <w:t>The resulting mental or emotional anguish of the woman or her child. This is the effect or consequence of the psychological abuse.</w:t>
      </w:r>
    </w:p>
    <w:p w14:paraId="44DCE6A9" w14:textId="77777777" w:rsidR="00EA2097" w:rsidRPr="003B67FB" w:rsidRDefault="00000000">
      <w:pPr>
        <w:rPr>
          <w:rFonts w:ascii="Bookman Old Style" w:hAnsi="Bookman Old Style"/>
        </w:rPr>
      </w:pPr>
      <w:r w:rsidRPr="003B67FB">
        <w:rPr>
          <w:rFonts w:ascii="Bookman Old Style" w:hAnsi="Bookman Old Style"/>
          <w:b/>
        </w:rPr>
        <w:lastRenderedPageBreak/>
        <w:t xml:space="preserve">CRITICAL: </w:t>
      </w:r>
      <w:r w:rsidRPr="003B67FB">
        <w:rPr>
          <w:rFonts w:ascii="Bookman Old Style" w:hAnsi="Bookman Old Style"/>
        </w:rPr>
        <w:t xml:space="preserve">Both elements must be proven. The effect alone - emotional anguish - does not suffice for conviction. As Justice Leonen stated: </w:t>
      </w:r>
      <w:r w:rsidRPr="003B67FB">
        <w:rPr>
          <w:rFonts w:ascii="Bookman Old Style" w:hAnsi="Bookman Old Style"/>
          <w:b/>
          <w:i/>
        </w:rPr>
        <w:t>"The effect alone - her anguish - does not suffice for conviction."</w:t>
      </w:r>
    </w:p>
    <w:p w14:paraId="6989B3F7" w14:textId="77777777" w:rsidR="00EA2097" w:rsidRPr="003B67FB" w:rsidRDefault="00000000">
      <w:pPr>
        <w:rPr>
          <w:rFonts w:ascii="Bookman Old Style" w:hAnsi="Bookman Old Style"/>
        </w:rPr>
      </w:pPr>
      <w:r w:rsidRPr="003B67FB">
        <w:rPr>
          <w:rFonts w:ascii="Bookman Old Style" w:hAnsi="Bookman Old Style"/>
          <w:b/>
        </w:rPr>
        <w:t>3. Intent and Pattern of Domination:</w:t>
      </w:r>
    </w:p>
    <w:p w14:paraId="62C9EB03" w14:textId="77777777" w:rsidR="00EA2097" w:rsidRPr="003B67FB" w:rsidRDefault="00000000">
      <w:pPr>
        <w:rPr>
          <w:rFonts w:ascii="Bookman Old Style" w:hAnsi="Bookman Old Style"/>
        </w:rPr>
      </w:pPr>
      <w:r w:rsidRPr="003B67FB">
        <w:rPr>
          <w:rFonts w:ascii="Bookman Old Style" w:hAnsi="Bookman Old Style"/>
        </w:rPr>
        <w:t>The Court held that for marital infidelity to constitute psychological violence, the prosecution must prove:</w:t>
      </w:r>
    </w:p>
    <w:p w14:paraId="7749BB96" w14:textId="77777777" w:rsidR="00EA2097" w:rsidRPr="003B67FB" w:rsidRDefault="00000000">
      <w:pPr>
        <w:rPr>
          <w:rFonts w:ascii="Bookman Old Style" w:hAnsi="Bookman Old Style"/>
        </w:rPr>
      </w:pPr>
      <w:r w:rsidRPr="003B67FB">
        <w:rPr>
          <w:rFonts w:ascii="Bookman Old Style" w:hAnsi="Bookman Old Style"/>
        </w:rPr>
        <w:t>• The accused acted with INTENT to cause psychological harm (not merely that harm occurred)</w:t>
      </w:r>
    </w:p>
    <w:p w14:paraId="62AE601A" w14:textId="77777777" w:rsidR="00EA2097" w:rsidRPr="003B67FB" w:rsidRDefault="00000000">
      <w:pPr>
        <w:rPr>
          <w:rFonts w:ascii="Bookman Old Style" w:hAnsi="Bookman Old Style"/>
        </w:rPr>
      </w:pPr>
      <w:r w:rsidRPr="003B67FB">
        <w:rPr>
          <w:rFonts w:ascii="Bookman Old Style" w:hAnsi="Bookman Old Style"/>
        </w:rPr>
        <w:t>• The infidelity was part of a PATTERN of domination or coercion</w:t>
      </w:r>
    </w:p>
    <w:p w14:paraId="56A9B3F7" w14:textId="77777777" w:rsidR="00EA2097" w:rsidRPr="003B67FB" w:rsidRDefault="00000000">
      <w:pPr>
        <w:rPr>
          <w:rFonts w:ascii="Bookman Old Style" w:hAnsi="Bookman Old Style"/>
        </w:rPr>
      </w:pPr>
      <w:r w:rsidRPr="003B67FB">
        <w:rPr>
          <w:rFonts w:ascii="Bookman Old Style" w:hAnsi="Bookman Old Style"/>
        </w:rPr>
        <w:t>• The behavior constituted an ABUSE OF POWER within the relationship</w:t>
      </w:r>
    </w:p>
    <w:p w14:paraId="4769E17F" w14:textId="77777777" w:rsidR="00EA2097" w:rsidRPr="003B67FB" w:rsidRDefault="00000000">
      <w:pPr>
        <w:rPr>
          <w:rFonts w:ascii="Bookman Old Style" w:hAnsi="Bookman Old Style"/>
        </w:rPr>
      </w:pPr>
      <w:r w:rsidRPr="003B67FB">
        <w:rPr>
          <w:rFonts w:ascii="Bookman Old Style" w:hAnsi="Bookman Old Style"/>
        </w:rPr>
        <w:t>• The acts were designed to intimidate, control, or systematically degrade the victim</w:t>
      </w:r>
    </w:p>
    <w:p w14:paraId="43FCAC03" w14:textId="77777777" w:rsidR="00EA2097" w:rsidRPr="003B67FB" w:rsidRDefault="00000000">
      <w:pPr>
        <w:rPr>
          <w:rFonts w:ascii="Bookman Old Style" w:hAnsi="Bookman Old Style"/>
        </w:rPr>
      </w:pPr>
      <w:r w:rsidRPr="003B67FB">
        <w:rPr>
          <w:rFonts w:ascii="Bookman Old Style" w:hAnsi="Bookman Old Style"/>
        </w:rPr>
        <w:t>Mere infidelity that causes emotional pain does not meet these requirements. As the Court stated:</w:t>
      </w:r>
    </w:p>
    <w:p w14:paraId="4F5FD7FD" w14:textId="77777777" w:rsidR="00EA2097" w:rsidRPr="003B67FB" w:rsidRDefault="00000000">
      <w:pPr>
        <w:rPr>
          <w:rFonts w:ascii="Bookman Old Style" w:hAnsi="Bookman Old Style"/>
        </w:rPr>
      </w:pPr>
      <w:r w:rsidRPr="003B67FB">
        <w:rPr>
          <w:rFonts w:ascii="Bookman Old Style" w:hAnsi="Bookman Old Style"/>
          <w:b/>
          <w:i/>
        </w:rPr>
        <w:t>"While infidelity may cause emotional pain, not every affair rises to the level of criminal conduct. RA 9262 must not be used as a State instrument to punish moral transgressions or intrude into the private realm of human relationships."</w:t>
      </w:r>
    </w:p>
    <w:p w14:paraId="2AEDEA24" w14:textId="77777777" w:rsidR="00EA2097" w:rsidRPr="003B67FB" w:rsidRDefault="00000000">
      <w:pPr>
        <w:rPr>
          <w:rFonts w:ascii="Bookman Old Style" w:hAnsi="Bookman Old Style"/>
        </w:rPr>
      </w:pPr>
      <w:r w:rsidRPr="003B67FB">
        <w:rPr>
          <w:rFonts w:ascii="Bookman Old Style" w:hAnsi="Bookman Old Style"/>
          <w:b/>
        </w:rPr>
        <w:t>4. The State's Limited Role:</w:t>
      </w:r>
    </w:p>
    <w:p w14:paraId="043C29C5" w14:textId="77777777" w:rsidR="00EA2097" w:rsidRPr="003B67FB" w:rsidRDefault="00000000">
      <w:pPr>
        <w:rPr>
          <w:rFonts w:ascii="Bookman Old Style" w:hAnsi="Bookman Old Style"/>
        </w:rPr>
      </w:pPr>
      <w:r w:rsidRPr="003B67FB">
        <w:rPr>
          <w:rFonts w:ascii="Bookman Old Style" w:hAnsi="Bookman Old Style"/>
        </w:rPr>
        <w:t>Justice Leonen wrote powerfully about the limits of state intervention:</w:t>
      </w:r>
    </w:p>
    <w:p w14:paraId="131B1102" w14:textId="77777777" w:rsidR="00EA2097" w:rsidRPr="003B67FB" w:rsidRDefault="00000000">
      <w:pPr>
        <w:rPr>
          <w:rFonts w:ascii="Bookman Old Style" w:hAnsi="Bookman Old Style"/>
        </w:rPr>
      </w:pPr>
      <w:r w:rsidRPr="003B67FB">
        <w:rPr>
          <w:rFonts w:ascii="Bookman Old Style" w:hAnsi="Bookman Old Style"/>
          <w:b/>
          <w:i/>
        </w:rPr>
        <w:t>"Using RA 9262 to criminalize private acts of infidelity risks transforming the law from a shield of empowerment into a sword for moral policing. The State has no business interfering in private experiences of heartbreak that do not involve coercion or abuse of power."</w:t>
      </w:r>
    </w:p>
    <w:p w14:paraId="1068342D" w14:textId="77777777" w:rsidR="00EA2097" w:rsidRPr="003B67FB" w:rsidRDefault="00000000">
      <w:pPr>
        <w:rPr>
          <w:rFonts w:ascii="Bookman Old Style" w:hAnsi="Bookman Old Style"/>
        </w:rPr>
      </w:pPr>
      <w:r w:rsidRPr="003B67FB">
        <w:rPr>
          <w:rFonts w:ascii="Bookman Old Style" w:hAnsi="Bookman Old Style"/>
        </w:rPr>
        <w:t>The Court drew a clear distinction between:</w:t>
      </w:r>
    </w:p>
    <w:p w14:paraId="08A6498A" w14:textId="77777777" w:rsidR="00EA2097" w:rsidRPr="003B67FB" w:rsidRDefault="00000000">
      <w:pPr>
        <w:rPr>
          <w:rFonts w:ascii="Bookman Old Style" w:hAnsi="Bookman Old Style"/>
        </w:rPr>
      </w:pPr>
      <w:r w:rsidRPr="003B67FB">
        <w:rPr>
          <w:rFonts w:ascii="Bookman Old Style" w:hAnsi="Bookman Old Style"/>
        </w:rPr>
        <w:t>• MORAL WRONGS (which are not criminal): Private relationship choices, affairs, and behaviors that cause emotional pain but do not involve systematic abuse</w:t>
      </w:r>
    </w:p>
    <w:p w14:paraId="6E5FE688" w14:textId="77777777" w:rsidR="00EA2097" w:rsidRPr="003B67FB" w:rsidRDefault="00000000">
      <w:pPr>
        <w:rPr>
          <w:rFonts w:ascii="Bookman Old Style" w:hAnsi="Bookman Old Style"/>
        </w:rPr>
      </w:pPr>
      <w:r w:rsidRPr="003B67FB">
        <w:rPr>
          <w:rFonts w:ascii="Bookman Old Style" w:hAnsi="Bookman Old Style"/>
        </w:rPr>
        <w:lastRenderedPageBreak/>
        <w:t>• CRIMINAL ACTS (which are punishable): Systematic patterns of psychological abuse involving intimidation, coercion, domination, and abuse of power</w:t>
      </w:r>
    </w:p>
    <w:p w14:paraId="701BE078" w14:textId="77777777" w:rsidR="00EA2097" w:rsidRPr="003B67FB" w:rsidRDefault="00000000">
      <w:pPr>
        <w:rPr>
          <w:rFonts w:ascii="Bookman Old Style" w:hAnsi="Bookman Old Style"/>
        </w:rPr>
      </w:pPr>
      <w:r w:rsidRPr="003B67FB">
        <w:rPr>
          <w:rFonts w:ascii="Bookman Old Style" w:hAnsi="Bookman Old Style"/>
          <w:b/>
        </w:rPr>
        <w:t>5. Non-Traditional Relationships and Separated Couples:</w:t>
      </w:r>
    </w:p>
    <w:p w14:paraId="787F5F8A" w14:textId="77777777" w:rsidR="00EA2097" w:rsidRPr="003B67FB" w:rsidRDefault="00000000">
      <w:pPr>
        <w:rPr>
          <w:rFonts w:ascii="Bookman Old Style" w:hAnsi="Bookman Old Style"/>
        </w:rPr>
      </w:pPr>
      <w:r w:rsidRPr="003B67FB">
        <w:rPr>
          <w:rFonts w:ascii="Bookman Old Style" w:hAnsi="Bookman Old Style"/>
        </w:rPr>
        <w:t>The Court explicitly recognized that:</w:t>
      </w:r>
    </w:p>
    <w:p w14:paraId="49812C64" w14:textId="77777777" w:rsidR="00EA2097" w:rsidRPr="003B67FB" w:rsidRDefault="00000000">
      <w:pPr>
        <w:rPr>
          <w:rFonts w:ascii="Bookman Old Style" w:hAnsi="Bookman Old Style"/>
        </w:rPr>
      </w:pPr>
      <w:r w:rsidRPr="003B67FB">
        <w:rPr>
          <w:rFonts w:ascii="Bookman Old Style" w:hAnsi="Bookman Old Style"/>
          <w:i/>
        </w:rPr>
        <w:t>"In non-traditional family setups and modern relationship arrangements with consciously consenting spouses, extramarital relationships may not inflict mental or emotional suffering and is not punishable as a crime under the law."</w:t>
      </w:r>
    </w:p>
    <w:p w14:paraId="7B90CA85" w14:textId="77777777" w:rsidR="00EA2097" w:rsidRPr="003B67FB" w:rsidRDefault="00000000">
      <w:pPr>
        <w:rPr>
          <w:rFonts w:ascii="Bookman Old Style" w:hAnsi="Bookman Old Style"/>
        </w:rPr>
      </w:pPr>
      <w:r w:rsidRPr="003B67FB">
        <w:rPr>
          <w:rFonts w:ascii="Bookman Old Style" w:hAnsi="Bookman Old Style"/>
        </w:rPr>
        <w:t>This language is directly applicable to situations where:</w:t>
      </w:r>
    </w:p>
    <w:p w14:paraId="7CB65A7B" w14:textId="77777777" w:rsidR="00EA2097" w:rsidRPr="003B67FB" w:rsidRDefault="00000000">
      <w:pPr>
        <w:rPr>
          <w:rFonts w:ascii="Bookman Old Style" w:hAnsi="Bookman Old Style"/>
        </w:rPr>
      </w:pPr>
      <w:r w:rsidRPr="003B67FB">
        <w:rPr>
          <w:rFonts w:ascii="Bookman Old Style" w:hAnsi="Bookman Old Style"/>
        </w:rPr>
        <w:t>• Spouses are separated and living apart</w:t>
      </w:r>
    </w:p>
    <w:p w14:paraId="7ABA1EC9" w14:textId="77777777" w:rsidR="00EA2097" w:rsidRPr="003B67FB" w:rsidRDefault="00000000">
      <w:pPr>
        <w:rPr>
          <w:rFonts w:ascii="Bookman Old Style" w:hAnsi="Bookman Old Style"/>
        </w:rPr>
      </w:pPr>
      <w:r w:rsidRPr="003B67FB">
        <w:rPr>
          <w:rFonts w:ascii="Bookman Old Style" w:hAnsi="Bookman Old Style"/>
        </w:rPr>
        <w:t>• One spouse has filed for divorce (talaq) and the other has accepted</w:t>
      </w:r>
    </w:p>
    <w:p w14:paraId="513BF9D5" w14:textId="77777777" w:rsidR="00EA2097" w:rsidRPr="003B67FB" w:rsidRDefault="00000000">
      <w:pPr>
        <w:rPr>
          <w:rFonts w:ascii="Bookman Old Style" w:hAnsi="Bookman Old Style"/>
        </w:rPr>
      </w:pPr>
      <w:r w:rsidRPr="003B67FB">
        <w:rPr>
          <w:rFonts w:ascii="Bookman Old Style" w:hAnsi="Bookman Old Style"/>
        </w:rPr>
        <w:t>• Both parties understand the marriage is over even if legal formalities are pending</w:t>
      </w:r>
    </w:p>
    <w:p w14:paraId="04EC411E" w14:textId="77777777" w:rsidR="00EA2097" w:rsidRPr="003B67FB" w:rsidRDefault="00000000">
      <w:pPr>
        <w:rPr>
          <w:rFonts w:ascii="Bookman Old Style" w:hAnsi="Bookman Old Style"/>
        </w:rPr>
      </w:pPr>
      <w:r w:rsidRPr="003B67FB">
        <w:rPr>
          <w:rFonts w:ascii="Bookman Old Style" w:hAnsi="Bookman Old Style"/>
        </w:rPr>
        <w:t>• The parties have effectively ended their relationship and are making new life arrangements</w:t>
      </w:r>
    </w:p>
    <w:p w14:paraId="768ABC1D" w14:textId="77777777" w:rsidR="00EA2097" w:rsidRPr="003B67FB" w:rsidRDefault="00000000">
      <w:pPr>
        <w:rPr>
          <w:rFonts w:ascii="Bookman Old Style" w:hAnsi="Bookman Old Style"/>
        </w:rPr>
      </w:pPr>
      <w:r w:rsidRPr="003B67FB">
        <w:rPr>
          <w:rFonts w:ascii="Bookman Old Style" w:hAnsi="Bookman Old Style"/>
        </w:rPr>
        <w:t>• The parties have reached settlement agreements about the dissolution of the marriage</w:t>
      </w:r>
    </w:p>
    <w:p w14:paraId="435FA8C9" w14:textId="77777777" w:rsidR="00EA2097" w:rsidRPr="003B67FB" w:rsidRDefault="00000000">
      <w:pPr>
        <w:pStyle w:val="Heading2"/>
        <w:rPr>
          <w:rFonts w:ascii="Bookman Old Style" w:hAnsi="Bookman Old Style"/>
        </w:rPr>
      </w:pPr>
      <w:r w:rsidRPr="003B67FB">
        <w:rPr>
          <w:rFonts w:ascii="Bookman Old Style" w:hAnsi="Bookman Old Style"/>
        </w:rPr>
        <w:t>D. The Significance of the Wife's Recantation</w:t>
      </w:r>
    </w:p>
    <w:p w14:paraId="47DAF16C" w14:textId="77777777" w:rsidR="00EA2097" w:rsidRPr="003B67FB" w:rsidRDefault="00000000">
      <w:pPr>
        <w:rPr>
          <w:rFonts w:ascii="Bookman Old Style" w:hAnsi="Bookman Old Style"/>
        </w:rPr>
      </w:pPr>
      <w:r w:rsidRPr="003B67FB">
        <w:rPr>
          <w:rFonts w:ascii="Bookman Old Style" w:hAnsi="Bookman Old Style"/>
        </w:rPr>
        <w:t>Unlike the Court of Appeals, the Supreme Court gave significant weight to AAA264870's recantation. The Court stated:</w:t>
      </w:r>
    </w:p>
    <w:p w14:paraId="356CA43C" w14:textId="77777777" w:rsidR="00EA2097" w:rsidRPr="003B67FB" w:rsidRDefault="00000000">
      <w:pPr>
        <w:rPr>
          <w:rFonts w:ascii="Bookman Old Style" w:hAnsi="Bookman Old Style"/>
        </w:rPr>
      </w:pPr>
      <w:r w:rsidRPr="003B67FB">
        <w:rPr>
          <w:rFonts w:ascii="Bookman Old Style" w:hAnsi="Bookman Old Style"/>
          <w:i/>
        </w:rPr>
        <w:t>"In intimate, private matters governed by RA 9262, the woman's own word - whether in accusation or retraction - deserves serious consideration."</w:t>
      </w:r>
    </w:p>
    <w:p w14:paraId="23E57022" w14:textId="77777777" w:rsidR="00EA2097" w:rsidRPr="003B67FB" w:rsidRDefault="00000000">
      <w:pPr>
        <w:rPr>
          <w:rFonts w:ascii="Bookman Old Style" w:hAnsi="Bookman Old Style"/>
        </w:rPr>
      </w:pPr>
      <w:r w:rsidRPr="003B67FB">
        <w:rPr>
          <w:rFonts w:ascii="Bookman Old Style" w:hAnsi="Bookman Old Style"/>
        </w:rPr>
        <w:t>This is significant because it recognizes that women are autonomous actors who can reassess their own experiences. The Court refused to treat women as incapable of changing their minds or as requiring paternalistic protection from their own decisions. If a woman says she was not traumatized, courts should take that seriously rather than insisting she must have been victimized.</w:t>
      </w:r>
    </w:p>
    <w:p w14:paraId="340B9621" w14:textId="77777777" w:rsidR="00EA2097" w:rsidRPr="003B67FB" w:rsidRDefault="00000000">
      <w:pPr>
        <w:rPr>
          <w:rFonts w:ascii="Bookman Old Style" w:hAnsi="Bookman Old Style"/>
        </w:rPr>
      </w:pPr>
      <w:r w:rsidRPr="003B67FB">
        <w:rPr>
          <w:rFonts w:ascii="Bookman Old Style" w:hAnsi="Bookman Old Style"/>
        </w:rPr>
        <w:t xml:space="preserve">In the present case, BOONY herself admitted in SMS messages that SHE was the source of problems in the marriage, that she caused ANDY pain, </w:t>
      </w:r>
      <w:r w:rsidRPr="003B67FB">
        <w:rPr>
          <w:rFonts w:ascii="Bookman Old Style" w:hAnsi="Bookman Old Style"/>
        </w:rPr>
        <w:lastRenderedPageBreak/>
        <w:t>and that she was no longer good for him. These admissions are analogous to the recantation in G.R. No. 264870.</w:t>
      </w:r>
    </w:p>
    <w:sectPr w:rsidR="00EA2097" w:rsidRPr="003B67F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4144085">
    <w:abstractNumId w:val="8"/>
  </w:num>
  <w:num w:numId="2" w16cid:durableId="843399329">
    <w:abstractNumId w:val="6"/>
  </w:num>
  <w:num w:numId="3" w16cid:durableId="1234390765">
    <w:abstractNumId w:val="5"/>
  </w:num>
  <w:num w:numId="4" w16cid:durableId="282617367">
    <w:abstractNumId w:val="4"/>
  </w:num>
  <w:num w:numId="5" w16cid:durableId="980883018">
    <w:abstractNumId w:val="7"/>
  </w:num>
  <w:num w:numId="6" w16cid:durableId="1615987121">
    <w:abstractNumId w:val="3"/>
  </w:num>
  <w:num w:numId="7" w16cid:durableId="1536504927">
    <w:abstractNumId w:val="2"/>
  </w:num>
  <w:num w:numId="8" w16cid:durableId="1456174854">
    <w:abstractNumId w:val="1"/>
  </w:num>
  <w:num w:numId="9" w16cid:durableId="718822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5CC0"/>
    <w:rsid w:val="0029639D"/>
    <w:rsid w:val="00326F90"/>
    <w:rsid w:val="003B67FB"/>
    <w:rsid w:val="00AA1D8D"/>
    <w:rsid w:val="00B47730"/>
    <w:rsid w:val="00CB0664"/>
    <w:rsid w:val="00EA20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8DFD4C"/>
  <w14:defaultImageDpi w14:val="300"/>
  <w15:docId w15:val="{7E53E7D5-0178-4F45-9854-A8205919C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5349</Words>
  <Characters>30490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Saidamen Mambayao</cp:lastModifiedBy>
  <cp:revision>2</cp:revision>
  <dcterms:created xsi:type="dcterms:W3CDTF">2013-12-23T23:15:00Z</dcterms:created>
  <dcterms:modified xsi:type="dcterms:W3CDTF">2025-11-14T07:04:00Z</dcterms:modified>
  <cp:category/>
</cp:coreProperties>
</file>