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8FE81" w14:textId="3A90E3E9" w:rsidR="00436435" w:rsidRDefault="00436435" w:rsidP="0069476D">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Pr>
          <w:rFonts w:ascii="Bookman Old Style" w:eastAsia="Times New Roman" w:hAnsi="Bookman Old Style" w:cs="Times New Roman"/>
          <w:b/>
          <w:bCs/>
          <w:kern w:val="0"/>
          <w:sz w:val="36"/>
          <w:szCs w:val="36"/>
          <w14:ligatures w14:val="none"/>
        </w:rPr>
        <w:t>Trial Simulation</w:t>
      </w:r>
    </w:p>
    <w:p w14:paraId="49F95677" w14:textId="1804212A" w:rsidR="0069476D" w:rsidRPr="0069476D" w:rsidRDefault="0069476D" w:rsidP="0069476D">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9476D">
        <w:rPr>
          <w:rFonts w:ascii="Bookman Old Style" w:eastAsia="Times New Roman" w:hAnsi="Bookman Old Style" w:cs="Times New Roman"/>
          <w:b/>
          <w:bCs/>
          <w:kern w:val="0"/>
          <w:sz w:val="36"/>
          <w:szCs w:val="36"/>
          <w14:ligatures w14:val="none"/>
        </w:rPr>
        <w:t>I. PROSECUTION’S BEST ARGUMENTS</w:t>
      </w:r>
    </w:p>
    <w:p w14:paraId="7D76FEF9"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1. Psychological violence was inflicted during the marriage</w:t>
      </w:r>
    </w:p>
    <w:p w14:paraId="59209E4D"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prosecution will assert that the crime under </w:t>
      </w:r>
      <w:r w:rsidRPr="0069476D">
        <w:rPr>
          <w:rFonts w:ascii="Bookman Old Style" w:eastAsia="Times New Roman" w:hAnsi="Bookman Old Style" w:cs="Times New Roman"/>
          <w:b/>
          <w:bCs/>
          <w:kern w:val="0"/>
          <w14:ligatures w14:val="none"/>
        </w:rPr>
        <w:t>Section 5(i), RA 9262</w:t>
      </w:r>
      <w:r w:rsidRPr="0069476D">
        <w:rPr>
          <w:rFonts w:ascii="Bookman Old Style" w:eastAsia="Times New Roman" w:hAnsi="Bookman Old Style" w:cs="Times New Roman"/>
          <w:kern w:val="0"/>
          <w14:ligatures w14:val="none"/>
        </w:rPr>
        <w:t xml:space="preserve"> does not criminalize infidelity itself, but the </w:t>
      </w:r>
      <w:r w:rsidRPr="0069476D">
        <w:rPr>
          <w:rFonts w:ascii="Bookman Old Style" w:eastAsia="Times New Roman" w:hAnsi="Bookman Old Style" w:cs="Times New Roman"/>
          <w:b/>
          <w:bCs/>
          <w:kern w:val="0"/>
          <w14:ligatures w14:val="none"/>
        </w:rPr>
        <w:t>emotional and psychological anguish caused by acts of infidelity, humiliation, and neglect</w:t>
      </w:r>
      <w:r w:rsidRPr="0069476D">
        <w:rPr>
          <w:rFonts w:ascii="Bookman Old Style" w:eastAsia="Times New Roman" w:hAnsi="Bookman Old Style" w:cs="Times New Roman"/>
          <w:kern w:val="0"/>
          <w14:ligatures w14:val="none"/>
        </w:rPr>
        <w:t>. They will argue that:</w:t>
      </w:r>
    </w:p>
    <w:p w14:paraId="5365D5F3" w14:textId="77777777" w:rsidR="0069476D" w:rsidRPr="0069476D" w:rsidRDefault="0069476D" w:rsidP="0069476D">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wife repeatedly </w:t>
      </w:r>
      <w:r w:rsidRPr="0069476D">
        <w:rPr>
          <w:rFonts w:ascii="Bookman Old Style" w:eastAsia="Times New Roman" w:hAnsi="Bookman Old Style" w:cs="Times New Roman"/>
          <w:b/>
          <w:bCs/>
          <w:kern w:val="0"/>
          <w14:ligatures w14:val="none"/>
        </w:rPr>
        <w:t>felt hurt, diminished, and emotionally unstable before the talaq</w:t>
      </w:r>
      <w:r w:rsidRPr="0069476D">
        <w:rPr>
          <w:rFonts w:ascii="Bookman Old Style" w:eastAsia="Times New Roman" w:hAnsi="Bookman Old Style" w:cs="Times New Roman"/>
          <w:kern w:val="0"/>
          <w14:ligatures w14:val="none"/>
        </w:rPr>
        <w:t>, because she noticed that the husband had changed, distanced himself from her emotionally, prioritized Charlie, and spent nights with him.</w:t>
      </w:r>
    </w:p>
    <w:p w14:paraId="04CDAD4A" w14:textId="77777777" w:rsidR="0069476D" w:rsidRPr="0069476D" w:rsidRDefault="0069476D" w:rsidP="0069476D">
      <w:pPr>
        <w:numPr>
          <w:ilvl w:val="0"/>
          <w:numId w:val="1"/>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Her </w:t>
      </w:r>
      <w:r w:rsidRPr="0069476D">
        <w:rPr>
          <w:rFonts w:ascii="Bookman Old Style" w:eastAsia="Times New Roman" w:hAnsi="Bookman Old Style" w:cs="Times New Roman"/>
          <w:b/>
          <w:bCs/>
          <w:kern w:val="0"/>
          <w14:ligatures w14:val="none"/>
        </w:rPr>
        <w:t>subjective experience of emotional anguish</w:t>
      </w:r>
      <w:r w:rsidRPr="0069476D">
        <w:rPr>
          <w:rFonts w:ascii="Bookman Old Style" w:eastAsia="Times New Roman" w:hAnsi="Bookman Old Style" w:cs="Times New Roman"/>
          <w:kern w:val="0"/>
          <w14:ligatures w14:val="none"/>
        </w:rPr>
        <w:t xml:space="preserve"> is sufficient and admissible under jurisprudence. Testimony alone can prove emotional suffering.</w:t>
      </w:r>
    </w:p>
    <w:p w14:paraId="617D9379"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Relevant jurisprudence:</w:t>
      </w:r>
    </w:p>
    <w:p w14:paraId="298F6D83" w14:textId="77777777" w:rsidR="0069476D" w:rsidRPr="0069476D" w:rsidRDefault="0069476D" w:rsidP="0069476D">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Dinamling v. People (G.R. 199522, June 22, 2015)</w:t>
      </w:r>
      <w:r w:rsidRPr="0069476D">
        <w:rPr>
          <w:rFonts w:ascii="Bookman Old Style" w:eastAsia="Times New Roman" w:hAnsi="Bookman Old Style" w:cs="Times New Roman"/>
          <w:kern w:val="0"/>
          <w14:ligatures w14:val="none"/>
        </w:rPr>
        <w:t xml:space="preserve"> — psychological violence is proven by emotional or mental suffering inflicted on the victim.</w:t>
      </w:r>
    </w:p>
    <w:p w14:paraId="7E690B49" w14:textId="77777777" w:rsidR="0069476D" w:rsidRPr="0069476D" w:rsidRDefault="0069476D" w:rsidP="0069476D">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AAA v. BBB (G.R. 212448, Jan. 11, 2018)</w:t>
      </w:r>
      <w:r w:rsidRPr="0069476D">
        <w:rPr>
          <w:rFonts w:ascii="Bookman Old Style" w:eastAsia="Times New Roman" w:hAnsi="Bookman Old Style" w:cs="Times New Roman"/>
          <w:kern w:val="0"/>
          <w14:ligatures w14:val="none"/>
        </w:rPr>
        <w:t xml:space="preserve"> — victim testimony alone can establish emotional anguish.</w:t>
      </w:r>
    </w:p>
    <w:p w14:paraId="1EE2E16A" w14:textId="77777777" w:rsidR="0069476D" w:rsidRPr="0069476D" w:rsidRDefault="0069476D" w:rsidP="0069476D">
      <w:pPr>
        <w:numPr>
          <w:ilvl w:val="0"/>
          <w:numId w:val="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Spouses Abay v. People (G.R. 219021, Apr. 23, 2018)</w:t>
      </w:r>
      <w:r w:rsidRPr="0069476D">
        <w:rPr>
          <w:rFonts w:ascii="Bookman Old Style" w:eastAsia="Times New Roman" w:hAnsi="Bookman Old Style" w:cs="Times New Roman"/>
          <w:kern w:val="0"/>
          <w14:ligatures w14:val="none"/>
        </w:rPr>
        <w:t xml:space="preserve"> — infidelity as a form of psychological abuse may be punishable if it causes emotional anguish.</w:t>
      </w:r>
    </w:p>
    <w:p w14:paraId="00EE5696"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2. Multiple infidelities deepen the humiliation and pain</w:t>
      </w:r>
    </w:p>
    <w:p w14:paraId="527C5903"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Prosecution will emphasize:</w:t>
      </w:r>
    </w:p>
    <w:p w14:paraId="076F9B7D" w14:textId="77777777" w:rsidR="0069476D" w:rsidRPr="0069476D" w:rsidRDefault="0069476D" w:rsidP="0069476D">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Infidelity with Charlie and other confirmed partners demonstrates a </w:t>
      </w:r>
      <w:r w:rsidRPr="0069476D">
        <w:rPr>
          <w:rFonts w:ascii="Bookman Old Style" w:eastAsia="Times New Roman" w:hAnsi="Bookman Old Style" w:cs="Times New Roman"/>
          <w:b/>
          <w:bCs/>
          <w:kern w:val="0"/>
          <w14:ligatures w14:val="none"/>
        </w:rPr>
        <w:t>pattern of betrayal</w:t>
      </w:r>
      <w:r w:rsidRPr="0069476D">
        <w:rPr>
          <w:rFonts w:ascii="Bookman Old Style" w:eastAsia="Times New Roman" w:hAnsi="Bookman Old Style" w:cs="Times New Roman"/>
          <w:kern w:val="0"/>
          <w14:ligatures w14:val="none"/>
        </w:rPr>
        <w:t>, not isolated conduct.</w:t>
      </w:r>
    </w:p>
    <w:p w14:paraId="5FACCFB8" w14:textId="77777777" w:rsidR="0069476D" w:rsidRPr="0069476D" w:rsidRDefault="0069476D" w:rsidP="0069476D">
      <w:pPr>
        <w:numPr>
          <w:ilvl w:val="0"/>
          <w:numId w:val="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wife </w:t>
      </w:r>
      <w:r w:rsidRPr="0069476D">
        <w:rPr>
          <w:rFonts w:ascii="Bookman Old Style" w:eastAsia="Times New Roman" w:hAnsi="Bookman Old Style" w:cs="Times New Roman"/>
          <w:b/>
          <w:bCs/>
          <w:kern w:val="0"/>
          <w14:ligatures w14:val="none"/>
        </w:rPr>
        <w:t>felt worthless and humiliated</w:t>
      </w:r>
      <w:r w:rsidRPr="0069476D">
        <w:rPr>
          <w:rFonts w:ascii="Bookman Old Style" w:eastAsia="Times New Roman" w:hAnsi="Bookman Old Style" w:cs="Times New Roman"/>
          <w:kern w:val="0"/>
          <w14:ligatures w14:val="none"/>
        </w:rPr>
        <w:t xml:space="preserve"> knowing others quietly knew about her husband’s affairs before she did. Thus, the anguish began </w:t>
      </w:r>
      <w:r w:rsidRPr="0069476D">
        <w:rPr>
          <w:rFonts w:ascii="Bookman Old Style" w:eastAsia="Times New Roman" w:hAnsi="Bookman Old Style" w:cs="Times New Roman"/>
          <w:b/>
          <w:bCs/>
          <w:kern w:val="0"/>
          <w14:ligatures w14:val="none"/>
        </w:rPr>
        <w:t>before the talaq</w:t>
      </w:r>
      <w:r w:rsidRPr="0069476D">
        <w:rPr>
          <w:rFonts w:ascii="Bookman Old Style" w:eastAsia="Times New Roman" w:hAnsi="Bookman Old Style" w:cs="Times New Roman"/>
          <w:kern w:val="0"/>
          <w14:ligatures w14:val="none"/>
        </w:rPr>
        <w:t>, even if full confirmation came later.</w:t>
      </w:r>
    </w:p>
    <w:p w14:paraId="03A9A05C"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3. Post-talaq evidence proves pre-talaq infidelity</w:t>
      </w:r>
    </w:p>
    <w:p w14:paraId="1D79AD16"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Although CCTV evidence and witness corroborations surfaced after the talaq, the prosecution will argue:</w:t>
      </w:r>
    </w:p>
    <w:p w14:paraId="5FF1D94A" w14:textId="77777777" w:rsidR="0069476D" w:rsidRPr="0069476D" w:rsidRDefault="0069476D" w:rsidP="0069476D">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lastRenderedPageBreak/>
        <w:t xml:space="preserve">They reveal </w:t>
      </w:r>
      <w:r w:rsidRPr="0069476D">
        <w:rPr>
          <w:rFonts w:ascii="Bookman Old Style" w:eastAsia="Times New Roman" w:hAnsi="Bookman Old Style" w:cs="Times New Roman"/>
          <w:b/>
          <w:bCs/>
          <w:kern w:val="0"/>
          <w14:ligatures w14:val="none"/>
        </w:rPr>
        <w:t>the truth about ongoing infidelity that had been happening while the marriage was intact</w:t>
      </w:r>
      <w:r w:rsidRPr="0069476D">
        <w:rPr>
          <w:rFonts w:ascii="Bookman Old Style" w:eastAsia="Times New Roman" w:hAnsi="Bookman Old Style" w:cs="Times New Roman"/>
          <w:kern w:val="0"/>
          <w14:ligatures w14:val="none"/>
        </w:rPr>
        <w:t>.</w:t>
      </w:r>
    </w:p>
    <w:p w14:paraId="5C29E3D7" w14:textId="77777777" w:rsidR="0069476D" w:rsidRPr="0069476D" w:rsidRDefault="0069476D" w:rsidP="0069476D">
      <w:pPr>
        <w:numPr>
          <w:ilvl w:val="0"/>
          <w:numId w:val="4"/>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wife’s emotional suffering began </w:t>
      </w:r>
      <w:r w:rsidRPr="0069476D">
        <w:rPr>
          <w:rFonts w:ascii="Bookman Old Style" w:eastAsia="Times New Roman" w:hAnsi="Bookman Old Style" w:cs="Times New Roman"/>
          <w:b/>
          <w:bCs/>
          <w:kern w:val="0"/>
          <w14:ligatures w14:val="none"/>
        </w:rPr>
        <w:t>with suspicion, observable changes in the husband’s behavior, and relational abandonment</w:t>
      </w:r>
      <w:r w:rsidRPr="0069476D">
        <w:rPr>
          <w:rFonts w:ascii="Bookman Old Style" w:eastAsia="Times New Roman" w:hAnsi="Bookman Old Style" w:cs="Times New Roman"/>
          <w:kern w:val="0"/>
          <w14:ligatures w14:val="none"/>
        </w:rPr>
        <w:t xml:space="preserve"> even before the talaq.</w:t>
      </w:r>
    </w:p>
    <w:p w14:paraId="4E16A7E4"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4. Financial neglect strengthens the case</w:t>
      </w:r>
    </w:p>
    <w:p w14:paraId="5633A82C"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The prosecution can claim:</w:t>
      </w:r>
    </w:p>
    <w:p w14:paraId="16C791BA" w14:textId="77777777" w:rsidR="0069476D" w:rsidRPr="0069476D" w:rsidRDefault="0069476D" w:rsidP="0069476D">
      <w:pPr>
        <w:numPr>
          <w:ilvl w:val="0"/>
          <w:numId w:val="5"/>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The husband denied personal allowance and financial support during marriage.</w:t>
      </w:r>
    </w:p>
    <w:p w14:paraId="012E5C13" w14:textId="77777777" w:rsidR="0069476D" w:rsidRPr="0069476D" w:rsidRDefault="0069476D" w:rsidP="0069476D">
      <w:pPr>
        <w:numPr>
          <w:ilvl w:val="0"/>
          <w:numId w:val="5"/>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Denial of support is independently punishable under </w:t>
      </w:r>
      <w:r w:rsidRPr="0069476D">
        <w:rPr>
          <w:rFonts w:ascii="Bookman Old Style" w:eastAsia="Times New Roman" w:hAnsi="Bookman Old Style" w:cs="Times New Roman"/>
          <w:b/>
          <w:bCs/>
          <w:kern w:val="0"/>
          <w14:ligatures w14:val="none"/>
        </w:rPr>
        <w:t>Section 5(i)</w:t>
      </w:r>
      <w:r w:rsidRPr="0069476D">
        <w:rPr>
          <w:rFonts w:ascii="Bookman Old Style" w:eastAsia="Times New Roman" w:hAnsi="Bookman Old Style" w:cs="Times New Roman"/>
          <w:kern w:val="0"/>
          <w14:ligatures w14:val="none"/>
        </w:rPr>
        <w:t>.</w:t>
      </w:r>
    </w:p>
    <w:p w14:paraId="6A8EEDA9" w14:textId="77777777" w:rsidR="0069476D" w:rsidRPr="0069476D" w:rsidRDefault="0069476D" w:rsidP="0069476D">
      <w:pPr>
        <w:numPr>
          <w:ilvl w:val="0"/>
          <w:numId w:val="5"/>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Even if infidelity is not conclusively proven, </w:t>
      </w:r>
      <w:r w:rsidRPr="0069476D">
        <w:rPr>
          <w:rFonts w:ascii="Bookman Old Style" w:eastAsia="Times New Roman" w:hAnsi="Bookman Old Style" w:cs="Times New Roman"/>
          <w:b/>
          <w:bCs/>
          <w:kern w:val="0"/>
          <w14:ligatures w14:val="none"/>
        </w:rPr>
        <w:t>the neglect can still constitute psychological violence</w:t>
      </w:r>
      <w:r w:rsidRPr="0069476D">
        <w:rPr>
          <w:rFonts w:ascii="Bookman Old Style" w:eastAsia="Times New Roman" w:hAnsi="Bookman Old Style" w:cs="Times New Roman"/>
          <w:kern w:val="0"/>
          <w14:ligatures w14:val="none"/>
        </w:rPr>
        <w:t>.</w:t>
      </w:r>
    </w:p>
    <w:p w14:paraId="08406569" w14:textId="77777777" w:rsidR="0069476D" w:rsidRPr="0069476D" w:rsidRDefault="006B079E" w:rsidP="0069476D">
      <w:pPr>
        <w:spacing w:after="0" w:line="240" w:lineRule="auto"/>
        <w:rPr>
          <w:rFonts w:ascii="Bookman Old Style" w:eastAsia="Times New Roman" w:hAnsi="Bookman Old Style" w:cs="Times New Roman"/>
          <w:kern w:val="0"/>
          <w14:ligatures w14:val="none"/>
        </w:rPr>
      </w:pPr>
      <w:r w:rsidRPr="006B079E">
        <w:rPr>
          <w:rFonts w:ascii="Bookman Old Style" w:eastAsia="Times New Roman" w:hAnsi="Bookman Old Style" w:cs="Times New Roman"/>
          <w:noProof/>
          <w:kern w:val="0"/>
        </w:rPr>
        <w:pict w14:anchorId="286941F3">
          <v:rect id="_x0000_i1027" alt="" style="width:468pt;height:.05pt;mso-width-percent:0;mso-height-percent:0;mso-width-percent:0;mso-height-percent:0" o:hralign="center" o:hrstd="t" o:hr="t" fillcolor="#a0a0a0" stroked="f"/>
        </w:pict>
      </w:r>
    </w:p>
    <w:p w14:paraId="297F1323" w14:textId="77777777" w:rsidR="0069476D" w:rsidRPr="0069476D" w:rsidRDefault="0069476D" w:rsidP="0069476D">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9476D">
        <w:rPr>
          <w:rFonts w:ascii="Bookman Old Style" w:eastAsia="Times New Roman" w:hAnsi="Bookman Old Style" w:cs="Times New Roman"/>
          <w:b/>
          <w:bCs/>
          <w:kern w:val="0"/>
          <w:sz w:val="36"/>
          <w:szCs w:val="36"/>
          <w14:ligatures w14:val="none"/>
        </w:rPr>
        <w:t>II. DEFENSE’S BEST ARGUMENTS</w:t>
      </w:r>
    </w:p>
    <w:p w14:paraId="0B0DDCB7"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1. Emotional anguish must occur during the marriage — not after separation</w:t>
      </w:r>
    </w:p>
    <w:p w14:paraId="2DD91865"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defense will emphasize that </w:t>
      </w:r>
      <w:r w:rsidRPr="0069476D">
        <w:rPr>
          <w:rFonts w:ascii="Bookman Old Style" w:eastAsia="Times New Roman" w:hAnsi="Bookman Old Style" w:cs="Times New Roman"/>
          <w:b/>
          <w:bCs/>
          <w:kern w:val="0"/>
          <w14:ligatures w14:val="none"/>
        </w:rPr>
        <w:t>the talaq was pronounced on January 23</w:t>
      </w:r>
      <w:r w:rsidRPr="0069476D">
        <w:rPr>
          <w:rFonts w:ascii="Bookman Old Style" w:eastAsia="Times New Roman" w:hAnsi="Bookman Old Style" w:cs="Times New Roman"/>
          <w:kern w:val="0"/>
          <w14:ligatures w14:val="none"/>
        </w:rPr>
        <w:t xml:space="preserve"> and that the wife admittedly </w:t>
      </w:r>
      <w:r w:rsidRPr="0069476D">
        <w:rPr>
          <w:rFonts w:ascii="Bookman Old Style" w:eastAsia="Times New Roman" w:hAnsi="Bookman Old Style" w:cs="Times New Roman"/>
          <w:b/>
          <w:bCs/>
          <w:kern w:val="0"/>
          <w14:ligatures w14:val="none"/>
        </w:rPr>
        <w:t>only suffered emotional devastation after February 12</w:t>
      </w:r>
      <w:r w:rsidRPr="0069476D">
        <w:rPr>
          <w:rFonts w:ascii="Bookman Old Style" w:eastAsia="Times New Roman" w:hAnsi="Bookman Old Style" w:cs="Times New Roman"/>
          <w:kern w:val="0"/>
          <w14:ligatures w14:val="none"/>
        </w:rPr>
        <w:t xml:space="preserve">, when she confronted the husband and when the evidence of infidelity emerged. RA 9262 punishes </w:t>
      </w:r>
      <w:r w:rsidRPr="0069476D">
        <w:rPr>
          <w:rFonts w:ascii="Bookman Old Style" w:eastAsia="Times New Roman" w:hAnsi="Bookman Old Style" w:cs="Times New Roman"/>
          <w:b/>
          <w:bCs/>
          <w:kern w:val="0"/>
          <w14:ligatures w14:val="none"/>
        </w:rPr>
        <w:t>psychological damage contemporaneous with the intimate relationship</w:t>
      </w:r>
      <w:r w:rsidRPr="0069476D">
        <w:rPr>
          <w:rFonts w:ascii="Bookman Old Style" w:eastAsia="Times New Roman" w:hAnsi="Bookman Old Style" w:cs="Times New Roman"/>
          <w:kern w:val="0"/>
          <w14:ligatures w14:val="none"/>
        </w:rPr>
        <w:t>, not post-divorce jealousy.</w:t>
      </w:r>
    </w:p>
    <w:p w14:paraId="7C89B234"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Defense application of law:</w:t>
      </w:r>
    </w:p>
    <w:p w14:paraId="49867B16" w14:textId="77777777" w:rsidR="0069476D" w:rsidRPr="0069476D" w:rsidRDefault="0069476D" w:rsidP="0069476D">
      <w:pPr>
        <w:numPr>
          <w:ilvl w:val="0"/>
          <w:numId w:val="6"/>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Sec. 5(i) requires that the emotional anguish be </w:t>
      </w:r>
      <w:r w:rsidRPr="0069476D">
        <w:rPr>
          <w:rFonts w:ascii="Bookman Old Style" w:eastAsia="Times New Roman" w:hAnsi="Bookman Old Style" w:cs="Times New Roman"/>
          <w:b/>
          <w:bCs/>
          <w:kern w:val="0"/>
          <w14:ligatures w14:val="none"/>
        </w:rPr>
        <w:t>caused by the accused and within the context of the marital relationship</w:t>
      </w:r>
      <w:r w:rsidRPr="0069476D">
        <w:rPr>
          <w:rFonts w:ascii="Bookman Old Style" w:eastAsia="Times New Roman" w:hAnsi="Bookman Old Style" w:cs="Times New Roman"/>
          <w:kern w:val="0"/>
          <w14:ligatures w14:val="none"/>
        </w:rPr>
        <w:t>.</w:t>
      </w:r>
    </w:p>
    <w:p w14:paraId="472CE11F" w14:textId="77777777" w:rsidR="0069476D" w:rsidRPr="0069476D" w:rsidRDefault="0069476D" w:rsidP="0069476D">
      <w:pPr>
        <w:numPr>
          <w:ilvl w:val="0"/>
          <w:numId w:val="6"/>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Emotional pain caused by </w:t>
      </w:r>
      <w:r w:rsidRPr="0069476D">
        <w:rPr>
          <w:rFonts w:ascii="Bookman Old Style" w:eastAsia="Times New Roman" w:hAnsi="Bookman Old Style" w:cs="Times New Roman"/>
          <w:b/>
          <w:bCs/>
          <w:kern w:val="0"/>
          <w14:ligatures w14:val="none"/>
        </w:rPr>
        <w:t>discovering infidelity after the relationship has ended</w:t>
      </w:r>
      <w:r w:rsidRPr="0069476D">
        <w:rPr>
          <w:rFonts w:ascii="Bookman Old Style" w:eastAsia="Times New Roman" w:hAnsi="Bookman Old Style" w:cs="Times New Roman"/>
          <w:kern w:val="0"/>
          <w14:ligatures w14:val="none"/>
        </w:rPr>
        <w:t xml:space="preserve"> does </w:t>
      </w:r>
      <w:r w:rsidRPr="0069476D">
        <w:rPr>
          <w:rFonts w:ascii="Bookman Old Style" w:eastAsia="Times New Roman" w:hAnsi="Bookman Old Style" w:cs="Times New Roman"/>
          <w:b/>
          <w:bCs/>
          <w:kern w:val="0"/>
          <w14:ligatures w14:val="none"/>
        </w:rPr>
        <w:t>not</w:t>
      </w:r>
      <w:r w:rsidRPr="0069476D">
        <w:rPr>
          <w:rFonts w:ascii="Bookman Old Style" w:eastAsia="Times New Roman" w:hAnsi="Bookman Old Style" w:cs="Times New Roman"/>
          <w:kern w:val="0"/>
          <w14:ligatures w14:val="none"/>
        </w:rPr>
        <w:t xml:space="preserve"> satisfy the statutory elements.</w:t>
      </w:r>
    </w:p>
    <w:p w14:paraId="1FC52BD8"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2. The marriage was already dysfunctional long before Charlie</w:t>
      </w:r>
    </w:p>
    <w:p w14:paraId="6A2FBF2E"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Defense will rely on:</w:t>
      </w:r>
    </w:p>
    <w:p w14:paraId="44C62D04" w14:textId="77777777" w:rsidR="0069476D" w:rsidRPr="0069476D" w:rsidRDefault="0069476D" w:rsidP="0069476D">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Wife’s </w:t>
      </w:r>
      <w:r w:rsidRPr="0069476D">
        <w:rPr>
          <w:rFonts w:ascii="Bookman Old Style" w:eastAsia="Times New Roman" w:hAnsi="Bookman Old Style" w:cs="Times New Roman"/>
          <w:b/>
          <w:bCs/>
          <w:kern w:val="0"/>
          <w14:ligatures w14:val="none"/>
        </w:rPr>
        <w:t>own admissions via SMS</w:t>
      </w:r>
      <w:r w:rsidRPr="0069476D">
        <w:rPr>
          <w:rFonts w:ascii="Bookman Old Style" w:eastAsia="Times New Roman" w:hAnsi="Bookman Old Style" w:cs="Times New Roman"/>
          <w:kern w:val="0"/>
          <w14:ligatures w14:val="none"/>
        </w:rPr>
        <w:t xml:space="preserve"> that she caused marital instability, harmed the husband, failed his trust, and was no longer a source of peace.</w:t>
      </w:r>
    </w:p>
    <w:p w14:paraId="01B9BC1D" w14:textId="77777777" w:rsidR="0069476D" w:rsidRPr="0069476D" w:rsidRDefault="0069476D" w:rsidP="0069476D">
      <w:pPr>
        <w:numPr>
          <w:ilvl w:val="0"/>
          <w:numId w:val="7"/>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These statements show </w:t>
      </w:r>
      <w:r w:rsidRPr="0069476D">
        <w:rPr>
          <w:rFonts w:ascii="Bookman Old Style" w:eastAsia="Times New Roman" w:hAnsi="Bookman Old Style" w:cs="Times New Roman"/>
          <w:b/>
          <w:bCs/>
          <w:kern w:val="0"/>
          <w14:ligatures w14:val="none"/>
        </w:rPr>
        <w:t>the breakdown did not originate from infidelity</w:t>
      </w:r>
      <w:r w:rsidRPr="0069476D">
        <w:rPr>
          <w:rFonts w:ascii="Bookman Old Style" w:eastAsia="Times New Roman" w:hAnsi="Bookman Old Style" w:cs="Times New Roman"/>
          <w:kern w:val="0"/>
          <w14:ligatures w14:val="none"/>
        </w:rPr>
        <w:t>, undermining the theory of causation required by Sec. 5(i).</w:t>
      </w:r>
    </w:p>
    <w:p w14:paraId="4D7246DA"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lastRenderedPageBreak/>
        <w:t>3. The husband, not the wife, suffered public ridicule</w:t>
      </w:r>
    </w:p>
    <w:p w14:paraId="3414FA61"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Defense emphasizes:</w:t>
      </w:r>
    </w:p>
    <w:p w14:paraId="23D63C46" w14:textId="77777777" w:rsidR="0069476D" w:rsidRPr="0069476D" w:rsidRDefault="0069476D" w:rsidP="0069476D">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It was the wife who publicized the infidelity allegations to co-workers and online — resulting in the husband’s own public humiliation, job loss, and emotional distress.</w:t>
      </w:r>
    </w:p>
    <w:p w14:paraId="6CD30585" w14:textId="77777777" w:rsidR="0069476D" w:rsidRPr="0069476D" w:rsidRDefault="0069476D" w:rsidP="0069476D">
      <w:pPr>
        <w:numPr>
          <w:ilvl w:val="0"/>
          <w:numId w:val="8"/>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A person who suffers humiliation caused by the complainant is not plausibly the abuser.</w:t>
      </w:r>
    </w:p>
    <w:p w14:paraId="7687B314"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4. Post-talaq evidence cannot retroactively create the crime</w:t>
      </w:r>
    </w:p>
    <w:p w14:paraId="4EEDF888"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Defense will argue:</w:t>
      </w:r>
    </w:p>
    <w:p w14:paraId="1A645366" w14:textId="77777777" w:rsidR="0069476D" w:rsidRPr="0069476D" w:rsidRDefault="0069476D" w:rsidP="0069476D">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CCTV footage gathered after talaq, and witness testimonies from other lovers acquired later </w:t>
      </w:r>
      <w:r w:rsidRPr="0069476D">
        <w:rPr>
          <w:rFonts w:ascii="Bookman Old Style" w:eastAsia="Times New Roman" w:hAnsi="Bookman Old Style" w:cs="Times New Roman"/>
          <w:b/>
          <w:bCs/>
          <w:kern w:val="0"/>
          <w14:ligatures w14:val="none"/>
        </w:rPr>
        <w:t>cannot prove the wife’s emotional damage during the marriage</w:t>
      </w:r>
      <w:r w:rsidRPr="0069476D">
        <w:rPr>
          <w:rFonts w:ascii="Bookman Old Style" w:eastAsia="Times New Roman" w:hAnsi="Bookman Old Style" w:cs="Times New Roman"/>
          <w:kern w:val="0"/>
          <w14:ligatures w14:val="none"/>
        </w:rPr>
        <w:t>.</w:t>
      </w:r>
    </w:p>
    <w:p w14:paraId="15E0294E" w14:textId="77777777" w:rsidR="0069476D" w:rsidRPr="0069476D" w:rsidRDefault="0069476D" w:rsidP="0069476D">
      <w:pPr>
        <w:numPr>
          <w:ilvl w:val="0"/>
          <w:numId w:val="9"/>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Evidence proving infidelity is not evidence proving psychological violence.</w:t>
      </w:r>
    </w:p>
    <w:p w14:paraId="539D401E"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This draws from:</w:t>
      </w:r>
    </w:p>
    <w:p w14:paraId="52B1B43C" w14:textId="77777777" w:rsidR="0069476D" w:rsidRPr="0069476D" w:rsidRDefault="0069476D" w:rsidP="0069476D">
      <w:pPr>
        <w:numPr>
          <w:ilvl w:val="0"/>
          <w:numId w:val="10"/>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People v. Jumawan (G.R. 187495, Apr. 21, 2014)</w:t>
      </w:r>
      <w:r w:rsidRPr="0069476D">
        <w:rPr>
          <w:rFonts w:ascii="Bookman Old Style" w:eastAsia="Times New Roman" w:hAnsi="Bookman Old Style" w:cs="Times New Roman"/>
          <w:kern w:val="0"/>
          <w14:ligatures w14:val="none"/>
        </w:rPr>
        <w:t xml:space="preserve"> — RA 9262 is violated when emotional suffering is proven, not merely when infidelity exists.</w:t>
      </w:r>
    </w:p>
    <w:p w14:paraId="065C4CE0"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Bookman Old Style" w:eastAsia="Times New Roman" w:hAnsi="Bookman Old Style" w:cs="Times New Roman"/>
          <w:b/>
          <w:bCs/>
          <w:kern w:val="0"/>
          <w:sz w:val="27"/>
          <w:szCs w:val="27"/>
          <w14:ligatures w14:val="none"/>
        </w:rPr>
        <w:t>5. RA 9262 cannot punish the morality of adultery or homosexuality</w:t>
      </w:r>
    </w:p>
    <w:p w14:paraId="1DFDD025"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Defense will assert that the law does not punish:</w:t>
      </w:r>
    </w:p>
    <w:p w14:paraId="2D26D9B5" w14:textId="77777777" w:rsidR="0069476D" w:rsidRPr="0069476D" w:rsidRDefault="0069476D" w:rsidP="0069476D">
      <w:pPr>
        <w:numPr>
          <w:ilvl w:val="0"/>
          <w:numId w:val="11"/>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adultery per se,</w:t>
      </w:r>
    </w:p>
    <w:p w14:paraId="467ACC6C" w14:textId="77777777" w:rsidR="0069476D" w:rsidRPr="0069476D" w:rsidRDefault="0069476D" w:rsidP="0069476D">
      <w:pPr>
        <w:numPr>
          <w:ilvl w:val="0"/>
          <w:numId w:val="11"/>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homosexual conduct,</w:t>
      </w:r>
    </w:p>
    <w:p w14:paraId="700112A3" w14:textId="77777777" w:rsidR="0069476D" w:rsidRPr="0069476D" w:rsidRDefault="0069476D" w:rsidP="0069476D">
      <w:pPr>
        <w:numPr>
          <w:ilvl w:val="0"/>
          <w:numId w:val="11"/>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or gender identity issues,</w:t>
      </w:r>
    </w:p>
    <w:p w14:paraId="7434FB63"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but only </w:t>
      </w:r>
      <w:r w:rsidRPr="0069476D">
        <w:rPr>
          <w:rFonts w:ascii="Bookman Old Style" w:eastAsia="Times New Roman" w:hAnsi="Bookman Old Style" w:cs="Times New Roman"/>
          <w:b/>
          <w:bCs/>
          <w:kern w:val="0"/>
          <w14:ligatures w14:val="none"/>
        </w:rPr>
        <w:t>psychological harm caused to the woman</w:t>
      </w:r>
      <w:r w:rsidRPr="0069476D">
        <w:rPr>
          <w:rFonts w:ascii="Bookman Old Style" w:eastAsia="Times New Roman" w:hAnsi="Bookman Old Style" w:cs="Times New Roman"/>
          <w:kern w:val="0"/>
          <w14:ligatures w14:val="none"/>
        </w:rPr>
        <w:t>.</w:t>
      </w:r>
    </w:p>
    <w:p w14:paraId="2F9CEEB1" w14:textId="77777777" w:rsidR="0069476D" w:rsidRPr="0069476D" w:rsidRDefault="006B079E" w:rsidP="0069476D">
      <w:pPr>
        <w:spacing w:after="0" w:line="240" w:lineRule="auto"/>
        <w:rPr>
          <w:rFonts w:ascii="Bookman Old Style" w:eastAsia="Times New Roman" w:hAnsi="Bookman Old Style" w:cs="Times New Roman"/>
          <w:kern w:val="0"/>
          <w14:ligatures w14:val="none"/>
        </w:rPr>
      </w:pPr>
      <w:r w:rsidRPr="006B079E">
        <w:rPr>
          <w:rFonts w:ascii="Bookman Old Style" w:eastAsia="Times New Roman" w:hAnsi="Bookman Old Style" w:cs="Times New Roman"/>
          <w:noProof/>
          <w:kern w:val="0"/>
        </w:rPr>
        <w:pict w14:anchorId="33AD6A99">
          <v:rect id="_x0000_i1026" alt="" style="width:468pt;height:.05pt;mso-width-percent:0;mso-height-percent:0;mso-width-percent:0;mso-height-percent:0" o:hralign="center" o:hrstd="t" o:hr="t" fillcolor="#a0a0a0" stroked="f"/>
        </w:pict>
      </w:r>
    </w:p>
    <w:p w14:paraId="327DBB2B" w14:textId="77777777" w:rsidR="0069476D" w:rsidRPr="0069476D" w:rsidRDefault="0069476D" w:rsidP="0069476D">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9476D">
        <w:rPr>
          <w:rFonts w:ascii="Bookman Old Style" w:eastAsia="Times New Roman" w:hAnsi="Bookman Old Style" w:cs="Times New Roman"/>
          <w:b/>
          <w:bCs/>
          <w:kern w:val="0"/>
          <w:sz w:val="36"/>
          <w:szCs w:val="36"/>
          <w14:ligatures w14:val="none"/>
        </w:rPr>
        <w:t>III. JUDICIAL ANALYSIS — IMPARTIAL EVALUATION</w:t>
      </w:r>
    </w:p>
    <w:p w14:paraId="1C82234F"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determinative issue is </w:t>
      </w:r>
      <w:r w:rsidRPr="0069476D">
        <w:rPr>
          <w:rFonts w:ascii="Bookman Old Style" w:eastAsia="Times New Roman" w:hAnsi="Bookman Old Style" w:cs="Times New Roman"/>
          <w:b/>
          <w:bCs/>
          <w:kern w:val="0"/>
          <w14:ligatures w14:val="none"/>
        </w:rPr>
        <w:t>causation and timing</w:t>
      </w:r>
      <w:r w:rsidRPr="0069476D">
        <w:rPr>
          <w:rFonts w:ascii="Bookman Old Style" w:eastAsia="Times New Roman" w:hAnsi="Bookman Old Style" w:cs="Times New Roman"/>
          <w:kern w:val="0"/>
          <w14:ligatures w14:val="none"/>
        </w:rPr>
        <w:t>, not morality.</w:t>
      </w:r>
    </w:p>
    <w:p w14:paraId="47915A80"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lastRenderedPageBreak/>
        <w:t>The judge will ask:</w:t>
      </w:r>
    </w:p>
    <w:p w14:paraId="2E49C14F" w14:textId="77777777" w:rsidR="0069476D" w:rsidRPr="0069476D" w:rsidRDefault="0069476D" w:rsidP="0069476D">
      <w:pPr>
        <w:numPr>
          <w:ilvl w:val="0"/>
          <w:numId w:val="1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Did the wife suffer emotional or psychological anguish?</w:t>
      </w:r>
    </w:p>
    <w:p w14:paraId="5E89C140" w14:textId="77777777" w:rsidR="0069476D" w:rsidRPr="0069476D" w:rsidRDefault="0069476D" w:rsidP="0069476D">
      <w:pPr>
        <w:numPr>
          <w:ilvl w:val="0"/>
          <w:numId w:val="1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Was the anguish caused by the husband’s acts?</w:t>
      </w:r>
    </w:p>
    <w:p w14:paraId="65C78E03" w14:textId="77777777" w:rsidR="0069476D" w:rsidRPr="0069476D" w:rsidRDefault="0069476D" w:rsidP="0069476D">
      <w:pPr>
        <w:numPr>
          <w:ilvl w:val="0"/>
          <w:numId w:val="12"/>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Did that anguish occur during the existence of the marital relationship?</w:t>
      </w:r>
    </w:p>
    <w:p w14:paraId="339FFA28"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Key considerations:</w:t>
      </w:r>
    </w:p>
    <w:p w14:paraId="1B4CAE0B" w14:textId="77777777" w:rsidR="0069476D" w:rsidRPr="0069476D" w:rsidRDefault="0069476D" w:rsidP="0069476D">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wife </w:t>
      </w:r>
      <w:r w:rsidRPr="0069476D">
        <w:rPr>
          <w:rFonts w:ascii="Bookman Old Style" w:eastAsia="Times New Roman" w:hAnsi="Bookman Old Style" w:cs="Times New Roman"/>
          <w:b/>
          <w:bCs/>
          <w:kern w:val="0"/>
          <w14:ligatures w14:val="none"/>
        </w:rPr>
        <w:t>felt suspicions and emotional discomfort before talaq</w:t>
      </w:r>
      <w:r w:rsidRPr="0069476D">
        <w:rPr>
          <w:rFonts w:ascii="Bookman Old Style" w:eastAsia="Times New Roman" w:hAnsi="Bookman Old Style" w:cs="Times New Roman"/>
          <w:kern w:val="0"/>
          <w14:ligatures w14:val="none"/>
        </w:rPr>
        <w:t xml:space="preserve">, but </w:t>
      </w:r>
      <w:r w:rsidRPr="0069476D">
        <w:rPr>
          <w:rFonts w:ascii="Bookman Old Style" w:eastAsia="Times New Roman" w:hAnsi="Bookman Old Style" w:cs="Times New Roman"/>
          <w:b/>
          <w:bCs/>
          <w:kern w:val="0"/>
          <w14:ligatures w14:val="none"/>
        </w:rPr>
        <w:t>only confirmed the infidelity after talaq</w:t>
      </w:r>
      <w:r w:rsidRPr="0069476D">
        <w:rPr>
          <w:rFonts w:ascii="Bookman Old Style" w:eastAsia="Times New Roman" w:hAnsi="Bookman Old Style" w:cs="Times New Roman"/>
          <w:kern w:val="0"/>
          <w14:ligatures w14:val="none"/>
        </w:rPr>
        <w:t>.</w:t>
      </w:r>
    </w:p>
    <w:p w14:paraId="67BDA9D8" w14:textId="77777777" w:rsidR="0069476D" w:rsidRPr="0069476D" w:rsidRDefault="0069476D" w:rsidP="0069476D">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Evidence of infidelity (CCTV, witness corroborations) appeared </w:t>
      </w:r>
      <w:r w:rsidRPr="0069476D">
        <w:rPr>
          <w:rFonts w:ascii="Bookman Old Style" w:eastAsia="Times New Roman" w:hAnsi="Bookman Old Style" w:cs="Times New Roman"/>
          <w:b/>
          <w:bCs/>
          <w:kern w:val="0"/>
          <w14:ligatures w14:val="none"/>
        </w:rPr>
        <w:t>after the marriage already ended</w:t>
      </w:r>
      <w:r w:rsidRPr="0069476D">
        <w:rPr>
          <w:rFonts w:ascii="Bookman Old Style" w:eastAsia="Times New Roman" w:hAnsi="Bookman Old Style" w:cs="Times New Roman"/>
          <w:kern w:val="0"/>
          <w14:ligatures w14:val="none"/>
        </w:rPr>
        <w:t>.</w:t>
      </w:r>
    </w:p>
    <w:p w14:paraId="7229B91A" w14:textId="77777777" w:rsidR="0069476D" w:rsidRPr="0069476D" w:rsidRDefault="0069476D" w:rsidP="0069476D">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No psychological or medical records show suffering </w:t>
      </w:r>
      <w:r w:rsidRPr="0069476D">
        <w:rPr>
          <w:rFonts w:ascii="Bookman Old Style" w:eastAsia="Times New Roman" w:hAnsi="Bookman Old Style" w:cs="Times New Roman"/>
          <w:b/>
          <w:bCs/>
          <w:kern w:val="0"/>
          <w14:ligatures w14:val="none"/>
        </w:rPr>
        <w:t>before the talaq</w:t>
      </w:r>
      <w:r w:rsidRPr="0069476D">
        <w:rPr>
          <w:rFonts w:ascii="Bookman Old Style" w:eastAsia="Times New Roman" w:hAnsi="Bookman Old Style" w:cs="Times New Roman"/>
          <w:kern w:val="0"/>
          <w14:ligatures w14:val="none"/>
        </w:rPr>
        <w:t>, and no contemporaneous disclosures to friends, family, or authorities were made before the talaq.</w:t>
      </w:r>
    </w:p>
    <w:p w14:paraId="45AF2164" w14:textId="77777777" w:rsidR="0069476D" w:rsidRPr="0069476D" w:rsidRDefault="0069476D" w:rsidP="0069476D">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wife’s own admissions in January </w:t>
      </w:r>
      <w:r w:rsidRPr="0069476D">
        <w:rPr>
          <w:rFonts w:ascii="Bookman Old Style" w:eastAsia="Times New Roman" w:hAnsi="Bookman Old Style" w:cs="Times New Roman"/>
          <w:b/>
          <w:bCs/>
          <w:kern w:val="0"/>
          <w14:ligatures w14:val="none"/>
        </w:rPr>
        <w:t>undermine the claim that the emotional breakdown originated from the husband</w:t>
      </w:r>
      <w:r w:rsidRPr="0069476D">
        <w:rPr>
          <w:rFonts w:ascii="Bookman Old Style" w:eastAsia="Times New Roman" w:hAnsi="Bookman Old Style" w:cs="Times New Roman"/>
          <w:kern w:val="0"/>
          <w14:ligatures w14:val="none"/>
        </w:rPr>
        <w:t>.</w:t>
      </w:r>
    </w:p>
    <w:p w14:paraId="6AA0D869" w14:textId="77777777" w:rsidR="0069476D" w:rsidRPr="0069476D" w:rsidRDefault="0069476D" w:rsidP="0069476D">
      <w:pPr>
        <w:numPr>
          <w:ilvl w:val="0"/>
          <w:numId w:val="13"/>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Her emotional collapse and rage </w:t>
      </w:r>
      <w:r w:rsidRPr="0069476D">
        <w:rPr>
          <w:rFonts w:ascii="Bookman Old Style" w:eastAsia="Times New Roman" w:hAnsi="Bookman Old Style" w:cs="Times New Roman"/>
          <w:b/>
          <w:bCs/>
          <w:kern w:val="0"/>
          <w14:ligatures w14:val="none"/>
        </w:rPr>
        <w:t>correspond with rejection after the talaq</w:t>
      </w:r>
      <w:r w:rsidRPr="0069476D">
        <w:rPr>
          <w:rFonts w:ascii="Bookman Old Style" w:eastAsia="Times New Roman" w:hAnsi="Bookman Old Style" w:cs="Times New Roman"/>
          <w:kern w:val="0"/>
          <w14:ligatures w14:val="none"/>
        </w:rPr>
        <w:t>, not infidelity during marriage.</w:t>
      </w:r>
    </w:p>
    <w:p w14:paraId="379B213E"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RA 9262 does not require clinical documentation — but it does require </w:t>
      </w:r>
      <w:r w:rsidRPr="0069476D">
        <w:rPr>
          <w:rFonts w:ascii="Bookman Old Style" w:eastAsia="Times New Roman" w:hAnsi="Bookman Old Style" w:cs="Times New Roman"/>
          <w:b/>
          <w:bCs/>
          <w:kern w:val="0"/>
          <w14:ligatures w14:val="none"/>
        </w:rPr>
        <w:t>proof that the anguish happened because of the accused’s acts and during the intimate relationship</w:t>
      </w:r>
      <w:r w:rsidRPr="0069476D">
        <w:rPr>
          <w:rFonts w:ascii="Bookman Old Style" w:eastAsia="Times New Roman" w:hAnsi="Bookman Old Style" w:cs="Times New Roman"/>
          <w:kern w:val="0"/>
          <w14:ligatures w14:val="none"/>
        </w:rPr>
        <w:t>.</w:t>
      </w:r>
    </w:p>
    <w:p w14:paraId="55570CFB"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In this case, the court can find emotional anguish present — </w:t>
      </w:r>
      <w:r w:rsidRPr="0069476D">
        <w:rPr>
          <w:rFonts w:ascii="Bookman Old Style" w:eastAsia="Times New Roman" w:hAnsi="Bookman Old Style" w:cs="Times New Roman"/>
          <w:b/>
          <w:bCs/>
          <w:kern w:val="0"/>
          <w14:ligatures w14:val="none"/>
        </w:rPr>
        <w:t>but trace the source to post-talaq jealousy and failure of reconciliation</w:t>
      </w:r>
      <w:r w:rsidRPr="0069476D">
        <w:rPr>
          <w:rFonts w:ascii="Bookman Old Style" w:eastAsia="Times New Roman" w:hAnsi="Bookman Old Style" w:cs="Times New Roman"/>
          <w:kern w:val="0"/>
          <w14:ligatures w14:val="none"/>
        </w:rPr>
        <w:t>, not to acts committed while marital obligations still existed.</w:t>
      </w:r>
    </w:p>
    <w:p w14:paraId="0799E1A3"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Thus, although infidelity likely occurred, </w:t>
      </w:r>
      <w:r w:rsidRPr="0069476D">
        <w:rPr>
          <w:rFonts w:ascii="Bookman Old Style" w:eastAsia="Times New Roman" w:hAnsi="Bookman Old Style" w:cs="Times New Roman"/>
          <w:b/>
          <w:bCs/>
          <w:kern w:val="0"/>
          <w14:ligatures w14:val="none"/>
        </w:rPr>
        <w:t>the prosecution fails to meet the statutory requirement that psychological harm was inflicted during the marriage and caused by those acts at that time.</w:t>
      </w:r>
    </w:p>
    <w:p w14:paraId="3571E5A2" w14:textId="77777777" w:rsidR="0069476D" w:rsidRPr="0069476D" w:rsidRDefault="006B079E" w:rsidP="0069476D">
      <w:pPr>
        <w:spacing w:after="0" w:line="240" w:lineRule="auto"/>
        <w:rPr>
          <w:rFonts w:ascii="Bookman Old Style" w:eastAsia="Times New Roman" w:hAnsi="Bookman Old Style" w:cs="Times New Roman"/>
          <w:kern w:val="0"/>
          <w14:ligatures w14:val="none"/>
        </w:rPr>
      </w:pPr>
      <w:r w:rsidRPr="006B079E">
        <w:rPr>
          <w:rFonts w:ascii="Bookman Old Style" w:eastAsia="Times New Roman" w:hAnsi="Bookman Old Style" w:cs="Times New Roman"/>
          <w:noProof/>
          <w:kern w:val="0"/>
        </w:rPr>
        <w:pict w14:anchorId="7C123459">
          <v:rect id="_x0000_i1025" alt="" style="width:468pt;height:.05pt;mso-width-percent:0;mso-height-percent:0;mso-width-percent:0;mso-height-percent:0" o:hralign="center" o:hrstd="t" o:hr="t" fillcolor="#a0a0a0" stroked="f"/>
        </w:pict>
      </w:r>
    </w:p>
    <w:p w14:paraId="6D835343" w14:textId="77777777" w:rsidR="0069476D" w:rsidRPr="0069476D" w:rsidRDefault="0069476D" w:rsidP="0069476D">
      <w:pPr>
        <w:spacing w:before="100" w:beforeAutospacing="1" w:after="100" w:afterAutospacing="1" w:line="240" w:lineRule="auto"/>
        <w:outlineLvl w:val="1"/>
        <w:rPr>
          <w:rFonts w:ascii="Bookman Old Style" w:eastAsia="Times New Roman" w:hAnsi="Bookman Old Style" w:cs="Times New Roman"/>
          <w:b/>
          <w:bCs/>
          <w:kern w:val="0"/>
          <w:sz w:val="36"/>
          <w:szCs w:val="36"/>
          <w14:ligatures w14:val="none"/>
        </w:rPr>
      </w:pPr>
      <w:r w:rsidRPr="0069476D">
        <w:rPr>
          <w:rFonts w:ascii="Bookman Old Style" w:eastAsia="Times New Roman" w:hAnsi="Bookman Old Style" w:cs="Times New Roman"/>
          <w:b/>
          <w:bCs/>
          <w:kern w:val="0"/>
          <w:sz w:val="36"/>
          <w:szCs w:val="36"/>
          <w14:ligatures w14:val="none"/>
        </w:rPr>
        <w:t>IV. VERDICT OF A FAIR JUDGE</w:t>
      </w:r>
    </w:p>
    <w:p w14:paraId="621E2241"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The prosecution has proven the existence of marital infidelity with Charlie and even with other men. However, RA 9262 Sec. 5(i) does not punish infidelity as a moral wrong; it punishes psychological anxiety and emotional anguish inflicted within the marital relationship. The prosecution failed to prove beyond reasonable doubt that emotional anguish was caused during the marriage and by the husband’s alleged acts.</w:t>
      </w:r>
    </w:p>
    <w:p w14:paraId="39150DA0"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lastRenderedPageBreak/>
        <w:t xml:space="preserve">Emotional damage that arose </w:t>
      </w:r>
      <w:r w:rsidRPr="0069476D">
        <w:rPr>
          <w:rFonts w:ascii="Bookman Old Style" w:eastAsia="Times New Roman" w:hAnsi="Bookman Old Style" w:cs="Times New Roman"/>
          <w:b/>
          <w:bCs/>
          <w:kern w:val="0"/>
          <w14:ligatures w14:val="none"/>
        </w:rPr>
        <w:t>only after the talaq, upon discovery of evidence of infidelity, falls outside the scope of the criminal elements of RA 9262.</w:t>
      </w:r>
      <w:r w:rsidRPr="0069476D">
        <w:rPr>
          <w:rFonts w:ascii="Bookman Old Style" w:eastAsia="Times New Roman" w:hAnsi="Bookman Old Style" w:cs="Times New Roman"/>
          <w:kern w:val="0"/>
          <w14:ligatures w14:val="none"/>
        </w:rPr>
        <w:t xml:space="preserve"> Because the prosecution has failed to establish the element of causation contemporaneous with the marital relationship, reasonable doubt exists.</w:t>
      </w:r>
    </w:p>
    <w:p w14:paraId="77B8902F"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Segoe UI Symbol" w:eastAsia="Times New Roman" w:hAnsi="Segoe UI Symbol" w:cs="Segoe UI Symbol"/>
          <w:b/>
          <w:bCs/>
          <w:kern w:val="0"/>
          <w:sz w:val="27"/>
          <w:szCs w:val="27"/>
          <w14:ligatures w14:val="none"/>
        </w:rPr>
        <w:t>➤</w:t>
      </w:r>
      <w:r w:rsidRPr="0069476D">
        <w:rPr>
          <w:rFonts w:ascii="Bookman Old Style" w:eastAsia="Times New Roman" w:hAnsi="Bookman Old Style" w:cs="Times New Roman"/>
          <w:b/>
          <w:bCs/>
          <w:kern w:val="0"/>
          <w:sz w:val="27"/>
          <w:szCs w:val="27"/>
          <w14:ligatures w14:val="none"/>
        </w:rPr>
        <w:t xml:space="preserve"> Final Judgment</w:t>
      </w:r>
    </w:p>
    <w:p w14:paraId="7E804BD6"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b/>
          <w:bCs/>
          <w:kern w:val="0"/>
          <w14:ligatures w14:val="none"/>
        </w:rPr>
        <w:t>The accused is ACQUITTED.</w:t>
      </w:r>
    </w:p>
    <w:p w14:paraId="1AEA5F2F" w14:textId="77777777" w:rsidR="0069476D" w:rsidRPr="0069476D" w:rsidRDefault="0069476D" w:rsidP="0069476D">
      <w:pPr>
        <w:spacing w:before="100" w:beforeAutospacing="1" w:after="100" w:afterAutospacing="1" w:line="240" w:lineRule="auto"/>
        <w:outlineLvl w:val="2"/>
        <w:rPr>
          <w:rFonts w:ascii="Bookman Old Style" w:eastAsia="Times New Roman" w:hAnsi="Bookman Old Style" w:cs="Times New Roman"/>
          <w:b/>
          <w:bCs/>
          <w:kern w:val="0"/>
          <w:sz w:val="27"/>
          <w:szCs w:val="27"/>
          <w14:ligatures w14:val="none"/>
        </w:rPr>
      </w:pPr>
      <w:r w:rsidRPr="0069476D">
        <w:rPr>
          <w:rFonts w:ascii="Segoe UI Symbol" w:eastAsia="Times New Roman" w:hAnsi="Segoe UI Symbol" w:cs="Segoe UI Symbol"/>
          <w:b/>
          <w:bCs/>
          <w:kern w:val="0"/>
          <w:sz w:val="27"/>
          <w:szCs w:val="27"/>
          <w14:ligatures w14:val="none"/>
        </w:rPr>
        <w:t>➤</w:t>
      </w:r>
      <w:r w:rsidRPr="0069476D">
        <w:rPr>
          <w:rFonts w:ascii="Bookman Old Style" w:eastAsia="Times New Roman" w:hAnsi="Bookman Old Style" w:cs="Times New Roman"/>
          <w:b/>
          <w:bCs/>
          <w:kern w:val="0"/>
          <w:sz w:val="27"/>
          <w:szCs w:val="27"/>
          <w14:ligatures w14:val="none"/>
        </w:rPr>
        <w:t xml:space="preserve"> Legal Reason</w:t>
      </w:r>
    </w:p>
    <w:p w14:paraId="2C524D17" w14:textId="77777777" w:rsidR="0069476D" w:rsidRPr="0069476D" w:rsidRDefault="0069476D" w:rsidP="0069476D">
      <w:p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 xml:space="preserve">The prosecution failed to prove </w:t>
      </w:r>
      <w:r w:rsidRPr="0069476D">
        <w:rPr>
          <w:rFonts w:ascii="Bookman Old Style" w:eastAsia="Times New Roman" w:hAnsi="Bookman Old Style" w:cs="Times New Roman"/>
          <w:b/>
          <w:bCs/>
          <w:kern w:val="0"/>
          <w14:ligatures w14:val="none"/>
        </w:rPr>
        <w:t>beyond reasonable doubt</w:t>
      </w:r>
      <w:r w:rsidRPr="0069476D">
        <w:rPr>
          <w:rFonts w:ascii="Bookman Old Style" w:eastAsia="Times New Roman" w:hAnsi="Bookman Old Style" w:cs="Times New Roman"/>
          <w:kern w:val="0"/>
          <w14:ligatures w14:val="none"/>
        </w:rPr>
        <w:t xml:space="preserve"> that the emotional anguish of the wife was:</w:t>
      </w:r>
    </w:p>
    <w:p w14:paraId="6C643BFA" w14:textId="77777777" w:rsidR="0069476D" w:rsidRPr="0069476D" w:rsidRDefault="0069476D" w:rsidP="0069476D">
      <w:pPr>
        <w:numPr>
          <w:ilvl w:val="0"/>
          <w:numId w:val="14"/>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directly caused by the husband’s acts of infidelity, and</w:t>
      </w:r>
    </w:p>
    <w:p w14:paraId="5C5DD0BE" w14:textId="77777777" w:rsidR="0069476D" w:rsidRPr="0069476D" w:rsidRDefault="0069476D" w:rsidP="0069476D">
      <w:pPr>
        <w:numPr>
          <w:ilvl w:val="0"/>
          <w:numId w:val="14"/>
        </w:numPr>
        <w:spacing w:before="100" w:beforeAutospacing="1" w:after="100" w:afterAutospacing="1" w:line="240" w:lineRule="auto"/>
        <w:rPr>
          <w:rFonts w:ascii="Bookman Old Style" w:eastAsia="Times New Roman" w:hAnsi="Bookman Old Style" w:cs="Times New Roman"/>
          <w:kern w:val="0"/>
          <w14:ligatures w14:val="none"/>
        </w:rPr>
      </w:pPr>
      <w:r w:rsidRPr="0069476D">
        <w:rPr>
          <w:rFonts w:ascii="Bookman Old Style" w:eastAsia="Times New Roman" w:hAnsi="Bookman Old Style" w:cs="Times New Roman"/>
          <w:kern w:val="0"/>
          <w14:ligatures w14:val="none"/>
        </w:rPr>
        <w:t>suffered during the existence of the marital relationship.</w:t>
      </w:r>
    </w:p>
    <w:p w14:paraId="11BFA261" w14:textId="77777777" w:rsidR="00CE151C" w:rsidRPr="0069476D" w:rsidRDefault="00CE151C">
      <w:pPr>
        <w:rPr>
          <w:rFonts w:ascii="Bookman Old Style" w:hAnsi="Bookman Old Style"/>
        </w:rPr>
      </w:pPr>
    </w:p>
    <w:sectPr w:rsidR="00CE151C" w:rsidRPr="006947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5EC"/>
    <w:multiLevelType w:val="multilevel"/>
    <w:tmpl w:val="44E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434"/>
    <w:multiLevelType w:val="multilevel"/>
    <w:tmpl w:val="B7D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96C64"/>
    <w:multiLevelType w:val="multilevel"/>
    <w:tmpl w:val="141A7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0637B7"/>
    <w:multiLevelType w:val="multilevel"/>
    <w:tmpl w:val="281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4815C9"/>
    <w:multiLevelType w:val="multilevel"/>
    <w:tmpl w:val="F0A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04EA4"/>
    <w:multiLevelType w:val="multilevel"/>
    <w:tmpl w:val="6FC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E4F87"/>
    <w:multiLevelType w:val="multilevel"/>
    <w:tmpl w:val="8D5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43316"/>
    <w:multiLevelType w:val="multilevel"/>
    <w:tmpl w:val="137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E5D7F"/>
    <w:multiLevelType w:val="multilevel"/>
    <w:tmpl w:val="5256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950A3B"/>
    <w:multiLevelType w:val="multilevel"/>
    <w:tmpl w:val="76F4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77E2A"/>
    <w:multiLevelType w:val="multilevel"/>
    <w:tmpl w:val="C7D6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60FCE"/>
    <w:multiLevelType w:val="multilevel"/>
    <w:tmpl w:val="F96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A77D4"/>
    <w:multiLevelType w:val="multilevel"/>
    <w:tmpl w:val="B88C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CA5C42"/>
    <w:multiLevelType w:val="multilevel"/>
    <w:tmpl w:val="2308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1E0500"/>
    <w:multiLevelType w:val="multilevel"/>
    <w:tmpl w:val="FE0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44135">
    <w:abstractNumId w:val="14"/>
  </w:num>
  <w:num w:numId="2" w16cid:durableId="1849783566">
    <w:abstractNumId w:val="3"/>
  </w:num>
  <w:num w:numId="3" w16cid:durableId="68773038">
    <w:abstractNumId w:val="11"/>
  </w:num>
  <w:num w:numId="4" w16cid:durableId="731348014">
    <w:abstractNumId w:val="5"/>
  </w:num>
  <w:num w:numId="5" w16cid:durableId="1845975364">
    <w:abstractNumId w:val="9"/>
  </w:num>
  <w:num w:numId="6" w16cid:durableId="60293870">
    <w:abstractNumId w:val="7"/>
  </w:num>
  <w:num w:numId="7" w16cid:durableId="133064144">
    <w:abstractNumId w:val="0"/>
  </w:num>
  <w:num w:numId="8" w16cid:durableId="1085765422">
    <w:abstractNumId w:val="6"/>
  </w:num>
  <w:num w:numId="9" w16cid:durableId="732389300">
    <w:abstractNumId w:val="13"/>
  </w:num>
  <w:num w:numId="10" w16cid:durableId="1629118274">
    <w:abstractNumId w:val="10"/>
  </w:num>
  <w:num w:numId="11" w16cid:durableId="254442943">
    <w:abstractNumId w:val="4"/>
  </w:num>
  <w:num w:numId="12" w16cid:durableId="442379595">
    <w:abstractNumId w:val="12"/>
  </w:num>
  <w:num w:numId="13" w16cid:durableId="1044673570">
    <w:abstractNumId w:val="8"/>
  </w:num>
  <w:num w:numId="14" w16cid:durableId="596408804">
    <w:abstractNumId w:val="2"/>
  </w:num>
  <w:num w:numId="15" w16cid:durableId="464157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6D"/>
    <w:rsid w:val="000B452A"/>
    <w:rsid w:val="00295CC0"/>
    <w:rsid w:val="003C3D1E"/>
    <w:rsid w:val="00436435"/>
    <w:rsid w:val="0069476D"/>
    <w:rsid w:val="006B079E"/>
    <w:rsid w:val="00722FDA"/>
    <w:rsid w:val="00CE151C"/>
    <w:rsid w:val="00F10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86F2A"/>
  <w15:chartTrackingRefBased/>
  <w15:docId w15:val="{1433732D-37BE-5F41-9CF3-EB36842F4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4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4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4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4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76D"/>
    <w:rPr>
      <w:rFonts w:eastAsiaTheme="majorEastAsia" w:cstheme="majorBidi"/>
      <w:color w:val="272727" w:themeColor="text1" w:themeTint="D8"/>
    </w:rPr>
  </w:style>
  <w:style w:type="paragraph" w:styleId="Title">
    <w:name w:val="Title"/>
    <w:basedOn w:val="Normal"/>
    <w:next w:val="Normal"/>
    <w:link w:val="TitleChar"/>
    <w:uiPriority w:val="10"/>
    <w:qFormat/>
    <w:rsid w:val="00694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76D"/>
    <w:pPr>
      <w:spacing w:before="160"/>
      <w:jc w:val="center"/>
    </w:pPr>
    <w:rPr>
      <w:i/>
      <w:iCs/>
      <w:color w:val="404040" w:themeColor="text1" w:themeTint="BF"/>
    </w:rPr>
  </w:style>
  <w:style w:type="character" w:customStyle="1" w:styleId="QuoteChar">
    <w:name w:val="Quote Char"/>
    <w:basedOn w:val="DefaultParagraphFont"/>
    <w:link w:val="Quote"/>
    <w:uiPriority w:val="29"/>
    <w:rsid w:val="0069476D"/>
    <w:rPr>
      <w:i/>
      <w:iCs/>
      <w:color w:val="404040" w:themeColor="text1" w:themeTint="BF"/>
    </w:rPr>
  </w:style>
  <w:style w:type="paragraph" w:styleId="ListParagraph">
    <w:name w:val="List Paragraph"/>
    <w:basedOn w:val="Normal"/>
    <w:uiPriority w:val="34"/>
    <w:qFormat/>
    <w:rsid w:val="0069476D"/>
    <w:pPr>
      <w:ind w:left="720"/>
      <w:contextualSpacing/>
    </w:pPr>
  </w:style>
  <w:style w:type="character" w:styleId="IntenseEmphasis">
    <w:name w:val="Intense Emphasis"/>
    <w:basedOn w:val="DefaultParagraphFont"/>
    <w:uiPriority w:val="21"/>
    <w:qFormat/>
    <w:rsid w:val="0069476D"/>
    <w:rPr>
      <w:i/>
      <w:iCs/>
      <w:color w:val="0F4761" w:themeColor="accent1" w:themeShade="BF"/>
    </w:rPr>
  </w:style>
  <w:style w:type="paragraph" w:styleId="IntenseQuote">
    <w:name w:val="Intense Quote"/>
    <w:basedOn w:val="Normal"/>
    <w:next w:val="Normal"/>
    <w:link w:val="IntenseQuoteChar"/>
    <w:uiPriority w:val="30"/>
    <w:qFormat/>
    <w:rsid w:val="0069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76D"/>
    <w:rPr>
      <w:i/>
      <w:iCs/>
      <w:color w:val="0F4761" w:themeColor="accent1" w:themeShade="BF"/>
    </w:rPr>
  </w:style>
  <w:style w:type="character" w:styleId="IntenseReference">
    <w:name w:val="Intense Reference"/>
    <w:basedOn w:val="DefaultParagraphFont"/>
    <w:uiPriority w:val="32"/>
    <w:qFormat/>
    <w:rsid w:val="0069476D"/>
    <w:rPr>
      <w:b/>
      <w:bCs/>
      <w:smallCaps/>
      <w:color w:val="0F4761" w:themeColor="accent1" w:themeShade="BF"/>
      <w:spacing w:val="5"/>
    </w:rPr>
  </w:style>
  <w:style w:type="paragraph" w:styleId="NormalWeb">
    <w:name w:val="Normal (Web)"/>
    <w:basedOn w:val="Normal"/>
    <w:uiPriority w:val="99"/>
    <w:semiHidden/>
    <w:unhideWhenUsed/>
    <w:rsid w:val="006947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47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978</Words>
  <Characters>5872</Characters>
  <Application>Microsoft Office Word</Application>
  <DocSecurity>0</DocSecurity>
  <Lines>209</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cp:revision>
  <dcterms:created xsi:type="dcterms:W3CDTF">2025-11-14T16:00:00Z</dcterms:created>
  <dcterms:modified xsi:type="dcterms:W3CDTF">2025-11-14T16:15:00Z</dcterms:modified>
</cp:coreProperties>
</file>