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00" w:after="40"/>
            </w:pPr>
            <w:r/>
            <w:r>
              <w:rPr>
                <w:rFonts w:ascii="Calibri" w:hAnsi="Calibri"/>
                <w:b/>
                <w:color w:val="FFFFFF"/>
                <w:sz w:val="52"/>
              </w:rPr>
              <w:t>PALISADE</w:t>
            </w:r>
          </w:p>
          <w:p>
            <w:pPr>
              <w:spacing w:before="40" w:after="40"/>
            </w:pPr>
            <w:r>
              <w:rPr>
                <w:rFonts w:ascii="Calibri" w:hAnsi="Calibri"/>
                <w:color w:val="C9E6E9"/>
                <w:sz w:val="34"/>
              </w:rPr>
              <w:t>Engineering Log  ·  Milestone M2</w:t>
            </w:r>
          </w:p>
          <w:p>
            <w:pPr>
              <w:spacing w:before="80" w:after="360"/>
            </w:pPr>
            <w:r>
              <w:rPr>
                <w:rFonts w:ascii="Calibri" w:hAnsi="Calibri"/>
                <w:i/>
                <w:color w:val="A8D2D7"/>
                <w:sz w:val="22"/>
              </w:rPr>
              <w:t>Supply Chain &amp; CI/CD: a pipeline that signs what it ships</w:t>
            </w:r>
          </w:p>
        </w:tc>
      </w:tr>
    </w:tbl>
    <w:p>
      <w:pPr>
        <w:spacing w:after="16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Field</w:t>
            </w:r>
          </w:p>
        </w:tc>
        <w:tc>
          <w:tcPr>
            <w:tcW w:type="dxa" w:w="7560"/>
            <w:shd w:val="clear" w:color="auto" w:fill="0F626B"/>
          </w:tcPr>
          <w:p>
            <w:pPr>
              <w:spacing w:before="40" w:after="40"/>
            </w:pPr>
            <w:r/>
            <w:r>
              <w:rPr>
                <w:rFonts w:ascii="Calibri" w:hAnsi="Calibri"/>
                <w:b/>
                <w:color w:val="FFFFFF"/>
                <w:sz w:val="18"/>
              </w:rPr>
              <w:t>Detail</w:t>
            </w:r>
          </w:p>
        </w:tc>
      </w:tr>
      <w:tr>
        <w:tc>
          <w:tcPr>
            <w:tcW w:type="dxa" w:w="1944"/>
          </w:tcPr>
          <w:p>
            <w:pPr>
              <w:spacing w:before="40" w:after="40"/>
            </w:pPr>
            <w:r/>
            <w:r>
              <w:rPr>
                <w:rFonts w:ascii="Calibri" w:hAnsi="Calibri"/>
                <w:b w:val="0"/>
                <w:i w:val="0"/>
                <w:color w:val="1A1F2B"/>
                <w:sz w:val="19"/>
              </w:rPr>
              <w:t>Milestone</w:t>
            </w:r>
          </w:p>
        </w:tc>
        <w:tc>
          <w:tcPr>
            <w:tcW w:type="dxa" w:w="7560"/>
          </w:tcPr>
          <w:p>
            <w:pPr>
              <w:spacing w:before="40" w:after="40"/>
            </w:pPr>
            <w:r/>
            <w:r>
              <w:rPr>
                <w:rFonts w:ascii="Calibri" w:hAnsi="Calibri"/>
                <w:b/>
                <w:i w:val="0"/>
                <w:color w:val="1A1F2B"/>
                <w:sz w:val="19"/>
              </w:rPr>
              <w:t>M2 - Supply Chain &amp; CI/CD</w:t>
            </w:r>
          </w:p>
        </w:tc>
      </w:tr>
      <w:tr>
        <w:tc>
          <w:tcPr>
            <w:tcW w:type="dxa" w:w="1944"/>
            <w:shd w:val="clear" w:color="auto" w:fill="F2F6F7"/>
          </w:tcPr>
          <w:p>
            <w:pPr>
              <w:spacing w:before="40" w:after="40"/>
            </w:pPr>
            <w:r/>
            <w:r>
              <w:rPr>
                <w:rFonts w:ascii="Calibri" w:hAnsi="Calibri"/>
                <w:b w:val="0"/>
                <w:i w:val="0"/>
                <w:color w:val="1A1F2B"/>
                <w:sz w:val="19"/>
              </w:rPr>
              <w:t>Goal</w:t>
            </w:r>
          </w:p>
        </w:tc>
        <w:tc>
          <w:tcPr>
            <w:tcW w:type="dxa" w:w="7560"/>
            <w:shd w:val="clear" w:color="auto" w:fill="F2F6F7"/>
          </w:tcPr>
          <w:p>
            <w:pPr>
              <w:spacing w:before="40" w:after="40"/>
            </w:pPr>
            <w:r/>
            <w:r>
              <w:rPr>
                <w:rFonts w:ascii="Calibri" w:hAnsi="Calibri"/>
                <w:b w:val="0"/>
                <w:i w:val="0"/>
                <w:color w:val="1A1F2B"/>
                <w:sz w:val="19"/>
              </w:rPr>
              <w:t>Make it impossible to ship an artefact that hasn't been scanned, described and signed - and prove no long-lived cloud credential exists anywhere</w:t>
            </w:r>
          </w:p>
        </w:tc>
      </w:tr>
      <w:tr>
        <w:tc>
          <w:tcPr>
            <w:tcW w:type="dxa" w:w="1944"/>
          </w:tcPr>
          <w:p>
            <w:pPr>
              <w:spacing w:before="40" w:after="40"/>
            </w:pPr>
            <w:r/>
            <w:r>
              <w:rPr>
                <w:rFonts w:ascii="Calibri" w:hAnsi="Calibri"/>
                <w:b w:val="0"/>
                <w:i w:val="0"/>
                <w:color w:val="1A1F2B"/>
                <w:sz w:val="19"/>
              </w:rPr>
              <w:t>Result</w:t>
            </w:r>
          </w:p>
        </w:tc>
        <w:tc>
          <w:tcPr>
            <w:tcW w:type="dxa" w:w="7560"/>
          </w:tcPr>
          <w:p>
            <w:pPr>
              <w:spacing w:before="40" w:after="40"/>
            </w:pPr>
            <w:r/>
            <w:r>
              <w:rPr>
                <w:rFonts w:ascii="Calibri" w:hAnsi="Calibri"/>
                <w:b/>
                <w:i w:val="0"/>
                <w:color w:val="1A1F2B"/>
                <w:sz w:val="19"/>
              </w:rPr>
              <w:t>Passed.</w:t>
            </w:r>
            <w:r>
              <w:rPr>
                <w:rFonts w:ascii="Calibri" w:hAnsi="Calibri"/>
                <w:b w:val="0"/>
                <w:i w:val="0"/>
                <w:color w:val="1A1F2B"/>
                <w:sz w:val="19"/>
              </w:rPr>
              <w:t xml:space="preserve"> Verified live: </w:t>
            </w:r>
            <w:r>
              <w:rPr>
                <w:rFonts w:ascii="Consolas" w:hAnsi="Consolas"/>
                <w:b w:val="0"/>
                <w:i w:val="0"/>
                <w:color w:val="1F4E57"/>
                <w:sz w:val="17"/>
              </w:rPr>
              <w:t>cosign verify</w:t>
            </w:r>
            <w:r>
              <w:rPr>
                <w:rFonts w:ascii="Calibri" w:hAnsi="Calibri"/>
                <w:b w:val="0"/>
                <w:i w:val="0"/>
                <w:color w:val="1A1F2B"/>
                <w:sz w:val="19"/>
              </w:rPr>
              <w:t xml:space="preserve"> succeeds from a logged-out terminal, an SPDX SBOM (127 packages) verifies against the same digest, and the GitHub repository holds zero stored secrets</w:t>
            </w:r>
          </w:p>
        </w:tc>
      </w:tr>
      <w:tr>
        <w:tc>
          <w:tcPr>
            <w:tcW w:type="dxa" w:w="1944"/>
            <w:shd w:val="clear" w:color="auto" w:fill="F2F6F7"/>
          </w:tcPr>
          <w:p>
            <w:pPr>
              <w:spacing w:before="40" w:after="40"/>
            </w:pPr>
            <w:r/>
            <w:r>
              <w:rPr>
                <w:rFonts w:ascii="Calibri" w:hAnsi="Calibri"/>
                <w:b w:val="0"/>
                <w:i w:val="0"/>
                <w:color w:val="1A1F2B"/>
                <w:sz w:val="19"/>
              </w:rPr>
              <w:t>Identity</w:t>
            </w:r>
          </w:p>
        </w:tc>
        <w:tc>
          <w:tcPr>
            <w:tcW w:type="dxa" w:w="7560"/>
            <w:shd w:val="clear" w:color="auto" w:fill="F2F6F7"/>
          </w:tcPr>
          <w:p>
            <w:pPr>
              <w:spacing w:before="40" w:after="40"/>
            </w:pPr>
            <w:r/>
            <w:r>
              <w:rPr>
                <w:rFonts w:ascii="Calibri" w:hAnsi="Calibri"/>
                <w:b w:val="0"/>
                <w:i w:val="0"/>
                <w:color w:val="1A1F2B"/>
                <w:sz w:val="19"/>
              </w:rPr>
              <w:t>GitHub OIDC -&gt; two scoped IAM roles (</w:t>
            </w:r>
            <w:r>
              <w:rPr>
                <w:rFonts w:ascii="Consolas" w:hAnsi="Consolas"/>
                <w:b w:val="0"/>
                <w:i w:val="0"/>
                <w:color w:val="1F4E57"/>
                <w:sz w:val="17"/>
              </w:rPr>
              <w:t>palisade-ci-plan</w:t>
            </w:r>
            <w:r>
              <w:rPr>
                <w:rFonts w:ascii="Calibri" w:hAnsi="Calibri"/>
                <w:b w:val="0"/>
                <w:i w:val="0"/>
                <w:color w:val="1A1F2B"/>
                <w:sz w:val="19"/>
              </w:rPr>
              <w:t xml:space="preserve">, </w:t>
            </w:r>
            <w:r>
              <w:rPr>
                <w:rFonts w:ascii="Consolas" w:hAnsi="Consolas"/>
                <w:b w:val="0"/>
                <w:i w:val="0"/>
                <w:color w:val="1F4E57"/>
                <w:sz w:val="17"/>
              </w:rPr>
              <w:t>palisade-ci-apply</w:t>
            </w:r>
            <w:r>
              <w:rPr>
                <w:rFonts w:ascii="Calibri" w:hAnsi="Calibri"/>
                <w:b w:val="0"/>
                <w:i w:val="0"/>
                <w:color w:val="1A1F2B"/>
                <w:sz w:val="19"/>
              </w:rPr>
              <w:t>) - no AWS access key stored anywhere in GitHub</w:t>
            </w:r>
          </w:p>
        </w:tc>
      </w:tr>
      <w:tr>
        <w:tc>
          <w:tcPr>
            <w:tcW w:type="dxa" w:w="1944"/>
          </w:tcPr>
          <w:p>
            <w:pPr>
              <w:spacing w:before="40" w:after="40"/>
            </w:pPr>
            <w:r/>
            <w:r>
              <w:rPr>
                <w:rFonts w:ascii="Calibri" w:hAnsi="Calibri"/>
                <w:b w:val="0"/>
                <w:i w:val="0"/>
                <w:color w:val="1A1F2B"/>
                <w:sz w:val="19"/>
              </w:rPr>
              <w:t>Pipeline</w:t>
            </w:r>
          </w:p>
        </w:tc>
        <w:tc>
          <w:tcPr>
            <w:tcW w:type="dxa" w:w="7560"/>
          </w:tcPr>
          <w:p>
            <w:pPr>
              <w:spacing w:before="40" w:after="40"/>
            </w:pPr>
            <w:r/>
            <w:r>
              <w:rPr>
                <w:rFonts w:ascii="Consolas" w:hAnsi="Consolas"/>
                <w:b w:val="0"/>
                <w:i w:val="0"/>
                <w:color w:val="1F4E57"/>
                <w:sz w:val="17"/>
              </w:rPr>
              <w:t>ci.yml</w:t>
            </w:r>
            <w:r>
              <w:rPr>
                <w:rFonts w:ascii="Calibri" w:hAnsi="Calibri"/>
                <w:b w:val="0"/>
                <w:i w:val="0"/>
                <w:color w:val="1A1F2B"/>
                <w:sz w:val="19"/>
              </w:rPr>
              <w:t xml:space="preserve"> (lint, test, build, Trivy gate, push, cosign sign + attest) and </w:t>
            </w:r>
            <w:r>
              <w:rPr>
                <w:rFonts w:ascii="Consolas" w:hAnsi="Consolas"/>
                <w:b w:val="0"/>
                <w:i w:val="0"/>
                <w:color w:val="1F4E57"/>
                <w:sz w:val="17"/>
              </w:rPr>
              <w:t>terraform.yml</w:t>
            </w:r>
            <w:r>
              <w:rPr>
                <w:rFonts w:ascii="Calibri" w:hAnsi="Calibri"/>
                <w:b w:val="0"/>
                <w:i w:val="0"/>
                <w:color w:val="1A1F2B"/>
                <w:sz w:val="19"/>
              </w:rPr>
              <w:t xml:space="preserve"> (plan on PR, apply on merge), both GitHub-hosted</w:t>
            </w:r>
          </w:p>
        </w:tc>
      </w:tr>
      <w:tr>
        <w:tc>
          <w:tcPr>
            <w:tcW w:type="dxa" w:w="1944"/>
            <w:shd w:val="clear" w:color="auto" w:fill="F2F6F7"/>
          </w:tcPr>
          <w:p>
            <w:pPr>
              <w:spacing w:before="40" w:after="40"/>
            </w:pPr>
            <w:r/>
            <w:r>
              <w:rPr>
                <w:rFonts w:ascii="Calibri" w:hAnsi="Calibri"/>
                <w:b w:val="0"/>
                <w:i w:val="0"/>
                <w:color w:val="1A1F2B"/>
                <w:sz w:val="19"/>
              </w:rPr>
              <w:t>New code</w:t>
            </w:r>
          </w:p>
        </w:tc>
        <w:tc>
          <w:tcPr>
            <w:tcW w:type="dxa" w:w="7560"/>
            <w:shd w:val="clear" w:color="auto" w:fill="F2F6F7"/>
          </w:tcPr>
          <w:p>
            <w:pPr>
              <w:spacing w:before="40" w:after="40"/>
            </w:pPr>
            <w:r/>
            <w:r>
              <w:rPr>
                <w:rFonts w:ascii="Consolas" w:hAnsi="Consolas"/>
                <w:b w:val="0"/>
                <w:i w:val="0"/>
                <w:color w:val="1F4E57"/>
                <w:sz w:val="17"/>
              </w:rPr>
              <w:t>infra/terraform/aws/{bootstrap,app}</w:t>
            </w:r>
            <w:r>
              <w:rPr>
                <w:rFonts w:ascii="Calibri" w:hAnsi="Calibri"/>
                <w:b w:val="0"/>
                <w:i w:val="0"/>
                <w:color w:val="1A1F2B"/>
                <w:sz w:val="19"/>
              </w:rPr>
              <w:t xml:space="preserve">, </w:t>
            </w:r>
            <w:r>
              <w:rPr>
                <w:rFonts w:ascii="Consolas" w:hAnsi="Consolas"/>
                <w:b w:val="0"/>
                <w:i w:val="0"/>
                <w:color w:val="1F4E57"/>
                <w:sz w:val="17"/>
              </w:rPr>
              <w:t>.github/workflows/{ci,terraform}.yml</w:t>
            </w:r>
            <w:r>
              <w:rPr>
                <w:rFonts w:ascii="Calibri" w:hAnsi="Calibri"/>
                <w:b w:val="0"/>
                <w:i w:val="0"/>
                <w:color w:val="1A1F2B"/>
                <w:sz w:val="19"/>
              </w:rPr>
              <w:t xml:space="preserve">, </w:t>
            </w:r>
            <w:r>
              <w:rPr>
                <w:rFonts w:ascii="Consolas" w:hAnsi="Consolas"/>
                <w:b w:val="0"/>
                <w:i w:val="0"/>
                <w:color w:val="1F4E57"/>
                <w:sz w:val="17"/>
              </w:rPr>
              <w:t>scripts/setup-billing-budget.sh</w:t>
            </w:r>
            <w:r>
              <w:rPr>
                <w:rFonts w:ascii="Calibri" w:hAnsi="Calibri"/>
                <w:b w:val="0"/>
                <w:i w:val="0"/>
                <w:color w:val="1A1F2B"/>
                <w:sz w:val="19"/>
              </w:rPr>
              <w:t xml:space="preserve">, hash-pinned </w:t>
            </w:r>
            <w:r>
              <w:rPr>
                <w:rFonts w:ascii="Consolas" w:hAnsi="Consolas"/>
                <w:b w:val="0"/>
                <w:i w:val="0"/>
                <w:color w:val="1F4E57"/>
                <w:sz w:val="17"/>
              </w:rPr>
              <w:t>requirements*.txt</w:t>
            </w:r>
            <w:r>
              <w:rPr>
                <w:rFonts w:ascii="Calibri" w:hAnsi="Calibri"/>
                <w:b w:val="0"/>
                <w:i w:val="0"/>
                <w:color w:val="1A1F2B"/>
                <w:sz w:val="19"/>
              </w:rPr>
              <w:t xml:space="preserve">, </w:t>
            </w:r>
            <w:r>
              <w:rPr>
                <w:rFonts w:ascii="Consolas" w:hAnsi="Consolas"/>
                <w:b w:val="0"/>
                <w:i w:val="0"/>
                <w:color w:val="1F4E57"/>
                <w:sz w:val="17"/>
              </w:rPr>
              <w:t>services/gateway/.trivyignore</w:t>
            </w:r>
            <w:r>
              <w:rPr>
                <w:rFonts w:ascii="Calibri" w:hAnsi="Calibri"/>
                <w:b w:val="0"/>
                <w:i w:val="0"/>
                <w:color w:val="1A1F2B"/>
                <w:sz w:val="19"/>
              </w:rPr>
              <w:t>, ADRs 0007-0010</w:t>
            </w:r>
          </w:p>
        </w:tc>
      </w:tr>
    </w:tbl>
    <w:p>
      <w:pPr>
        <w:spacing w:after="60"/>
      </w:pPr>
    </w:p>
    <w:p>
      <w:pPr>
        <w:pStyle w:val="Heading2"/>
      </w:pPr>
      <w:r>
        <w:t>How this document is organised</w:t>
      </w:r>
    </w:p>
    <w:p>
      <w:pPr>
        <w:spacing w:after="160"/>
      </w:pPr>
      <w:r>
        <w:rPr>
          <w:rFonts w:ascii="Calibri" w:hAnsi="Calibri"/>
          <w:b w:val="0"/>
          <w:i w:val="0"/>
          <w:color w:val="445063"/>
          <w:sz w:val="21"/>
        </w:rPr>
        <w:t>Same structure as M0 and M1, answering the same six standing questions.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The question</w:t>
            </w:r>
          </w:p>
        </w:tc>
        <w:tc>
          <w:tcPr>
            <w:tcW w:type="dxa" w:w="6480"/>
            <w:shd w:val="clear" w:color="auto" w:fill="0F626B"/>
          </w:tcPr>
          <w:p>
            <w:pPr>
              <w:spacing w:before="40" w:after="40"/>
            </w:pPr>
            <w:r/>
            <w:r>
              <w:rPr>
                <w:rFonts w:ascii="Calibri" w:hAnsi="Calibri"/>
                <w:b/>
                <w:color w:val="FFFFFF"/>
                <w:sz w:val="18"/>
              </w:rPr>
              <w:t>Where it is answered</w:t>
            </w:r>
          </w:p>
        </w:tc>
      </w:tr>
      <w:tr>
        <w:tc>
          <w:tcPr>
            <w:tcW w:type="dxa" w:w="3024"/>
          </w:tcPr>
          <w:p>
            <w:pPr>
              <w:spacing w:before="40" w:after="40"/>
            </w:pPr>
            <w:r/>
            <w:r>
              <w:rPr>
                <w:rFonts w:ascii="Calibri" w:hAnsi="Calibri"/>
                <w:b/>
                <w:i w:val="0"/>
                <w:color w:val="1A1F2B"/>
                <w:sz w:val="19"/>
              </w:rPr>
              <w:t>1. Everything that was done</w:t>
            </w:r>
          </w:p>
        </w:tc>
        <w:tc>
          <w:tcPr>
            <w:tcW w:type="dxa" w:w="6480"/>
          </w:tcPr>
          <w:p>
            <w:pPr>
              <w:spacing w:before="40" w:after="40"/>
            </w:pPr>
            <w:r/>
            <w:r>
              <w:rPr>
                <w:rFonts w:ascii="Calibri" w:hAnsi="Calibri"/>
                <w:b w:val="0"/>
                <w:i w:val="0"/>
                <w:color w:val="1A1F2B"/>
                <w:sz w:val="19"/>
              </w:rPr>
              <w:t xml:space="preserve">§4 What was built and </w:t>
            </w:r>
            <w:r>
              <w:rPr>
                <w:rFonts w:ascii="Calibri" w:hAnsi="Calibri"/>
                <w:b/>
                <w:i w:val="0"/>
                <w:color w:val="1A1F2B"/>
                <w:sz w:val="19"/>
              </w:rPr>
              <w:t>§5 How it was done</w:t>
            </w:r>
            <w:r>
              <w:rPr>
                <w:rFonts w:ascii="Calibri" w:hAnsi="Calibri"/>
                <w:b w:val="0"/>
                <w:i w:val="0"/>
                <w:color w:val="1A1F2B"/>
                <w:sz w:val="19"/>
              </w:rPr>
              <w:t xml:space="preserve"> - the complete task-by-task walkthrough</w:t>
            </w:r>
          </w:p>
        </w:tc>
      </w:tr>
      <w:tr>
        <w:tc>
          <w:tcPr>
            <w:tcW w:type="dxa" w:w="3024"/>
            <w:shd w:val="clear" w:color="auto" w:fill="F2F6F7"/>
          </w:tcPr>
          <w:p>
            <w:pPr>
              <w:spacing w:before="40" w:after="40"/>
            </w:pPr>
            <w:r/>
            <w:r>
              <w:rPr>
                <w:rFonts w:ascii="Calibri" w:hAnsi="Calibri"/>
                <w:b/>
                <w:i w:val="0"/>
                <w:color w:val="1A1F2B"/>
                <w:sz w:val="19"/>
              </w:rPr>
              <w:t>2. What was done differently</w:t>
            </w:r>
            <w:r>
              <w:rPr>
                <w:rFonts w:ascii="Calibri" w:hAnsi="Calibri"/>
                <w:b w:val="0"/>
                <w:i w:val="0"/>
                <w:color w:val="1A1F2B"/>
                <w:sz w:val="19"/>
              </w:rPr>
              <w:t>, and why</w:t>
            </w:r>
          </w:p>
        </w:tc>
        <w:tc>
          <w:tcPr>
            <w:tcW w:type="dxa" w:w="6480"/>
            <w:shd w:val="clear" w:color="auto" w:fill="F2F6F7"/>
          </w:tcPr>
          <w:p>
            <w:pPr>
              <w:spacing w:before="40" w:after="40"/>
            </w:pPr>
            <w:r/>
            <w:r>
              <w:rPr>
                <w:rFonts w:ascii="Calibri" w:hAnsi="Calibri"/>
                <w:b/>
                <w:i w:val="0"/>
                <w:color w:val="1A1F2B"/>
                <w:sz w:val="19"/>
              </w:rPr>
              <w:t>§8 Deviations</w:t>
            </w:r>
            <w:r>
              <w:rPr>
                <w:rFonts w:ascii="Calibri" w:hAnsi="Calibri"/>
                <w:b w:val="0"/>
                <w:i w:val="0"/>
                <w:color w:val="1A1F2B"/>
                <w:sz w:val="19"/>
              </w:rPr>
              <w:t xml:space="preserve"> - every place a real run disagreed with the plan or with what I assumed</w:t>
            </w:r>
          </w:p>
        </w:tc>
      </w:tr>
      <w:tr>
        <w:tc>
          <w:tcPr>
            <w:tcW w:type="dxa" w:w="3024"/>
          </w:tcPr>
          <w:p>
            <w:pPr>
              <w:spacing w:before="40" w:after="40"/>
            </w:pPr>
            <w:r/>
            <w:r>
              <w:rPr>
                <w:rFonts w:ascii="Calibri" w:hAnsi="Calibri"/>
                <w:b/>
                <w:i w:val="0"/>
                <w:color w:val="1A1F2B"/>
                <w:sz w:val="19"/>
              </w:rPr>
              <w:t>3. How it was done</w:t>
            </w:r>
          </w:p>
        </w:tc>
        <w:tc>
          <w:tcPr>
            <w:tcW w:type="dxa" w:w="6480"/>
          </w:tcPr>
          <w:p>
            <w:pPr>
              <w:spacing w:before="40" w:after="40"/>
            </w:pPr>
            <w:r/>
            <w:r>
              <w:rPr>
                <w:rFonts w:ascii="Calibri" w:hAnsi="Calibri"/>
                <w:b w:val="0"/>
                <w:i w:val="0"/>
                <w:color w:val="1A1F2B"/>
                <w:sz w:val="19"/>
              </w:rPr>
              <w:t xml:space="preserve">§5, plus </w:t>
            </w:r>
            <w:r>
              <w:rPr>
                <w:rFonts w:ascii="Calibri" w:hAnsi="Calibri"/>
                <w:b/>
                <w:i w:val="0"/>
                <w:color w:val="1A1F2B"/>
                <w:sz w:val="19"/>
              </w:rPr>
              <w:t>§6</w:t>
            </w:r>
            <w:r>
              <w:rPr>
                <w:rFonts w:ascii="Calibri" w:hAnsi="Calibri"/>
                <w:b w:val="0"/>
                <w:i w:val="0"/>
                <w:color w:val="1A1F2B"/>
                <w:sz w:val="19"/>
              </w:rPr>
              <w:t xml:space="preserve"> - a deep dive into six real, reproducible failures found by actually running the pipeline, not by reviewing it</w:t>
            </w:r>
          </w:p>
        </w:tc>
      </w:tr>
      <w:tr>
        <w:tc>
          <w:tcPr>
            <w:tcW w:type="dxa" w:w="3024"/>
            <w:shd w:val="clear" w:color="auto" w:fill="F2F6F7"/>
          </w:tcPr>
          <w:p>
            <w:pPr>
              <w:spacing w:before="40" w:after="40"/>
            </w:pPr>
            <w:r/>
            <w:r>
              <w:rPr>
                <w:rFonts w:ascii="Calibri" w:hAnsi="Calibri"/>
                <w:b/>
                <w:i w:val="0"/>
                <w:color w:val="1A1F2B"/>
                <w:sz w:val="19"/>
              </w:rPr>
              <w:t>4. What the limitations are</w:t>
            </w:r>
          </w:p>
        </w:tc>
        <w:tc>
          <w:tcPr>
            <w:tcW w:type="dxa" w:w="6480"/>
            <w:shd w:val="clear" w:color="auto" w:fill="F2F6F7"/>
          </w:tcPr>
          <w:p>
            <w:pPr>
              <w:spacing w:before="40" w:after="40"/>
            </w:pPr>
            <w:r/>
            <w:r>
              <w:rPr>
                <w:rFonts w:ascii="Calibri" w:hAnsi="Calibri"/>
                <w:b/>
                <w:i w:val="0"/>
                <w:color w:val="1A1F2B"/>
                <w:sz w:val="19"/>
              </w:rPr>
              <w:t>§9 Limitations</w:t>
            </w:r>
            <w:r>
              <w:rPr>
                <w:rFonts w:ascii="Calibri" w:hAnsi="Calibri"/>
                <w:b w:val="0"/>
                <w:i w:val="0"/>
                <w:color w:val="1A1F2B"/>
                <w:sz w:val="19"/>
              </w:rPr>
              <w:t xml:space="preserve"> - stated plainly, including the ones M3 inherits</w:t>
            </w:r>
          </w:p>
        </w:tc>
      </w:tr>
      <w:tr>
        <w:tc>
          <w:tcPr>
            <w:tcW w:type="dxa" w:w="3024"/>
          </w:tcPr>
          <w:p>
            <w:pPr>
              <w:spacing w:before="40" w:after="40"/>
            </w:pPr>
            <w:r/>
            <w:r>
              <w:rPr>
                <w:rFonts w:ascii="Calibri" w:hAnsi="Calibri"/>
                <w:b/>
                <w:i w:val="0"/>
                <w:color w:val="1A1F2B"/>
                <w:sz w:val="19"/>
              </w:rPr>
              <w:t>5. Why this tool/approach over the alternatives</w:t>
            </w:r>
          </w:p>
        </w:tc>
        <w:tc>
          <w:tcPr>
            <w:tcW w:type="dxa" w:w="6480"/>
          </w:tcPr>
          <w:p>
            <w:pPr>
              <w:spacing w:before="40" w:after="40"/>
            </w:pPr>
            <w:r/>
            <w:r>
              <w:rPr>
                <w:rFonts w:ascii="Calibri" w:hAnsi="Calibri"/>
                <w:b/>
                <w:i w:val="0"/>
                <w:color w:val="1A1F2B"/>
                <w:sz w:val="19"/>
              </w:rPr>
              <w:t>§8 Tool choices</w:t>
            </w:r>
            <w:r>
              <w:rPr>
                <w:rFonts w:ascii="Calibri" w:hAnsi="Calibri"/>
                <w:b w:val="0"/>
                <w:i w:val="0"/>
                <w:color w:val="1A1F2B"/>
                <w:sz w:val="19"/>
              </w:rPr>
              <w:t>, and the milestone's four new ADRs (0007-0010)</w:t>
            </w:r>
          </w:p>
        </w:tc>
      </w:tr>
      <w:tr>
        <w:tc>
          <w:tcPr>
            <w:tcW w:type="dxa" w:w="3024"/>
            <w:shd w:val="clear" w:color="auto" w:fill="F2F6F7"/>
          </w:tcPr>
          <w:p>
            <w:pPr>
              <w:spacing w:before="40" w:after="40"/>
            </w:pPr>
            <w:r/>
            <w:r>
              <w:rPr>
                <w:rFonts w:ascii="Calibri" w:hAnsi="Calibri"/>
                <w:b/>
                <w:i w:val="0"/>
                <w:color w:val="1A1F2B"/>
                <w:sz w:val="19"/>
              </w:rPr>
              <w:t>6. Plain language and technical, both</w:t>
            </w:r>
          </w:p>
        </w:tc>
        <w:tc>
          <w:tcPr>
            <w:tcW w:type="dxa" w:w="6480"/>
            <w:shd w:val="clear" w:color="auto" w:fill="F2F6F7"/>
          </w:tcPr>
          <w:p>
            <w:pPr>
              <w:spacing w:before="40" w:after="40"/>
            </w:pPr>
            <w:r/>
            <w:r>
              <w:rPr>
                <w:rFonts w:ascii="Calibri" w:hAnsi="Calibri"/>
                <w:b w:val="0"/>
                <w:i w:val="0"/>
                <w:color w:val="1A1F2B"/>
                <w:sz w:val="19"/>
              </w:rPr>
              <w:t xml:space="preserve">Throughout, as </w:t>
            </w:r>
            <w:r>
              <w:rPr>
                <w:rFonts w:ascii="Calibri" w:hAnsi="Calibri"/>
                <w:b/>
                <w:i w:val="0"/>
                <w:color w:val="1A1F2B"/>
                <w:sz w:val="19"/>
              </w:rPr>
              <w:t>IN PLAIN LANGUAGE</w:t>
            </w:r>
            <w:r>
              <w:rPr>
                <w:rFonts w:ascii="Calibri" w:hAnsi="Calibri"/>
                <w:b w:val="0"/>
                <w:i w:val="0"/>
                <w:color w:val="1A1F2B"/>
                <w:sz w:val="19"/>
              </w:rPr>
              <w:t xml:space="preserve"> / </w:t>
            </w:r>
            <w:r>
              <w:rPr>
                <w:rFonts w:ascii="Calibri" w:hAnsi="Calibri"/>
                <w:b/>
                <w:i w:val="0"/>
                <w:color w:val="1A1F2B"/>
                <w:sz w:val="19"/>
              </w:rPr>
              <w:t>TECHNICALLY</w:t>
            </w:r>
            <w:r>
              <w:rPr>
                <w:rFonts w:ascii="Calibri" w:hAnsi="Calibri"/>
                <w:b w:val="0"/>
                <w:i w:val="0"/>
                <w:color w:val="1A1F2B"/>
                <w:sz w:val="19"/>
              </w:rPr>
              <w:t xml:space="preserve"> pairs.</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M2</w:t>
            </w:r>
          </w:p>
          <w:p>
            <w:pPr>
              <w:spacing w:before="0" w:after="80"/>
            </w:pPr>
            <w:r>
              <w:rPr>
                <w:rFonts w:ascii="Calibri" w:hAnsi="Calibri"/>
                <w:b w:val="0"/>
                <w:i w:val="0"/>
                <w:color w:val="1A1F2B"/>
                <w:sz w:val="20"/>
              </w:rPr>
              <w:t xml:space="preserve">Every one of the six failures in §6 passed a local check, a </w:t>
            </w:r>
            <w:r>
              <w:rPr>
                <w:rFonts w:ascii="Consolas" w:hAnsi="Consolas"/>
                <w:b w:val="0"/>
                <w:i w:val="0"/>
                <w:color w:val="1F4E57"/>
                <w:sz w:val="18"/>
              </w:rPr>
              <w:t>terraform plan</w:t>
            </w:r>
            <w:r>
              <w:rPr>
                <w:rFonts w:ascii="Calibri" w:hAnsi="Calibri"/>
                <w:b w:val="0"/>
                <w:i w:val="0"/>
                <w:color w:val="1A1F2B"/>
                <w:sz w:val="20"/>
              </w:rPr>
              <w:t>, or a code review before it ever ran for real - and every one only surfaced once the actual pipeline ran against actual AWS and actual GitHub infrastructure. A green plan is a prediction, not a result; this milestone's entire content is the gap between the two.</w:t>
            </w:r>
          </w:p>
        </w:tc>
      </w:tr>
    </w:tbl>
    <w:p>
      <w:pPr>
        <w:spacing w:after="40"/>
      </w:pPr>
    </w:p>
    <w:p>
      <w:r>
        <w:br w:type="page"/>
      </w:r>
    </w:p>
    <w:p>
      <w:pPr>
        <w:pStyle w:val="Heading1"/>
        <w:pBdr>
          <w:bottom w:val="single" w:sz="8" w:space="6" w:color="0F626B"/>
        </w:pBdr>
      </w:pPr>
      <w:r>
        <w:t>1. What M2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M1 proved the model could serve a real answer. M2 asks a different question: once that service is worth shipping, how do I ship it so that nothing reaches production without being checked, and so that checking it doesn't require trusting a password sitting in a settings page somewhere?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Build a GitHub Actions pipeline that lints, tests, builds, gates on a vulnerability scan, pushes to a registry, and signs the result - keylessly, through GitHub's own OIDC identity - plus a second pipeline that plans and applies a small amount of AWS infrastructure through that same identity, with zero AWS credentials stored in GitHub at any point.</w:t>
            </w:r>
          </w:p>
        </w:tc>
      </w:tr>
    </w:tbl>
    <w:p>
      <w:pPr>
        <w:spacing w:after="80"/>
      </w:pPr>
    </w:p>
    <w:p>
      <w:pPr>
        <w:pStyle w:val="Heading2"/>
      </w:pPr>
      <w:r>
        <w:t>1.2  Why this, and in this order</w:t>
      </w:r>
    </w:p>
    <w:p>
      <w:pPr>
        <w:spacing w:after="140"/>
      </w:pPr>
      <w:r>
        <w:rPr>
          <w:rFonts w:ascii="Calibri" w:hAnsi="Calibri"/>
          <w:b w:val="0"/>
          <w:i w:val="0"/>
          <w:color w:val="1A1F2B"/>
          <w:sz w:val="21"/>
        </w:rPr>
        <w:t>The single biggest risk in this milestone was never the scanning or the signing - both are well-trodden, well-documented tools. The real risk was getting the trust relationship between GitHub and AWS wrong in a way that either doesn't work or, worse, works but is wrong. Everything was sequenced so that risk got the cheapest possible test, first.</w:t>
      </w:r>
    </w:p>
    <w:tbl>
      <w:tblPr>
        <w:tblStyle w:val="TableGrid"/>
        <w:tblW w:type="auto" w:w="0"/>
        <w:jc w:val="center"/>
        <w:tblLayout w:type="fixed"/>
        <w:tblLook w:firstColumn="1" w:firstRow="1" w:lastColumn="0" w:lastRow="0" w:noHBand="0" w:noVBand="1" w:val="04A0"/>
      </w:tblPr>
      <w:tblGrid>
        <w:gridCol w:w="2364"/>
        <w:gridCol w:w="2364"/>
        <w:gridCol w:w="2364"/>
        <w:gridCol w:w="2364"/>
      </w:tblGrid>
      <w:tr>
        <w:trPr>
          <w:tblHeader/>
        </w:trPr>
        <w:tc>
          <w:tcPr>
            <w:tcW w:type="dxa" w:w="720"/>
            <w:shd w:val="clear" w:color="auto" w:fill="0F626B"/>
          </w:tcPr>
          <w:p>
            <w:pPr>
              <w:spacing w:before="40" w:after="40"/>
            </w:pPr>
            <w:r/>
            <w:r>
              <w:rPr>
                <w:rFonts w:ascii="Calibri" w:hAnsi="Calibri"/>
                <w:b/>
                <w:color w:val="FFFFFF"/>
                <w:sz w:val="18"/>
              </w:rPr>
              <w:t>#</w:t>
            </w:r>
          </w:p>
        </w:tc>
        <w:tc>
          <w:tcPr>
            <w:tcW w:type="dxa" w:w="2880"/>
            <w:shd w:val="clear" w:color="auto" w:fill="0F626B"/>
          </w:tcPr>
          <w:p>
            <w:pPr>
              <w:spacing w:before="40" w:after="40"/>
            </w:pPr>
            <w:r/>
            <w:r>
              <w:rPr>
                <w:rFonts w:ascii="Calibri" w:hAnsi="Calibri"/>
                <w:b/>
                <w:color w:val="FFFFFF"/>
                <w:sz w:val="18"/>
              </w:rPr>
              <w:t>Task</w:t>
            </w:r>
          </w:p>
        </w:tc>
        <w:tc>
          <w:tcPr>
            <w:tcW w:type="dxa" w:w="3744"/>
            <w:shd w:val="clear" w:color="auto" w:fill="0F626B"/>
          </w:tcPr>
          <w:p>
            <w:pPr>
              <w:spacing w:before="40" w:after="40"/>
            </w:pPr>
            <w:r/>
            <w:r>
              <w:rPr>
                <w:rFonts w:ascii="Calibri" w:hAnsi="Calibri"/>
                <w:b/>
                <w:color w:val="FFFFFF"/>
                <w:sz w:val="18"/>
              </w:rPr>
              <w:t>The unknown it tested</w:t>
            </w:r>
          </w:p>
        </w:tc>
        <w:tc>
          <w:tcPr>
            <w:tcW w:type="dxa" w:w="2160"/>
            <w:shd w:val="clear" w:color="auto" w:fill="0F626B"/>
          </w:tcPr>
          <w:p>
            <w:pPr>
              <w:spacing w:before="40" w:after="40"/>
            </w:pPr>
            <w:r/>
            <w:r>
              <w:rPr>
                <w:rFonts w:ascii="Calibri" w:hAnsi="Calibri"/>
                <w:b/>
                <w:color w:val="FFFFFF"/>
                <w:sz w:val="18"/>
              </w:rPr>
              <w:t>Outcome</w:t>
            </w:r>
          </w:p>
        </w:tc>
      </w:tr>
      <w:tr>
        <w:tc>
          <w:tcPr>
            <w:tcW w:type="dxa" w:w="720"/>
          </w:tcPr>
          <w:p>
            <w:pPr>
              <w:spacing w:before="40" w:after="40"/>
            </w:pPr>
            <w:r/>
            <w:r>
              <w:rPr>
                <w:rFonts w:ascii="Calibri" w:hAnsi="Calibri"/>
                <w:b w:val="0"/>
                <w:i w:val="0"/>
                <w:color w:val="1A1F2B"/>
                <w:sz w:val="19"/>
              </w:rPr>
              <w:t>1-3</w:t>
            </w:r>
          </w:p>
        </w:tc>
        <w:tc>
          <w:tcPr>
            <w:tcW w:type="dxa" w:w="2880"/>
          </w:tcPr>
          <w:p>
            <w:pPr>
              <w:spacing w:before="40" w:after="40"/>
            </w:pPr>
            <w:r/>
            <w:r>
              <w:rPr>
                <w:rFonts w:ascii="Calibri" w:hAnsi="Calibri"/>
                <w:b w:val="0"/>
                <w:i w:val="0"/>
                <w:color w:val="1A1F2B"/>
                <w:sz w:val="19"/>
              </w:rPr>
              <w:t>Fresh AWS identity, prove the push works, stand up a billing guard</w:t>
            </w:r>
          </w:p>
        </w:tc>
        <w:tc>
          <w:tcPr>
            <w:tcW w:type="dxa" w:w="3744"/>
          </w:tcPr>
          <w:p>
            <w:pPr>
              <w:spacing w:before="40" w:after="40"/>
            </w:pPr>
            <w:r/>
            <w:r>
              <w:rPr>
                <w:rFonts w:ascii="Calibri" w:hAnsi="Calibri"/>
                <w:b w:val="0"/>
                <w:i w:val="0"/>
                <w:color w:val="1A1F2B"/>
                <w:sz w:val="19"/>
              </w:rPr>
              <w:t>Can I even get a working, scoped AWS credential - and is the CI blocker CLAUDE.md named actually real?</w:t>
            </w:r>
          </w:p>
        </w:tc>
        <w:tc>
          <w:tcPr>
            <w:tcW w:type="dxa" w:w="2160"/>
          </w:tcPr>
          <w:p>
            <w:pPr>
              <w:spacing w:before="40" w:after="40"/>
            </w:pPr>
            <w:r/>
            <w:r>
              <w:rPr>
                <w:rFonts w:ascii="Calibri" w:hAnsi="Calibri"/>
                <w:b/>
                <w:i w:val="0"/>
                <w:color w:val="1A1F2B"/>
                <w:sz w:val="19"/>
              </w:rPr>
              <w:t>One assumption was wrong</w:t>
            </w:r>
            <w:r>
              <w:rPr>
                <w:rFonts w:ascii="Calibri" w:hAnsi="Calibri"/>
                <w:b w:val="0"/>
                <w:i w:val="0"/>
                <w:color w:val="1A1F2B"/>
                <w:sz w:val="19"/>
              </w:rPr>
              <w:t xml:space="preserve"> - see §8</w:t>
            </w:r>
          </w:p>
        </w:tc>
      </w:tr>
      <w:tr>
        <w:tc>
          <w:tcPr>
            <w:tcW w:type="dxa" w:w="720"/>
            <w:shd w:val="clear" w:color="auto" w:fill="F2F6F7"/>
          </w:tcPr>
          <w:p>
            <w:pPr>
              <w:spacing w:before="40" w:after="40"/>
            </w:pPr>
            <w:r/>
            <w:r>
              <w:rPr>
                <w:rFonts w:ascii="Calibri" w:hAnsi="Calibri"/>
                <w:b w:val="0"/>
                <w:i w:val="0"/>
                <w:color w:val="1A1F2B"/>
                <w:sz w:val="19"/>
              </w:rPr>
              <w:t>4</w:t>
            </w:r>
          </w:p>
        </w:tc>
        <w:tc>
          <w:tcPr>
            <w:tcW w:type="dxa" w:w="2880"/>
            <w:shd w:val="clear" w:color="auto" w:fill="F2F6F7"/>
          </w:tcPr>
          <w:p>
            <w:pPr>
              <w:spacing w:before="40" w:after="40"/>
            </w:pPr>
            <w:r/>
            <w:r>
              <w:rPr>
                <w:rFonts w:ascii="Calibri" w:hAnsi="Calibri"/>
                <w:b w:val="0"/>
                <w:i w:val="0"/>
                <w:color w:val="1A1F2B"/>
                <w:sz w:val="19"/>
              </w:rPr>
              <w:t>OIDC trust policy on the smallest possible surface</w:t>
            </w:r>
          </w:p>
        </w:tc>
        <w:tc>
          <w:tcPr>
            <w:tcW w:type="dxa" w:w="3744"/>
            <w:shd w:val="clear" w:color="auto" w:fill="F2F6F7"/>
          </w:tcPr>
          <w:p>
            <w:pPr>
              <w:spacing w:before="40" w:after="40"/>
            </w:pPr>
            <w:r/>
            <w:r>
              <w:rPr>
                <w:rFonts w:ascii="Calibri" w:hAnsi="Calibri"/>
                <w:b w:val="0"/>
                <w:i w:val="0"/>
                <w:color w:val="1A1F2B"/>
                <w:sz w:val="19"/>
              </w:rPr>
              <w:t>Will GitHub's identity token actually satisfy the trust policy I write?</w:t>
            </w:r>
          </w:p>
        </w:tc>
        <w:tc>
          <w:tcPr>
            <w:tcW w:type="dxa" w:w="2160"/>
            <w:shd w:val="clear" w:color="auto" w:fill="F2F6F7"/>
          </w:tcPr>
          <w:p>
            <w:pPr>
              <w:spacing w:before="40" w:after="40"/>
            </w:pPr>
            <w:r/>
            <w:r>
              <w:rPr>
                <w:rFonts w:ascii="Calibri" w:hAnsi="Calibri"/>
                <w:b/>
                <w:i w:val="0"/>
                <w:color w:val="1A1F2B"/>
                <w:sz w:val="19"/>
              </w:rPr>
              <w:t>No, not on the first attempt</w:t>
            </w:r>
            <w:r>
              <w:rPr>
                <w:rFonts w:ascii="Calibri" w:hAnsi="Calibri"/>
                <w:b w:val="0"/>
                <w:i w:val="0"/>
                <w:color w:val="1A1F2B"/>
                <w:sz w:val="19"/>
              </w:rPr>
              <w:t xml:space="preserve"> - the milestone's real content, §6</w:t>
            </w:r>
          </w:p>
        </w:tc>
      </w:tr>
      <w:tr>
        <w:tc>
          <w:tcPr>
            <w:tcW w:type="dxa" w:w="720"/>
          </w:tcPr>
          <w:p>
            <w:pPr>
              <w:spacing w:before="40" w:after="40"/>
            </w:pPr>
            <w:r/>
            <w:r>
              <w:rPr>
                <w:rFonts w:ascii="Calibri" w:hAnsi="Calibri"/>
                <w:b w:val="0"/>
                <w:i w:val="0"/>
                <w:color w:val="1A1F2B"/>
                <w:sz w:val="19"/>
              </w:rPr>
              <w:t>5-6</w:t>
            </w:r>
          </w:p>
        </w:tc>
        <w:tc>
          <w:tcPr>
            <w:tcW w:type="dxa" w:w="2880"/>
          </w:tcPr>
          <w:p>
            <w:pPr>
              <w:spacing w:before="40" w:after="40"/>
            </w:pPr>
            <w:r/>
            <w:r>
              <w:rPr>
                <w:rFonts w:ascii="Calibri" w:hAnsi="Calibri"/>
                <w:b w:val="0"/>
                <w:i w:val="0"/>
                <w:color w:val="1A1F2B"/>
                <w:sz w:val="19"/>
              </w:rPr>
              <w:t>Migrate state to S3, split identity from the CI-applied root</w:t>
            </w:r>
          </w:p>
        </w:tc>
        <w:tc>
          <w:tcPr>
            <w:tcW w:type="dxa" w:w="3744"/>
          </w:tcPr>
          <w:p>
            <w:pPr>
              <w:spacing w:before="40" w:after="40"/>
            </w:pPr>
            <w:r/>
            <w:r>
              <w:rPr>
                <w:rFonts w:ascii="Calibri" w:hAnsi="Calibri"/>
                <w:b w:val="0"/>
                <w:i w:val="0"/>
                <w:color w:val="1A1F2B"/>
                <w:sz w:val="19"/>
              </w:rPr>
              <w:t>Does the bootstrap ordering actually work, and does splitting IAM out of the applied root hold up under a real apply?</w:t>
            </w:r>
          </w:p>
        </w:tc>
        <w:tc>
          <w:tcPr>
            <w:tcW w:type="dxa" w:w="2160"/>
          </w:tcPr>
          <w:p>
            <w:pPr>
              <w:spacing w:before="40" w:after="40"/>
            </w:pPr>
            <w:r/>
            <w:r>
              <w:rPr>
                <w:rFonts w:ascii="Calibri" w:hAnsi="Calibri"/>
                <w:b/>
                <w:i w:val="0"/>
                <w:color w:val="1A1F2B"/>
                <w:sz w:val="19"/>
              </w:rPr>
              <w:t>Passed</w:t>
            </w:r>
            <w:r>
              <w:rPr>
                <w:rFonts w:ascii="Calibri" w:hAnsi="Calibri"/>
                <w:b w:val="0"/>
                <w:i w:val="0"/>
                <w:color w:val="1A1F2B"/>
                <w:sz w:val="19"/>
              </w:rPr>
              <w:t>, after one more permission gap - §6</w:t>
            </w:r>
          </w:p>
        </w:tc>
      </w:tr>
      <w:tr>
        <w:tc>
          <w:tcPr>
            <w:tcW w:type="dxa" w:w="720"/>
            <w:shd w:val="clear" w:color="auto" w:fill="F2F6F7"/>
          </w:tcPr>
          <w:p>
            <w:pPr>
              <w:spacing w:before="40" w:after="40"/>
            </w:pPr>
            <w:r/>
            <w:r>
              <w:rPr>
                <w:rFonts w:ascii="Calibri" w:hAnsi="Calibri"/>
                <w:b w:val="0"/>
                <w:i w:val="0"/>
                <w:color w:val="1A1F2B"/>
                <w:sz w:val="19"/>
              </w:rPr>
              <w:t>7-11</w:t>
            </w:r>
          </w:p>
        </w:tc>
        <w:tc>
          <w:tcPr>
            <w:tcW w:type="dxa" w:w="2880"/>
            <w:shd w:val="clear" w:color="auto" w:fill="F2F6F7"/>
          </w:tcPr>
          <w:p>
            <w:pPr>
              <w:spacing w:before="40" w:after="40"/>
            </w:pPr>
            <w:r/>
            <w:r>
              <w:rPr>
                <w:rFonts w:ascii="Calibri" w:hAnsi="Calibri"/>
                <w:b w:val="0"/>
                <w:i w:val="0"/>
                <w:color w:val="1A1F2B"/>
                <w:sz w:val="19"/>
              </w:rPr>
              <w:t>Hash-pin deps, build both workflows, open a PR, merge, verify</w:t>
            </w:r>
          </w:p>
        </w:tc>
        <w:tc>
          <w:tcPr>
            <w:tcW w:type="dxa" w:w="3744"/>
            <w:shd w:val="clear" w:color="auto" w:fill="F2F6F7"/>
          </w:tcPr>
          <w:p>
            <w:pPr>
              <w:spacing w:before="40" w:after="40"/>
            </w:pPr>
            <w:r/>
            <w:r>
              <w:rPr>
                <w:rFonts w:ascii="Calibri" w:hAnsi="Calibri"/>
                <w:b w:val="0"/>
                <w:i w:val="0"/>
                <w:color w:val="1A1F2B"/>
                <w:sz w:val="19"/>
              </w:rPr>
              <w:t>Does the whole chain - build, scan, push, sign, attest - work end to end against real infrastructure?</w:t>
            </w:r>
          </w:p>
        </w:tc>
        <w:tc>
          <w:tcPr>
            <w:tcW w:type="dxa" w:w="2160"/>
            <w:shd w:val="clear" w:color="auto" w:fill="F2F6F7"/>
          </w:tcPr>
          <w:p>
            <w:pPr>
              <w:spacing w:before="40" w:after="40"/>
            </w:pPr>
            <w:r/>
            <w:r>
              <w:rPr>
                <w:rFonts w:ascii="Calibri" w:hAnsi="Calibri"/>
                <w:b/>
                <w:i w:val="0"/>
                <w:color w:val="1A1F2B"/>
                <w:sz w:val="19"/>
              </w:rPr>
              <w:t>Passed</w:t>
            </w:r>
            <w:r>
              <w:rPr>
                <w:rFonts w:ascii="Calibri" w:hAnsi="Calibri"/>
                <w:b w:val="0"/>
                <w:i w:val="0"/>
                <w:color w:val="1A1F2B"/>
                <w:sz w:val="19"/>
              </w:rPr>
              <w:t xml:space="preserve"> - see §4.2 and §6</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THE PRINCIPLE CARRIED OVER FROM M0 AND M1</w:t>
            </w:r>
          </w:p>
          <w:p>
            <w:pPr>
              <w:spacing w:before="0" w:after="80"/>
            </w:pPr>
            <w:r>
              <w:rPr>
                <w:rFonts w:ascii="Calibri" w:hAnsi="Calibri"/>
                <w:b/>
                <w:i w:val="0"/>
                <w:color w:val="1A1F2B"/>
                <w:sz w:val="20"/>
              </w:rPr>
              <w:t>Sequence work by risk, cheapest test of the biggest unknown first.</w:t>
            </w:r>
            <w:r>
              <w:rPr>
                <w:rFonts w:ascii="Calibri" w:hAnsi="Calibri"/>
                <w:b w:val="0"/>
                <w:i w:val="0"/>
                <w:color w:val="1A1F2B"/>
                <w:sz w:val="20"/>
              </w:rPr>
              <w:t xml:space="preserve"> The OIDC trust policy was proven on a throwaway probe before a single S3 bucket depended on it. That is exactly why the first real failure (§6.1) cost a </w:t>
            </w:r>
            <w:r>
              <w:rPr>
                <w:rFonts w:ascii="Consolas" w:hAnsi="Consolas"/>
                <w:b w:val="0"/>
                <w:i w:val="0"/>
                <w:color w:val="1F4E57"/>
                <w:sz w:val="18"/>
              </w:rPr>
              <w:t>terraform apply</w:t>
            </w:r>
            <w:r>
              <w:rPr>
                <w:rFonts w:ascii="Calibri" w:hAnsi="Calibri"/>
                <w:b w:val="0"/>
                <w:i w:val="0"/>
                <w:color w:val="1A1F2B"/>
                <w:sz w:val="20"/>
              </w:rPr>
              <w:t xml:space="preserve"> and a few minutes, not a half-built pipeline with a silently broken trust boundary underneath it.</w:t>
            </w:r>
          </w:p>
        </w:tc>
      </w:tr>
    </w:tbl>
    <w:p>
      <w:pPr>
        <w:spacing w:after="40"/>
      </w:pPr>
    </w:p>
    <w:p>
      <w:r>
        <w:br w:type="page"/>
      </w:r>
    </w:p>
    <w:p>
      <w:pPr>
        <w:pStyle w:val="Heading1"/>
        <w:pBdr>
          <w:bottom w:val="single" w:sz="8" w:space="6" w:color="0F626B"/>
        </w:pBdr>
      </w:pPr>
      <w:r>
        <w:t>2. What Was True Going Into M2</w:t>
      </w:r>
    </w:p>
    <w:p>
      <w:pPr>
        <w:spacing w:after="140"/>
      </w:pPr>
      <w:r>
        <w:rPr>
          <w:rFonts w:ascii="Calibri" w:hAnsi="Calibri"/>
          <w:b w:val="0"/>
          <w:i w:val="0"/>
          <w:color w:val="1A1F2B"/>
          <w:sz w:val="21"/>
        </w:rPr>
        <w:t>M1 left a working gateway and a stale set of assumptions about the environment - two of them turned out to be wrong the moment they were actually tested.</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872"/>
            <w:shd w:val="clear" w:color="auto" w:fill="0F626B"/>
          </w:tcPr>
          <w:p>
            <w:pPr>
              <w:spacing w:before="40" w:after="40"/>
            </w:pPr>
            <w:r/>
            <w:r>
              <w:rPr>
                <w:rFonts w:ascii="Calibri" w:hAnsi="Calibri"/>
                <w:b/>
                <w:color w:val="FFFFFF"/>
                <w:sz w:val="18"/>
              </w:rPr>
              <w:t>What was checked</w:t>
            </w:r>
          </w:p>
        </w:tc>
        <w:tc>
          <w:tcPr>
            <w:tcW w:type="dxa" w:w="3744"/>
            <w:shd w:val="clear" w:color="auto" w:fill="0F626B"/>
          </w:tcPr>
          <w:p>
            <w:pPr>
              <w:spacing w:before="40" w:after="40"/>
            </w:pPr>
            <w:r/>
            <w:r>
              <w:rPr>
                <w:rFonts w:ascii="Calibri" w:hAnsi="Calibri"/>
                <w:b/>
                <w:color w:val="FFFFFF"/>
                <w:sz w:val="18"/>
              </w:rPr>
              <w:t>What was found</w:t>
            </w:r>
          </w:p>
        </w:tc>
        <w:tc>
          <w:tcPr>
            <w:tcW w:type="dxa" w:w="3816"/>
            <w:shd w:val="clear" w:color="auto" w:fill="0F626B"/>
          </w:tcPr>
          <w:p>
            <w:pPr>
              <w:spacing w:before="40" w:after="40"/>
            </w:pPr>
            <w:r/>
            <w:r>
              <w:rPr>
                <w:rFonts w:ascii="Calibri" w:hAnsi="Calibri"/>
                <w:b/>
                <w:color w:val="FFFFFF"/>
                <w:sz w:val="18"/>
              </w:rPr>
              <w:t>Why it mattered</w:t>
            </w:r>
          </w:p>
        </w:tc>
      </w:tr>
      <w:tr>
        <w:tc>
          <w:tcPr>
            <w:tcW w:type="dxa" w:w="1872"/>
          </w:tcPr>
          <w:p>
            <w:pPr>
              <w:spacing w:before="40" w:after="40"/>
            </w:pPr>
            <w:r/>
            <w:r>
              <w:rPr>
                <w:rFonts w:ascii="Calibri" w:hAnsi="Calibri"/>
                <w:b w:val="0"/>
                <w:i w:val="0"/>
                <w:color w:val="1A1F2B"/>
                <w:sz w:val="19"/>
              </w:rPr>
              <w:t>AWS credentials</w:t>
            </w:r>
          </w:p>
        </w:tc>
        <w:tc>
          <w:tcPr>
            <w:tcW w:type="dxa" w:w="3744"/>
          </w:tcPr>
          <w:p>
            <w:pPr>
              <w:spacing w:before="40" w:after="40"/>
            </w:pPr>
            <w:r/>
            <w:r>
              <w:rPr>
                <w:rFonts w:ascii="Calibri" w:hAnsi="Calibri"/>
                <w:b w:val="0"/>
                <w:i w:val="0"/>
                <w:color w:val="1A1F2B"/>
                <w:sz w:val="19"/>
              </w:rPr>
              <w:t xml:space="preserve">The default CLI profile's static keys were </w:t>
            </w:r>
            <w:r>
              <w:rPr>
                <w:rFonts w:ascii="Calibri" w:hAnsi="Calibri"/>
                <w:b/>
                <w:i w:val="0"/>
                <w:color w:val="1A1F2B"/>
                <w:sz w:val="19"/>
              </w:rPr>
              <w:t>dead</w:t>
            </w:r>
            <w:r>
              <w:rPr>
                <w:rFonts w:ascii="Calibri" w:hAnsi="Calibri"/>
                <w:b w:val="0"/>
                <w:i w:val="0"/>
                <w:color w:val="1A1F2B"/>
                <w:sz w:val="19"/>
              </w:rPr>
              <w:t xml:space="preserve"> (</w:t>
            </w:r>
            <w:r>
              <w:rPr>
                <w:rFonts w:ascii="Consolas" w:hAnsi="Consolas"/>
                <w:b w:val="0"/>
                <w:i w:val="0"/>
                <w:color w:val="1F4E57"/>
                <w:sz w:val="17"/>
              </w:rPr>
              <w:t>InvalidClientTokenId</w:t>
            </w:r>
            <w:r>
              <w:rPr>
                <w:rFonts w:ascii="Calibri" w:hAnsi="Calibri"/>
                <w:b w:val="0"/>
                <w:i w:val="0"/>
                <w:color w:val="1A1F2B"/>
                <w:sz w:val="19"/>
              </w:rPr>
              <w:t>), and a pre-existing SSO profile turned out to belong to a login nobody could recall - not this project</w:t>
            </w:r>
          </w:p>
        </w:tc>
        <w:tc>
          <w:tcPr>
            <w:tcW w:type="dxa" w:w="3816"/>
          </w:tcPr>
          <w:p>
            <w:pPr>
              <w:spacing w:before="40" w:after="40"/>
            </w:pPr>
            <w:r/>
            <w:r>
              <w:rPr>
                <w:rFonts w:ascii="Calibri" w:hAnsi="Calibri"/>
                <w:b w:val="0"/>
                <w:i w:val="0"/>
                <w:color w:val="1A1F2B"/>
                <w:sz w:val="19"/>
              </w:rPr>
              <w:t>Nothing in M2 can start without working AWS access. Removed the stale profile rather than chase credentials for an account no longer reachable, and built a fresh identity instead - §5.1.</w:t>
            </w:r>
          </w:p>
        </w:tc>
      </w:tr>
      <w:tr>
        <w:tc>
          <w:tcPr>
            <w:tcW w:type="dxa" w:w="1872"/>
            <w:shd w:val="clear" w:color="auto" w:fill="F2F6F7"/>
          </w:tcPr>
          <w:p>
            <w:pPr>
              <w:spacing w:before="40" w:after="40"/>
            </w:pPr>
            <w:r/>
            <w:r>
              <w:rPr>
                <w:rFonts w:ascii="Consolas" w:hAnsi="Consolas"/>
                <w:b w:val="0"/>
                <w:i w:val="0"/>
                <w:color w:val="1F4E57"/>
                <w:sz w:val="17"/>
              </w:rPr>
              <w:t>gh auth</w:t>
            </w:r>
            <w:r>
              <w:rPr>
                <w:rFonts w:ascii="Calibri" w:hAnsi="Calibri"/>
                <w:b w:val="0"/>
                <w:i w:val="0"/>
                <w:color w:val="1A1F2B"/>
                <w:sz w:val="19"/>
              </w:rPr>
              <w:t xml:space="preserve"> / push permission</w:t>
            </w:r>
          </w:p>
        </w:tc>
        <w:tc>
          <w:tcPr>
            <w:tcW w:type="dxa" w:w="3744"/>
            <w:shd w:val="clear" w:color="auto" w:fill="F2F6F7"/>
          </w:tcPr>
          <w:p>
            <w:pPr>
              <w:spacing w:before="40" w:after="40"/>
            </w:pPr>
            <w:r/>
            <w:r>
              <w:rPr>
                <w:rFonts w:ascii="Calibri" w:hAnsi="Calibri"/>
                <w:b w:val="0"/>
                <w:i w:val="0"/>
                <w:color w:val="1A1F2B"/>
                <w:sz w:val="19"/>
              </w:rPr>
              <w:t>CLAUDE.md's Status table named a specific missing OAuth scope as the blocker before workflow YAML could be pushed</w:t>
            </w:r>
          </w:p>
        </w:tc>
        <w:tc>
          <w:tcPr>
            <w:tcW w:type="dxa" w:w="3816"/>
            <w:shd w:val="clear" w:color="auto" w:fill="F2F6F7"/>
          </w:tcPr>
          <w:p>
            <w:pPr>
              <w:spacing w:before="40" w:after="40"/>
            </w:pPr>
            <w:r/>
            <w:r>
              <w:rPr>
                <w:rFonts w:ascii="Calibri" w:hAnsi="Calibri"/>
                <w:b w:val="0"/>
                <w:i w:val="0"/>
                <w:color w:val="1A1F2B"/>
                <w:sz w:val="19"/>
              </w:rPr>
              <w:t xml:space="preserve">Turned out not to apply at all: </w:t>
            </w:r>
            <w:r>
              <w:rPr>
                <w:rFonts w:ascii="Consolas" w:hAnsi="Consolas"/>
                <w:b w:val="0"/>
                <w:i w:val="0"/>
                <w:color w:val="1F4E57"/>
                <w:sz w:val="17"/>
              </w:rPr>
              <w:t>gh</w:t>
            </w:r>
            <w:r>
              <w:rPr>
                <w:rFonts w:ascii="Calibri" w:hAnsi="Calibri"/>
                <w:b w:val="0"/>
                <w:i w:val="0"/>
                <w:color w:val="1A1F2B"/>
                <w:sz w:val="19"/>
              </w:rPr>
              <w:t xml:space="preserve"> isn't installed in this environment, and the actual push credential already had everything it needed. A stale assumption, caught by testing it instead of trusting the note - §5.2, §8.</w:t>
            </w:r>
          </w:p>
        </w:tc>
      </w:tr>
      <w:tr>
        <w:tc>
          <w:tcPr>
            <w:tcW w:type="dxa" w:w="1872"/>
          </w:tcPr>
          <w:p>
            <w:pPr>
              <w:spacing w:before="40" w:after="40"/>
            </w:pPr>
            <w:r/>
            <w:r>
              <w:rPr>
                <w:rFonts w:ascii="Calibri" w:hAnsi="Calibri"/>
                <w:b w:val="0"/>
                <w:i w:val="0"/>
                <w:color w:val="1A1F2B"/>
                <w:sz w:val="19"/>
              </w:rPr>
              <w:t>Terraform scaffolding</w:t>
            </w:r>
          </w:p>
        </w:tc>
        <w:tc>
          <w:tcPr>
            <w:tcW w:type="dxa" w:w="3744"/>
          </w:tcPr>
          <w:p>
            <w:pPr>
              <w:spacing w:before="40" w:after="40"/>
            </w:pPr>
            <w:r/>
            <w:r>
              <w:rPr>
                <w:rFonts w:ascii="Consolas" w:hAnsi="Consolas"/>
                <w:b w:val="0"/>
                <w:i w:val="0"/>
                <w:color w:val="1F4E57"/>
                <w:sz w:val="17"/>
              </w:rPr>
              <w:t>.github/workflows/</w:t>
            </w:r>
            <w:r>
              <w:rPr>
                <w:rFonts w:ascii="Calibri" w:hAnsi="Calibri"/>
                <w:b w:val="0"/>
                <w:i w:val="0"/>
                <w:color w:val="1A1F2B"/>
                <w:sz w:val="19"/>
              </w:rPr>
              <w:t xml:space="preserve">, </w:t>
            </w:r>
            <w:r>
              <w:rPr>
                <w:rFonts w:ascii="Consolas" w:hAnsi="Consolas"/>
                <w:b w:val="0"/>
                <w:i w:val="0"/>
                <w:color w:val="1F4E57"/>
                <w:sz w:val="17"/>
              </w:rPr>
              <w:t>infra/terraform/aws/</w:t>
            </w:r>
            <w:r>
              <w:rPr>
                <w:rFonts w:ascii="Calibri" w:hAnsi="Calibri"/>
                <w:b w:val="0"/>
                <w:i w:val="0"/>
                <w:color w:val="1A1F2B"/>
                <w:sz w:val="19"/>
              </w:rPr>
              <w:t xml:space="preserve">, and pinned tool versions in </w:t>
            </w:r>
            <w:r>
              <w:rPr>
                <w:rFonts w:ascii="Consolas" w:hAnsi="Consolas"/>
                <w:b w:val="0"/>
                <w:i w:val="0"/>
                <w:color w:val="1F4E57"/>
                <w:sz w:val="17"/>
              </w:rPr>
              <w:t>scripts/install-tools.sh</w:t>
            </w:r>
            <w:r>
              <w:rPr>
                <w:rFonts w:ascii="Calibri" w:hAnsi="Calibri"/>
                <w:b w:val="0"/>
                <w:i w:val="0"/>
                <w:color w:val="1A1F2B"/>
                <w:sz w:val="19"/>
              </w:rPr>
              <w:t xml:space="preserve"> all already existed, empty or stale</w:t>
            </w:r>
          </w:p>
        </w:tc>
        <w:tc>
          <w:tcPr>
            <w:tcW w:type="dxa" w:w="3816"/>
          </w:tcPr>
          <w:p>
            <w:pPr>
              <w:spacing w:before="40" w:after="40"/>
            </w:pPr>
            <w:r/>
            <w:r>
              <w:rPr>
                <w:rFonts w:ascii="Calibri" w:hAnsi="Calibri"/>
                <w:b w:val="0"/>
                <w:i w:val="0"/>
                <w:color w:val="1A1F2B"/>
                <w:sz w:val="19"/>
              </w:rPr>
              <w:t>M2 built on top of this rather than recreating it - except the Terraform version pin, which was a release behind and got verified against the upstream release API before reuse.</w:t>
            </w:r>
          </w:p>
        </w:tc>
      </w:tr>
      <w:tr>
        <w:tc>
          <w:tcPr>
            <w:tcW w:type="dxa" w:w="1872"/>
            <w:shd w:val="clear" w:color="auto" w:fill="F2F6F7"/>
          </w:tcPr>
          <w:p>
            <w:pPr>
              <w:spacing w:before="40" w:after="40"/>
            </w:pPr>
            <w:r/>
            <w:r>
              <w:rPr>
                <w:rFonts w:ascii="Calibri" w:hAnsi="Calibri"/>
                <w:b w:val="0"/>
                <w:i w:val="0"/>
                <w:color w:val="1A1F2B"/>
                <w:sz w:val="19"/>
              </w:rPr>
              <w:t>Registry and signing decisions</w:t>
            </w:r>
          </w:p>
        </w:tc>
        <w:tc>
          <w:tcPr>
            <w:tcW w:type="dxa" w:w="3744"/>
            <w:shd w:val="clear" w:color="auto" w:fill="F2F6F7"/>
          </w:tcPr>
          <w:p>
            <w:pPr>
              <w:spacing w:before="40" w:after="40"/>
            </w:pPr>
            <w:r/>
            <w:r>
              <w:rPr>
                <w:rFonts w:ascii="Calibri" w:hAnsi="Calibri"/>
                <w:b w:val="0"/>
                <w:i w:val="0"/>
                <w:color w:val="1A1F2B"/>
                <w:sz w:val="19"/>
              </w:rPr>
              <w:t xml:space="preserve">Nothing yet chosen - </w:t>
            </w:r>
            <w:r>
              <w:rPr>
                <w:rFonts w:ascii="Consolas" w:hAnsi="Consolas"/>
                <w:b w:val="0"/>
                <w:i w:val="0"/>
                <w:color w:val="1F4E57"/>
                <w:sz w:val="17"/>
              </w:rPr>
              <w:t>docker-compose.yml</w:t>
            </w:r>
            <w:r>
              <w:rPr>
                <w:rFonts w:ascii="Calibri" w:hAnsi="Calibri"/>
                <w:b w:val="0"/>
                <w:i w:val="0"/>
                <w:color w:val="1A1F2B"/>
                <w:sz w:val="19"/>
              </w:rPr>
              <w:t>'s only external image reference was an unpinned Docker Hub tag used solely for local dev</w:t>
            </w:r>
          </w:p>
        </w:tc>
        <w:tc>
          <w:tcPr>
            <w:tcW w:type="dxa" w:w="3816"/>
            <w:shd w:val="clear" w:color="auto" w:fill="F2F6F7"/>
          </w:tcPr>
          <w:p>
            <w:pPr>
              <w:spacing w:before="40" w:after="40"/>
            </w:pPr>
            <w:r/>
            <w:r>
              <w:rPr>
                <w:rFonts w:ascii="Calibri" w:hAnsi="Calibri"/>
                <w:b w:val="0"/>
                <w:i w:val="0"/>
                <w:color w:val="1A1F2B"/>
                <w:sz w:val="19"/>
              </w:rPr>
              <w:t>Registry (ghcr.io) and signing approach (cosign keyless) were open decisions this milestone had to make and record - ADRs 0007 and 0008.</w:t>
            </w:r>
          </w:p>
        </w:tc>
      </w:tr>
    </w:tbl>
    <w:p>
      <w:pPr>
        <w:spacing w:after="60"/>
      </w:pPr>
    </w:p>
    <w:p>
      <w:r>
        <w:br w:type="page"/>
      </w:r>
    </w:p>
    <w:p>
      <w:pPr>
        <w:pStyle w:val="Heading1"/>
        <w:pBdr>
          <w:bottom w:val="single" w:sz="8" w:space="6" w:color="0F626B"/>
        </w:pBdr>
      </w:pPr>
      <w:r>
        <w:t>3. Decisions Taken Before Writing Any Code</w:t>
      </w:r>
    </w:p>
    <w:p>
      <w:pPr>
        <w:pStyle w:val="Heading2"/>
      </w:pPr>
      <w:r>
        <w:t>3.1  Identity split: a hand-applied bootstrap root, a CI-applied app root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Keep the keys to the kingdom - the identity that lets GitHub touch AWS at all - somewhere the automated pipeline itself can never modify. Let the pipeline manage only the one small piece of infrastructure it actually needs.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infra/terraform/aws/bootstrap/</w:t>
            </w:r>
            <w:r>
              <w:rPr>
                <w:rFonts w:ascii="Calibri" w:hAnsi="Calibri"/>
                <w:b w:val="0"/>
                <w:i w:val="0"/>
                <w:color w:val="1A1F2B"/>
                <w:sz w:val="20"/>
              </w:rPr>
              <w:t xml:space="preserve"> creates the OIDC provider and both IAM roles, applied only by hand from a developer machine. </w:t>
            </w:r>
            <w:r>
              <w:rPr>
                <w:rFonts w:ascii="Consolas" w:hAnsi="Consolas"/>
                <w:b w:val="0"/>
                <w:i w:val="0"/>
                <w:color w:val="1F4E57"/>
                <w:sz w:val="18"/>
              </w:rPr>
              <w:t>infra/terraform/aws/app/</w:t>
            </w:r>
            <w:r>
              <w:rPr>
                <w:rFonts w:ascii="Calibri" w:hAnsi="Calibri"/>
                <w:b w:val="0"/>
                <w:i w:val="0"/>
                <w:color w:val="1A1F2B"/>
                <w:sz w:val="20"/>
              </w:rPr>
              <w:t xml:space="preserve"> holds only the model-artifact S3 bucket and is the only root </w:t>
            </w:r>
            <w:r>
              <w:rPr>
                <w:rFonts w:ascii="Consolas" w:hAnsi="Consolas"/>
                <w:b w:val="0"/>
                <w:i w:val="0"/>
                <w:color w:val="1F4E57"/>
                <w:sz w:val="18"/>
              </w:rPr>
              <w:t>terraform.yml</w:t>
            </w:r>
            <w:r>
              <w:rPr>
                <w:rFonts w:ascii="Calibri" w:hAnsi="Calibri"/>
                <w:b w:val="0"/>
                <w:i w:val="0"/>
                <w:color w:val="1A1F2B"/>
                <w:sz w:val="20"/>
              </w:rPr>
              <w:t xml:space="preserve"> ever plans or applies. Confirmed by reading </w:t>
            </w:r>
            <w:r>
              <w:rPr>
                <w:rFonts w:ascii="Consolas" w:hAnsi="Consolas"/>
                <w:b w:val="0"/>
                <w:i w:val="0"/>
                <w:color w:val="1F4E57"/>
                <w:sz w:val="18"/>
              </w:rPr>
              <w:t>app/</w:t>
            </w:r>
            <w:r>
              <w:rPr>
                <w:rFonts w:ascii="Calibri" w:hAnsi="Calibri"/>
                <w:b w:val="0"/>
                <w:i w:val="0"/>
                <w:color w:val="1A1F2B"/>
                <w:sz w:val="20"/>
              </w:rPr>
              <w:t xml:space="preserve">'s own </w:t>
            </w:r>
            <w:r>
              <w:rPr>
                <w:rFonts w:ascii="Consolas" w:hAnsi="Consolas"/>
                <w:b w:val="0"/>
                <w:i w:val="0"/>
                <w:color w:val="1F4E57"/>
                <w:sz w:val="18"/>
              </w:rPr>
              <w:t>terraform plan</w:t>
            </w:r>
            <w:r>
              <w:rPr>
                <w:rFonts w:ascii="Calibri" w:hAnsi="Calibri"/>
                <w:b w:val="0"/>
                <w:i w:val="0"/>
                <w:color w:val="1A1F2B"/>
                <w:sz w:val="20"/>
              </w:rPr>
              <w:t xml:space="preserve"> output: it contains zero </w:t>
            </w:r>
            <w:r>
              <w:rPr>
                <w:rFonts w:ascii="Consolas" w:hAnsi="Consolas"/>
                <w:b w:val="0"/>
                <w:i w:val="0"/>
                <w:color w:val="1F4E57"/>
                <w:sz w:val="18"/>
              </w:rPr>
              <w:t>aws_iam_*</w:t>
            </w:r>
            <w:r>
              <w:rPr>
                <w:rFonts w:ascii="Calibri" w:hAnsi="Calibri"/>
                <w:b w:val="0"/>
                <w:i w:val="0"/>
                <w:color w:val="1A1F2B"/>
                <w:sz w:val="20"/>
              </w:rPr>
              <w:t xml:space="preserve"> resources, every time it runs.</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WHY THIS MATTERS MORE THAN IT MIGHT LOOK LIKE IT DOES</w:t>
            </w:r>
          </w:p>
          <w:p>
            <w:pPr>
              <w:spacing w:before="0" w:after="80"/>
            </w:pPr>
            <w:r>
              <w:rPr>
                <w:rFonts w:ascii="Calibri" w:hAnsi="Calibri"/>
                <w:b w:val="0"/>
                <w:i w:val="0"/>
                <w:color w:val="1A1F2B"/>
                <w:sz w:val="20"/>
              </w:rPr>
              <w:t>A CI role that could also edit IAM could grant itself more IAM - a real, quiet self-escalation path. Splitting the roots isn't defence in depth for its own sake; it's the difference between "the pipeline can create a bucket" and "the pipeline could, in principle, make itself an administrator."</w:t>
            </w:r>
          </w:p>
        </w:tc>
      </w:tr>
    </w:tbl>
    <w:p>
      <w:pPr>
        <w:spacing w:after="40"/>
      </w:pPr>
    </w:p>
    <w:p>
      <w:pPr>
        <w:pStyle w:val="Heading2"/>
      </w:pPr>
      <w:r>
        <w:t>3.2  Two IAM roles, not one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Give a pull request less power than a merge. A role that can be assumed from an unreviewed PR and can also change real infrastructure defeats the entire point of gating </w:t>
            </w:r>
            <w:r>
              <w:rPr>
                <w:rFonts w:ascii="Consolas" w:hAnsi="Consolas"/>
                <w:b w:val="0"/>
                <w:i w:val="0"/>
                <w:color w:val="1F4E57"/>
                <w:sz w:val="18"/>
              </w:rPr>
              <w:t>apply</w:t>
            </w:r>
            <w:r>
              <w:rPr>
                <w:rFonts w:ascii="Calibri" w:hAnsi="Calibri"/>
                <w:b w:val="0"/>
                <w:i w:val="0"/>
                <w:color w:val="1A1F2B"/>
                <w:sz w:val="20"/>
              </w:rPr>
              <w:t xml:space="preserve"> on merge.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palisade-ci-plan</w:t>
            </w:r>
            <w:r>
              <w:rPr>
                <w:rFonts w:ascii="Calibri" w:hAnsi="Calibri"/>
                <w:b w:val="0"/>
                <w:i w:val="0"/>
                <w:color w:val="1A1F2B"/>
                <w:sz w:val="20"/>
              </w:rPr>
              <w:t xml:space="preserve"> is trusted only from GitHub's </w:t>
            </w:r>
            <w:r>
              <w:rPr>
                <w:rFonts w:ascii="Consolas" w:hAnsi="Consolas"/>
                <w:b w:val="0"/>
                <w:i w:val="0"/>
                <w:color w:val="1F4E57"/>
                <w:sz w:val="18"/>
              </w:rPr>
              <w:t>pull_request</w:t>
            </w:r>
            <w:r>
              <w:rPr>
                <w:rFonts w:ascii="Calibri" w:hAnsi="Calibri"/>
                <w:b w:val="0"/>
                <w:i w:val="0"/>
                <w:color w:val="1A1F2B"/>
                <w:sz w:val="20"/>
              </w:rPr>
              <w:t xml:space="preserve"> OIDC subject; </w:t>
            </w:r>
            <w:r>
              <w:rPr>
                <w:rFonts w:ascii="Consolas" w:hAnsi="Consolas"/>
                <w:b w:val="0"/>
                <w:i w:val="0"/>
                <w:color w:val="1F4E57"/>
                <w:sz w:val="18"/>
              </w:rPr>
              <w:t>palisade-ci-apply</w:t>
            </w:r>
            <w:r>
              <w:rPr>
                <w:rFonts w:ascii="Calibri" w:hAnsi="Calibri"/>
                <w:b w:val="0"/>
                <w:i w:val="0"/>
                <w:color w:val="1A1F2B"/>
                <w:sz w:val="20"/>
              </w:rPr>
              <w:t xml:space="preserve"> only from a push to </w:t>
            </w:r>
            <w:r>
              <w:rPr>
                <w:rFonts w:ascii="Consolas" w:hAnsi="Consolas"/>
                <w:b w:val="0"/>
                <w:i w:val="0"/>
                <w:color w:val="1F4E57"/>
                <w:sz w:val="18"/>
              </w:rPr>
              <w:t>refs/heads/main</w:t>
            </w:r>
            <w:r>
              <w:rPr>
                <w:rFonts w:ascii="Calibri" w:hAnsi="Calibri"/>
                <w:b w:val="0"/>
                <w:i w:val="0"/>
                <w:color w:val="1A1F2B"/>
                <w:sz w:val="20"/>
              </w:rPr>
              <w:t xml:space="preserve">. </w:t>
            </w:r>
            <w:r>
              <w:rPr>
                <w:rFonts w:ascii="Consolas" w:hAnsi="Consolas"/>
                <w:b w:val="0"/>
                <w:i w:val="0"/>
                <w:color w:val="1F4E57"/>
                <w:sz w:val="18"/>
              </w:rPr>
              <w:t>terraform.yml</w:t>
            </w:r>
            <w:r>
              <w:rPr>
                <w:rFonts w:ascii="Calibri" w:hAnsi="Calibri"/>
                <w:b w:val="0"/>
                <w:i w:val="0"/>
                <w:color w:val="1A1F2B"/>
                <w:sz w:val="20"/>
              </w:rPr>
              <w:t xml:space="preserve">'s </w:t>
            </w:r>
            <w:r>
              <w:rPr>
                <w:rFonts w:ascii="Consolas" w:hAnsi="Consolas"/>
                <w:b w:val="0"/>
                <w:i w:val="0"/>
                <w:color w:val="1F4E57"/>
                <w:sz w:val="18"/>
              </w:rPr>
              <w:t>plan</w:t>
            </w:r>
            <w:r>
              <w:rPr>
                <w:rFonts w:ascii="Calibri" w:hAnsi="Calibri"/>
                <w:b w:val="0"/>
                <w:i w:val="0"/>
                <w:color w:val="1A1F2B"/>
                <w:sz w:val="20"/>
              </w:rPr>
              <w:t xml:space="preserve"> job assumes the former, </w:t>
            </w:r>
            <w:r>
              <w:rPr>
                <w:rFonts w:ascii="Consolas" w:hAnsi="Consolas"/>
                <w:b w:val="0"/>
                <w:i w:val="0"/>
                <w:color w:val="1F4E57"/>
                <w:sz w:val="18"/>
              </w:rPr>
              <w:t>apply</w:t>
            </w:r>
            <w:r>
              <w:rPr>
                <w:rFonts w:ascii="Calibri" w:hAnsi="Calibri"/>
                <w:b w:val="0"/>
                <w:i w:val="0"/>
                <w:color w:val="1A1F2B"/>
                <w:sz w:val="20"/>
              </w:rPr>
              <w:t xml:space="preserve"> the latter - two separate jobs, two separate trust conditions, checked by </w:t>
            </w:r>
            <w:r>
              <w:rPr>
                <w:rFonts w:ascii="Consolas" w:hAnsi="Consolas"/>
                <w:b w:val="0"/>
                <w:i w:val="0"/>
                <w:color w:val="1F4E57"/>
                <w:sz w:val="18"/>
              </w:rPr>
              <w:t>StringEquals</w:t>
            </w:r>
            <w:r>
              <w:rPr>
                <w:rFonts w:ascii="Calibri" w:hAnsi="Calibri"/>
                <w:b w:val="0"/>
                <w:i w:val="0"/>
                <w:color w:val="1A1F2B"/>
                <w:sz w:val="20"/>
              </w:rPr>
              <w:t xml:space="preserve"> against the exact subject GitHub issues.</w:t>
            </w:r>
          </w:p>
        </w:tc>
      </w:tr>
    </w:tbl>
    <w:p>
      <w:pPr>
        <w:spacing w:after="80"/>
      </w:pPr>
    </w:p>
    <w:p>
      <w:pPr>
        <w:pStyle w:val="Heading2"/>
      </w:pPr>
      <w:r>
        <w:t>3.3  State bootstrap: local state first, migrated into the bucket it creates</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Terraform's own tracking file needs somewhere durable to live, but the bucket meant to hold it doesn't exist until Terraform creates it. Solve the chicken-and-egg the standard way: start with a plain local file, then move it in once the bucket is real.</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bootstrap/</w:t>
            </w:r>
            <w:r>
              <w:rPr>
                <w:rFonts w:ascii="Calibri" w:hAnsi="Calibri"/>
                <w:b w:val="0"/>
                <w:i w:val="0"/>
                <w:color w:val="1A1F2B"/>
                <w:sz w:val="20"/>
              </w:rPr>
              <w:t xml:space="preserve"> applies first with no </w:t>
            </w:r>
            <w:r>
              <w:rPr>
                <w:rFonts w:ascii="Consolas" w:hAnsi="Consolas"/>
                <w:b w:val="0"/>
                <w:i w:val="0"/>
                <w:color w:val="1F4E57"/>
                <w:sz w:val="18"/>
              </w:rPr>
              <w:t>backend</w:t>
            </w:r>
            <w:r>
              <w:rPr>
                <w:rFonts w:ascii="Calibri" w:hAnsi="Calibri"/>
                <w:b w:val="0"/>
                <w:i w:val="0"/>
                <w:color w:val="1A1F2B"/>
                <w:sz w:val="20"/>
              </w:rPr>
              <w:t xml:space="preserve"> block (implicit local state), creating its own S3 bucket among its first resources. Once that bucket exists, a </w:t>
            </w:r>
            <w:r>
              <w:rPr>
                <w:rFonts w:ascii="Consolas" w:hAnsi="Consolas"/>
                <w:b w:val="0"/>
                <w:i w:val="0"/>
                <w:color w:val="1F4E57"/>
                <w:sz w:val="18"/>
              </w:rPr>
              <w:t>backend "s3" {}</w:t>
            </w:r>
            <w:r>
              <w:rPr>
                <w:rFonts w:ascii="Calibri" w:hAnsi="Calibri"/>
                <w:b w:val="0"/>
                <w:i w:val="0"/>
                <w:color w:val="1A1F2B"/>
                <w:sz w:val="20"/>
              </w:rPr>
              <w:t xml:space="preserve"> block is added and </w:t>
            </w:r>
            <w:r>
              <w:rPr>
                <w:rFonts w:ascii="Consolas" w:hAnsi="Consolas"/>
                <w:b w:val="0"/>
                <w:i w:val="0"/>
                <w:color w:val="1F4E57"/>
                <w:sz w:val="18"/>
              </w:rPr>
              <w:t>terraform init -migrate-state</w:t>
            </w:r>
            <w:r>
              <w:rPr>
                <w:rFonts w:ascii="Calibri" w:hAnsi="Calibri"/>
                <w:b w:val="0"/>
                <w:i w:val="0"/>
                <w:color w:val="1A1F2B"/>
                <w:sz w:val="20"/>
              </w:rPr>
              <w:t xml:space="preserve"> moves the state in - verified with </w:t>
            </w:r>
            <w:r>
              <w:rPr>
                <w:rFonts w:ascii="Consolas" w:hAnsi="Consolas"/>
                <w:b w:val="0"/>
                <w:i w:val="0"/>
                <w:color w:val="1F4E57"/>
                <w:sz w:val="18"/>
              </w:rPr>
              <w:t>terraform state list</w:t>
            </w:r>
            <w:r>
              <w:rPr>
                <w:rFonts w:ascii="Calibri" w:hAnsi="Calibri"/>
                <w:b w:val="0"/>
                <w:i w:val="0"/>
                <w:color w:val="1A1F2B"/>
                <w:sz w:val="20"/>
              </w:rPr>
              <w:t xml:space="preserve"> against the new backend and a driftless follow-up plan. See ADR 0009.</w:t>
            </w:r>
          </w:p>
        </w:tc>
      </w:tr>
    </w:tbl>
    <w:p>
      <w:pPr>
        <w:spacing w:after="80"/>
      </w:pPr>
    </w:p>
    <w:p>
      <w:pPr>
        <w:pStyle w:val="Heading2"/>
      </w:pPr>
      <w:r>
        <w:t>3.4  The billing guard is a script, not a Terraform resource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rule is "a billing alarm before any Terraform is written." A budget created by the same apply as the infrastructure it's meant to backstop can't, by definition, predate that infrastructure.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scripts/setup-billing-budget.sh</w:t>
            </w:r>
            <w:r>
              <w:rPr>
                <w:rFonts w:ascii="Calibri" w:hAnsi="Calibri"/>
                <w:b w:val="0"/>
                <w:i w:val="0"/>
                <w:color w:val="1A1F2B"/>
                <w:sz w:val="20"/>
              </w:rPr>
              <w:t xml:space="preserve"> - a plain, idempotent AWS CLI script - creates an AWS Budget ($5/month, email alerts) via </w:t>
            </w:r>
            <w:r>
              <w:rPr>
                <w:rFonts w:ascii="Consolas" w:hAnsi="Consolas"/>
                <w:b w:val="0"/>
                <w:i w:val="0"/>
                <w:color w:val="1F4E57"/>
                <w:sz w:val="18"/>
              </w:rPr>
              <w:t>aws budgets create-budget</w:t>
            </w:r>
            <w:r>
              <w:rPr>
                <w:rFonts w:ascii="Calibri" w:hAnsi="Calibri"/>
                <w:b w:val="0"/>
                <w:i w:val="0"/>
                <w:color w:val="1A1F2B"/>
                <w:sz w:val="20"/>
              </w:rPr>
              <w:t xml:space="preserve">, run and verified before a single </w:t>
            </w:r>
            <w:r>
              <w:rPr>
                <w:rFonts w:ascii="Consolas" w:hAnsi="Consolas"/>
                <w:b w:val="0"/>
                <w:i w:val="0"/>
                <w:color w:val="1F4E57"/>
                <w:sz w:val="18"/>
              </w:rPr>
              <w:t>.tf</w:t>
            </w:r>
            <w:r>
              <w:rPr>
                <w:rFonts w:ascii="Calibri" w:hAnsi="Calibri"/>
                <w:b w:val="0"/>
                <w:i w:val="0"/>
                <w:color w:val="1A1F2B"/>
                <w:sz w:val="20"/>
              </w:rPr>
              <w:t xml:space="preserve"> file existed. AWS Budgets over a classic CloudWatch billing alarm specifically because Budgets doesn't need the root-only "Receive Billing Alerts" account preference a classic alarm does.</w:t>
            </w:r>
          </w:p>
        </w:tc>
      </w:tr>
    </w:tbl>
    <w:p>
      <w:pPr>
        <w:spacing w:after="80"/>
      </w:pPr>
    </w:p>
    <w:p>
      <w:pPr>
        <w:pStyle w:val="Heading2"/>
      </w:pPr>
      <w:r>
        <w:t>3.5  Registry and signing: ghcr.io, cosign keyless</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Pick the registry that needs no separate password, and the signing method that needs no key at all - both in direct service of the milestone's own goal: no long-lived credential, anywhere.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ghcr.io authenticates from the workflow's own </w:t>
            </w:r>
            <w:r>
              <w:rPr>
                <w:rFonts w:ascii="Consolas" w:hAnsi="Consolas"/>
                <w:b w:val="0"/>
                <w:i w:val="0"/>
                <w:color w:val="1F4E57"/>
                <w:sz w:val="18"/>
              </w:rPr>
              <w:t>GITHUB_TOKEN</w:t>
            </w:r>
            <w:r>
              <w:rPr>
                <w:rFonts w:ascii="Calibri" w:hAnsi="Calibri"/>
                <w:b w:val="0"/>
                <w:i w:val="0"/>
                <w:color w:val="1A1F2B"/>
                <w:sz w:val="20"/>
              </w:rPr>
              <w:t xml:space="preserve"> (ADR 0007); cosign signs keylessly through the same workflow's OIDC token against Sigstore's Fulcio/Rekor, so there is no private key to generate, store as a secret, or rotate (ADR 0008).</w:t>
            </w:r>
          </w:p>
        </w:tc>
      </w:tr>
    </w:tbl>
    <w:p>
      <w:pPr>
        <w:spacing w:after="80"/>
      </w:pPr>
    </w:p>
    <w:p>
      <w:r>
        <w:br w:type="page"/>
      </w:r>
    </w:p>
    <w:p>
      <w:pPr>
        <w:pStyle w:val="Heading1"/>
        <w:pBdr>
          <w:bottom w:val="single" w:sz="8" w:space="6" w:color="0F626B"/>
        </w:pBdr>
      </w:pPr>
      <w:r>
        <w:t>4. What Was Built</w:t>
      </w:r>
    </w:p>
    <w:p>
      <w:pPr>
        <w:pStyle w:val="Heading2"/>
      </w:pPr>
      <w:r>
        <w:t>4.1  New files and directories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Path</w:t>
            </w:r>
          </w:p>
        </w:tc>
        <w:tc>
          <w:tcPr>
            <w:tcW w:type="dxa" w:w="6480"/>
            <w:shd w:val="clear" w:color="auto" w:fill="0F626B"/>
          </w:tcPr>
          <w:p>
            <w:pPr>
              <w:spacing w:before="40" w:after="40"/>
            </w:pPr>
            <w:r/>
            <w:r>
              <w:rPr>
                <w:rFonts w:ascii="Calibri" w:hAnsi="Calibri"/>
                <w:b/>
                <w:color w:val="FFFFFF"/>
                <w:sz w:val="18"/>
              </w:rPr>
              <w:t>Purpose</w:t>
            </w:r>
          </w:p>
        </w:tc>
      </w:tr>
      <w:tr>
        <w:tc>
          <w:tcPr>
            <w:tcW w:type="dxa" w:w="3024"/>
          </w:tcPr>
          <w:p>
            <w:pPr>
              <w:spacing w:before="40" w:after="40"/>
            </w:pPr>
            <w:r/>
            <w:r>
              <w:rPr>
                <w:rFonts w:ascii="Consolas" w:hAnsi="Consolas"/>
                <w:b w:val="0"/>
                <w:i w:val="0"/>
                <w:color w:val="1F4E57"/>
                <w:sz w:val="17"/>
              </w:rPr>
              <w:t>scripts/setup-billing-budget.sh</w:t>
            </w:r>
          </w:p>
        </w:tc>
        <w:tc>
          <w:tcPr>
            <w:tcW w:type="dxa" w:w="6480"/>
          </w:tcPr>
          <w:p>
            <w:pPr>
              <w:spacing w:before="40" w:after="40"/>
            </w:pPr>
            <w:r/>
            <w:r>
              <w:rPr>
                <w:rFonts w:ascii="Calibri" w:hAnsi="Calibri"/>
                <w:b w:val="0"/>
                <w:i w:val="0"/>
                <w:color w:val="1A1F2B"/>
                <w:sz w:val="19"/>
              </w:rPr>
              <w:t>One-time, idempotent AWS Budgets setup - $5/month, email alerts. Run before any Terraform, per the milestone's own ordering rule.</w:t>
            </w:r>
          </w:p>
        </w:tc>
      </w:tr>
      <w:tr>
        <w:tc>
          <w:tcPr>
            <w:tcW w:type="dxa" w:w="3024"/>
            <w:shd w:val="clear" w:color="auto" w:fill="F2F6F7"/>
          </w:tcPr>
          <w:p>
            <w:pPr>
              <w:spacing w:before="40" w:after="40"/>
            </w:pPr>
            <w:r/>
            <w:r>
              <w:rPr>
                <w:rFonts w:ascii="Consolas" w:hAnsi="Consolas"/>
                <w:b w:val="0"/>
                <w:i w:val="0"/>
                <w:color w:val="1F4E57"/>
                <w:sz w:val="17"/>
              </w:rPr>
              <w:t>infra/terraform/aws/bootstrap/</w:t>
            </w:r>
          </w:p>
        </w:tc>
        <w:tc>
          <w:tcPr>
            <w:tcW w:type="dxa" w:w="6480"/>
            <w:shd w:val="clear" w:color="auto" w:fill="F2F6F7"/>
          </w:tcPr>
          <w:p>
            <w:pPr>
              <w:spacing w:before="40" w:after="40"/>
            </w:pPr>
            <w:r/>
            <w:r>
              <w:rPr>
                <w:rFonts w:ascii="Calibri" w:hAnsi="Calibri"/>
                <w:b w:val="0"/>
                <w:i w:val="0"/>
                <w:color w:val="1A1F2B"/>
                <w:sz w:val="19"/>
              </w:rPr>
              <w:t>GitHub OIDC provider, two IAM roles (</w:t>
            </w:r>
            <w:r>
              <w:rPr>
                <w:rFonts w:ascii="Consolas" w:hAnsi="Consolas"/>
                <w:b w:val="0"/>
                <w:i w:val="0"/>
                <w:color w:val="1F4E57"/>
                <w:sz w:val="17"/>
              </w:rPr>
              <w:t>palisade-ci-plan</w:t>
            </w:r>
            <w:r>
              <w:rPr>
                <w:rFonts w:ascii="Calibri" w:hAnsi="Calibri"/>
                <w:b w:val="0"/>
                <w:i w:val="0"/>
                <w:color w:val="1A1F2B"/>
                <w:sz w:val="19"/>
              </w:rPr>
              <w:t xml:space="preserve">, </w:t>
            </w:r>
            <w:r>
              <w:rPr>
                <w:rFonts w:ascii="Consolas" w:hAnsi="Consolas"/>
                <w:b w:val="0"/>
                <w:i w:val="0"/>
                <w:color w:val="1F4E57"/>
                <w:sz w:val="17"/>
              </w:rPr>
              <w:t>palisade-ci-apply</w:t>
            </w:r>
            <w:r>
              <w:rPr>
                <w:rFonts w:ascii="Calibri" w:hAnsi="Calibri"/>
                <w:b w:val="0"/>
                <w:i w:val="0"/>
                <w:color w:val="1A1F2B"/>
                <w:sz w:val="19"/>
              </w:rPr>
              <w:t>), and the Terraform state bucket. Applied by hand only - never by CI.</w:t>
            </w:r>
          </w:p>
        </w:tc>
      </w:tr>
      <w:tr>
        <w:tc>
          <w:tcPr>
            <w:tcW w:type="dxa" w:w="3024"/>
          </w:tcPr>
          <w:p>
            <w:pPr>
              <w:spacing w:before="40" w:after="40"/>
            </w:pPr>
            <w:r/>
            <w:r>
              <w:rPr>
                <w:rFonts w:ascii="Consolas" w:hAnsi="Consolas"/>
                <w:b w:val="0"/>
                <w:i w:val="0"/>
                <w:color w:val="1F4E57"/>
                <w:sz w:val="17"/>
              </w:rPr>
              <w:t>infra/terraform/aws/app/</w:t>
            </w:r>
          </w:p>
        </w:tc>
        <w:tc>
          <w:tcPr>
            <w:tcW w:type="dxa" w:w="6480"/>
          </w:tcPr>
          <w:p>
            <w:pPr>
              <w:spacing w:before="40" w:after="40"/>
            </w:pPr>
            <w:r/>
            <w:r>
              <w:rPr>
                <w:rFonts w:ascii="Calibri" w:hAnsi="Calibri"/>
                <w:b w:val="0"/>
                <w:i w:val="0"/>
                <w:color w:val="1A1F2B"/>
                <w:sz w:val="19"/>
              </w:rPr>
              <w:t>The one thing CI is trusted to manage: the model-artifact S3 bucket (versioned, encrypted, public access blocked).</w:t>
            </w:r>
          </w:p>
        </w:tc>
      </w:tr>
      <w:tr>
        <w:tc>
          <w:tcPr>
            <w:tcW w:type="dxa" w:w="3024"/>
            <w:shd w:val="clear" w:color="auto" w:fill="F2F6F7"/>
          </w:tcPr>
          <w:p>
            <w:pPr>
              <w:spacing w:before="40" w:after="40"/>
            </w:pPr>
            <w:r/>
            <w:r>
              <w:rPr>
                <w:rFonts w:ascii="Consolas" w:hAnsi="Consolas"/>
                <w:b w:val="0"/>
                <w:i w:val="0"/>
                <w:color w:val="1F4E57"/>
                <w:sz w:val="17"/>
              </w:rPr>
              <w:t>services/gateway/requirements*.in</w:t>
            </w:r>
          </w:p>
        </w:tc>
        <w:tc>
          <w:tcPr>
            <w:tcW w:type="dxa" w:w="6480"/>
            <w:shd w:val="clear" w:color="auto" w:fill="F2F6F7"/>
          </w:tcPr>
          <w:p>
            <w:pPr>
              <w:spacing w:before="40" w:after="40"/>
            </w:pPr>
            <w:r/>
            <w:r>
              <w:rPr>
                <w:rFonts w:ascii="Calibri" w:hAnsi="Calibri"/>
                <w:b w:val="0"/>
                <w:i w:val="0"/>
                <w:color w:val="1A1F2B"/>
                <w:sz w:val="19"/>
              </w:rPr>
              <w:t xml:space="preserve">Hash-pinning sources for </w:t>
            </w:r>
            <w:r>
              <w:rPr>
                <w:rFonts w:ascii="Consolas" w:hAnsi="Consolas"/>
                <w:b w:val="0"/>
                <w:i w:val="0"/>
                <w:color w:val="1F4E57"/>
                <w:sz w:val="17"/>
              </w:rPr>
              <w:t>pip-compile --generate-hashes</w:t>
            </w:r>
            <w:r>
              <w:rPr>
                <w:rFonts w:ascii="Calibri" w:hAnsi="Calibri"/>
                <w:b w:val="0"/>
                <w:i w:val="0"/>
                <w:color w:val="1A1F2B"/>
                <w:sz w:val="19"/>
              </w:rPr>
              <w:t xml:space="preserve"> - both the runtime and dev requirement sets, since hash checking is all-or-nothing across the resolved set.</w:t>
            </w:r>
          </w:p>
        </w:tc>
      </w:tr>
      <w:tr>
        <w:tc>
          <w:tcPr>
            <w:tcW w:type="dxa" w:w="3024"/>
          </w:tcPr>
          <w:p>
            <w:pPr>
              <w:spacing w:before="40" w:after="40"/>
            </w:pPr>
            <w:r/>
            <w:r>
              <w:rPr>
                <w:rFonts w:ascii="Consolas" w:hAnsi="Consolas"/>
                <w:b w:val="0"/>
                <w:i w:val="0"/>
                <w:color w:val="1F4E57"/>
                <w:sz w:val="17"/>
              </w:rPr>
              <w:t>services/gateway/.trivyignore</w:t>
            </w:r>
          </w:p>
        </w:tc>
        <w:tc>
          <w:tcPr>
            <w:tcW w:type="dxa" w:w="6480"/>
          </w:tcPr>
          <w:p>
            <w:pPr>
              <w:spacing w:before="40" w:after="40"/>
            </w:pPr>
            <w:r/>
            <w:r>
              <w:rPr>
                <w:rFonts w:ascii="Calibri" w:hAnsi="Calibri"/>
                <w:b w:val="0"/>
                <w:i w:val="0"/>
                <w:color w:val="1A1F2B"/>
                <w:sz w:val="19"/>
              </w:rPr>
              <w:t>Eight reviewed, justified accepted-risk CVE entries - base-OS packages with no upstream fix yet, none in a code path the gateway ever exercises.</w:t>
            </w:r>
          </w:p>
        </w:tc>
      </w:tr>
      <w:tr>
        <w:tc>
          <w:tcPr>
            <w:tcW w:type="dxa" w:w="3024"/>
            <w:shd w:val="clear" w:color="auto" w:fill="F2F6F7"/>
          </w:tcPr>
          <w:p>
            <w:pPr>
              <w:spacing w:before="40" w:after="40"/>
            </w:pPr>
            <w:r/>
            <w:r>
              <w:rPr>
                <w:rFonts w:ascii="Consolas" w:hAnsi="Consolas"/>
                <w:b w:val="0"/>
                <w:i w:val="0"/>
                <w:color w:val="1F4E57"/>
                <w:sz w:val="17"/>
              </w:rPr>
              <w:t>.github/workflows/ci.yml</w:t>
            </w:r>
          </w:p>
        </w:tc>
        <w:tc>
          <w:tcPr>
            <w:tcW w:type="dxa" w:w="6480"/>
            <w:shd w:val="clear" w:color="auto" w:fill="F2F6F7"/>
          </w:tcPr>
          <w:p>
            <w:pPr>
              <w:spacing w:before="40" w:after="40"/>
            </w:pPr>
            <w:r/>
            <w:r>
              <w:rPr>
                <w:rFonts w:ascii="Calibri" w:hAnsi="Calibri"/>
                <w:b w:val="0"/>
                <w:i w:val="0"/>
                <w:color w:val="1A1F2B"/>
                <w:sz w:val="19"/>
              </w:rPr>
              <w:t>lint -&gt; test -&gt; build -&gt; Trivy gate (HIGH/CRITICAL) -&gt; push (main only) -&gt; Syft SBOM -&gt; cosign sign + attest.</w:t>
            </w:r>
          </w:p>
        </w:tc>
      </w:tr>
      <w:tr>
        <w:tc>
          <w:tcPr>
            <w:tcW w:type="dxa" w:w="3024"/>
          </w:tcPr>
          <w:p>
            <w:pPr>
              <w:spacing w:before="40" w:after="40"/>
            </w:pPr>
            <w:r/>
            <w:r>
              <w:rPr>
                <w:rFonts w:ascii="Consolas" w:hAnsi="Consolas"/>
                <w:b w:val="0"/>
                <w:i w:val="0"/>
                <w:color w:val="1F4E57"/>
                <w:sz w:val="17"/>
              </w:rPr>
              <w:t>.github/workflows/terraform.yml</w:t>
            </w:r>
          </w:p>
        </w:tc>
        <w:tc>
          <w:tcPr>
            <w:tcW w:type="dxa" w:w="6480"/>
          </w:tcPr>
          <w:p>
            <w:pPr>
              <w:spacing w:before="40" w:after="40"/>
            </w:pPr>
            <w:r/>
            <w:r>
              <w:rPr>
                <w:rFonts w:ascii="Consolas" w:hAnsi="Consolas"/>
                <w:b w:val="0"/>
                <w:i w:val="0"/>
                <w:color w:val="1F4E57"/>
                <w:sz w:val="17"/>
              </w:rPr>
              <w:t>plan</w:t>
            </w:r>
            <w:r>
              <w:rPr>
                <w:rFonts w:ascii="Calibri" w:hAnsi="Calibri"/>
                <w:b w:val="0"/>
                <w:i w:val="0"/>
                <w:color w:val="1A1F2B"/>
                <w:sz w:val="19"/>
              </w:rPr>
              <w:t xml:space="preserve"> on a PR (posts the plan as a PR comment), </w:t>
            </w:r>
            <w:r>
              <w:rPr>
                <w:rFonts w:ascii="Consolas" w:hAnsi="Consolas"/>
                <w:b w:val="0"/>
                <w:i w:val="0"/>
                <w:color w:val="1F4E57"/>
                <w:sz w:val="17"/>
              </w:rPr>
              <w:t>apply</w:t>
            </w:r>
            <w:r>
              <w:rPr>
                <w:rFonts w:ascii="Calibri" w:hAnsi="Calibri"/>
                <w:b w:val="0"/>
                <w:i w:val="0"/>
                <w:color w:val="1A1F2B"/>
                <w:sz w:val="19"/>
              </w:rPr>
              <w:t xml:space="preserve"> only on push to </w:t>
            </w:r>
            <w:r>
              <w:rPr>
                <w:rFonts w:ascii="Consolas" w:hAnsi="Consolas"/>
                <w:b w:val="0"/>
                <w:i w:val="0"/>
                <w:color w:val="1F4E57"/>
                <w:sz w:val="17"/>
              </w:rPr>
              <w:t>main</w:t>
            </w:r>
            <w:r>
              <w:rPr>
                <w:rFonts w:ascii="Calibri" w:hAnsi="Calibri"/>
                <w:b w:val="0"/>
                <w:i w:val="0"/>
                <w:color w:val="1A1F2B"/>
                <w:sz w:val="19"/>
              </w:rPr>
              <w:t xml:space="preserve"> - two jobs, two roles, per §3.2.</w:t>
            </w:r>
          </w:p>
        </w:tc>
      </w:tr>
      <w:tr>
        <w:tc>
          <w:tcPr>
            <w:tcW w:type="dxa" w:w="3024"/>
            <w:shd w:val="clear" w:color="auto" w:fill="F2F6F7"/>
          </w:tcPr>
          <w:p>
            <w:pPr>
              <w:spacing w:before="40" w:after="40"/>
            </w:pPr>
            <w:r/>
            <w:r>
              <w:rPr>
                <w:rFonts w:ascii="Consolas" w:hAnsi="Consolas"/>
                <w:b w:val="0"/>
                <w:i w:val="0"/>
                <w:color w:val="1F4E57"/>
                <w:sz w:val="17"/>
              </w:rPr>
              <w:t>docs/adr/0007</w:t>
            </w:r>
            <w:r>
              <w:rPr>
                <w:rFonts w:ascii="Calibri" w:hAnsi="Calibri"/>
                <w:b w:val="0"/>
                <w:i w:val="0"/>
                <w:color w:val="1A1F2B"/>
                <w:sz w:val="19"/>
              </w:rPr>
              <w:t>-</w:t>
            </w:r>
            <w:r>
              <w:rPr>
                <w:rFonts w:ascii="Consolas" w:hAnsi="Consolas"/>
                <w:b w:val="0"/>
                <w:i w:val="0"/>
                <w:color w:val="1F4E57"/>
                <w:sz w:val="17"/>
              </w:rPr>
              <w:t>0010</w:t>
            </w:r>
          </w:p>
        </w:tc>
        <w:tc>
          <w:tcPr>
            <w:tcW w:type="dxa" w:w="6480"/>
            <w:shd w:val="clear" w:color="auto" w:fill="F2F6F7"/>
          </w:tcPr>
          <w:p>
            <w:pPr>
              <w:spacing w:before="40" w:after="40"/>
            </w:pPr>
            <w:r/>
            <w:r>
              <w:rPr>
                <w:rFonts w:ascii="Calibri" w:hAnsi="Calibri"/>
                <w:b w:val="0"/>
                <w:i w:val="0"/>
                <w:color w:val="1A1F2B"/>
                <w:sz w:val="19"/>
              </w:rPr>
              <w:t>Registry choice; keyless signing; the state-bootstrap and identity-split design; the Trivy severity gate policy.</w:t>
            </w:r>
          </w:p>
        </w:tc>
      </w:tr>
      <w:tr>
        <w:tc>
          <w:tcPr>
            <w:tcW w:type="dxa" w:w="3024"/>
          </w:tcPr>
          <w:p>
            <w:pPr>
              <w:spacing w:before="40" w:after="40"/>
            </w:pPr>
            <w:r/>
            <w:r>
              <w:rPr>
                <w:rFonts w:ascii="Consolas" w:hAnsi="Consolas"/>
                <w:b w:val="0"/>
                <w:i w:val="0"/>
                <w:color w:val="1F4E57"/>
                <w:sz w:val="17"/>
              </w:rPr>
              <w:t>docs/CONVENTIONS.md</w:t>
            </w:r>
            <w:r>
              <w:rPr>
                <w:rFonts w:ascii="Calibri" w:hAnsi="Calibri"/>
                <w:b w:val="0"/>
                <w:i w:val="0"/>
                <w:color w:val="1A1F2B"/>
                <w:sz w:val="19"/>
              </w:rPr>
              <w:t>, Makefile</w:t>
            </w:r>
          </w:p>
        </w:tc>
        <w:tc>
          <w:tcPr>
            <w:tcW w:type="dxa" w:w="6480"/>
          </w:tcPr>
          <w:p>
            <w:pPr>
              <w:spacing w:before="40" w:after="40"/>
            </w:pPr>
            <w:r/>
            <w:r>
              <w:rPr>
                <w:rFonts w:ascii="Calibri" w:hAnsi="Calibri"/>
                <w:b w:val="0"/>
                <w:i w:val="0"/>
                <w:color w:val="1A1F2B"/>
                <w:sz w:val="19"/>
              </w:rPr>
              <w:t xml:space="preserve">A new "Supply chain" section recording every real finding from §6. </w:t>
            </w:r>
            <w:r>
              <w:rPr>
                <w:rFonts w:ascii="Consolas" w:hAnsi="Consolas"/>
                <w:b w:val="0"/>
                <w:i w:val="0"/>
                <w:color w:val="1F4E57"/>
                <w:sz w:val="17"/>
              </w:rPr>
              <w:t>lint</w:t>
            </w:r>
            <w:r>
              <w:rPr>
                <w:rFonts w:ascii="Calibri" w:hAnsi="Calibri"/>
                <w:b w:val="0"/>
                <w:i w:val="0"/>
                <w:color w:val="1A1F2B"/>
                <w:sz w:val="19"/>
              </w:rPr>
              <w:t xml:space="preserve"> no longer swallows its own exit code; </w:t>
            </w:r>
            <w:r>
              <w:rPr>
                <w:rFonts w:ascii="Consolas" w:hAnsi="Consolas"/>
                <w:b w:val="0"/>
                <w:i w:val="0"/>
                <w:color w:val="1F4E57"/>
                <w:sz w:val="17"/>
              </w:rPr>
              <w:t>make test</w:t>
            </w:r>
            <w:r>
              <w:rPr>
                <w:rFonts w:ascii="Calibri" w:hAnsi="Calibri"/>
                <w:b w:val="0"/>
                <w:i w:val="0"/>
                <w:color w:val="1A1F2B"/>
                <w:sz w:val="19"/>
              </w:rPr>
              <w:t xml:space="preserve"> installs with </w:t>
            </w:r>
            <w:r>
              <w:rPr>
                <w:rFonts w:ascii="Consolas" w:hAnsi="Consolas"/>
                <w:b w:val="0"/>
                <w:i w:val="0"/>
                <w:color w:val="1F4E57"/>
                <w:sz w:val="17"/>
              </w:rPr>
              <w:t>--require-hashes</w:t>
            </w:r>
            <w:r>
              <w:rPr>
                <w:rFonts w:ascii="Calibri" w:hAnsi="Calibri"/>
                <w:b w:val="0"/>
                <w:i w:val="0"/>
                <w:color w:val="1A1F2B"/>
                <w:sz w:val="19"/>
              </w:rPr>
              <w:t>.</w:t>
            </w:r>
          </w:p>
        </w:tc>
      </w:tr>
    </w:tbl>
    <w:p>
      <w:pPr>
        <w:spacing w:after="60"/>
      </w:pPr>
    </w:p>
    <w:p>
      <w:pPr>
        <w:pStyle w:val="Heading2"/>
      </w:pPr>
      <w:r>
        <w:t>4.2  What was proven, end to end</w:t>
      </w:r>
    </w:p>
    <w:p>
      <w:pPr>
        <w:spacing w:after="140"/>
      </w:pPr>
      <w:r>
        <w:rPr>
          <w:rFonts w:ascii="Calibri" w:hAnsi="Calibri"/>
          <w:b w:val="0"/>
          <w:i w:val="0"/>
          <w:color w:val="1A1F2B"/>
          <w:sz w:val="21"/>
        </w:rPr>
        <w:t xml:space="preserve">Every row below was checked by hand, live, against the real pipeline and real infrastructure - not inferred from a green </w:t>
      </w:r>
      <w:r>
        <w:rPr>
          <w:rFonts w:ascii="Consolas" w:hAnsi="Consolas"/>
          <w:b w:val="0"/>
          <w:i w:val="0"/>
          <w:color w:val="1F4E57"/>
          <w:sz w:val="19"/>
        </w:rPr>
        <w:t>terraform plan</w:t>
      </w:r>
      <w:r>
        <w:rPr>
          <w:rFonts w:ascii="Calibri" w:hAnsi="Calibri"/>
          <w:b w:val="0"/>
          <w:i w:val="0"/>
          <w:color w:val="1A1F2B"/>
          <w:sz w:val="21"/>
        </w:rPr>
        <w:t xml:space="preserve"> or a passing local test.</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176"/>
            <w:shd w:val="clear" w:color="auto" w:fill="0F626B"/>
          </w:tcPr>
          <w:p>
            <w:pPr>
              <w:spacing w:before="40" w:after="40"/>
            </w:pPr>
            <w:r/>
            <w:r>
              <w:rPr>
                <w:rFonts w:ascii="Calibri" w:hAnsi="Calibri"/>
                <w:b/>
                <w:color w:val="FFFFFF"/>
                <w:sz w:val="18"/>
              </w:rPr>
              <w:t>Check</w:t>
            </w:r>
          </w:p>
        </w:tc>
        <w:tc>
          <w:tcPr>
            <w:tcW w:type="dxa" w:w="5328"/>
            <w:shd w:val="clear" w:color="auto" w:fill="0F626B"/>
          </w:tcPr>
          <w:p>
            <w:pPr>
              <w:spacing w:before="40" w:after="40"/>
            </w:pPr>
            <w:r/>
            <w:r>
              <w:rPr>
                <w:rFonts w:ascii="Calibri" w:hAnsi="Calibri"/>
                <w:b/>
                <w:color w:val="FFFFFF"/>
                <w:sz w:val="18"/>
              </w:rPr>
              <w:t>Result</w:t>
            </w:r>
          </w:p>
        </w:tc>
      </w:tr>
      <w:tr>
        <w:tc>
          <w:tcPr>
            <w:tcW w:type="dxa" w:w="4176"/>
          </w:tcPr>
          <w:p>
            <w:pPr>
              <w:spacing w:before="40" w:after="40"/>
            </w:pPr>
            <w:r/>
            <w:r>
              <w:rPr>
                <w:rFonts w:ascii="Calibri" w:hAnsi="Calibri"/>
                <w:b w:val="0"/>
                <w:i w:val="0"/>
                <w:color w:val="1A1F2B"/>
                <w:sz w:val="19"/>
              </w:rPr>
              <w:t xml:space="preserve">The full pipeline runs on a real PR: lint, test, </w:t>
            </w:r>
            <w:r>
              <w:rPr>
                <w:rFonts w:ascii="Consolas" w:hAnsi="Consolas"/>
                <w:b w:val="0"/>
                <w:i w:val="0"/>
                <w:color w:val="1F4E57"/>
                <w:sz w:val="17"/>
              </w:rPr>
              <w:t>terraform plan</w:t>
            </w:r>
            <w:r>
              <w:rPr>
                <w:rFonts w:ascii="Calibri" w:hAnsi="Calibri"/>
                <w:b w:val="0"/>
                <w:i w:val="0"/>
                <w:color w:val="1A1F2B"/>
                <w:sz w:val="19"/>
              </w:rPr>
              <w:t>, build+scan</w:t>
            </w:r>
          </w:p>
        </w:tc>
        <w:tc>
          <w:tcPr>
            <w:tcW w:type="dxa" w:w="5328"/>
          </w:tcPr>
          <w:p>
            <w:pPr>
              <w:spacing w:before="40" w:after="40"/>
            </w:pPr>
            <w:r/>
            <w:r>
              <w:rPr>
                <w:rFonts w:ascii="Calibri" w:hAnsi="Calibri"/>
                <w:b/>
                <w:i w:val="0"/>
                <w:color w:val="1A1F2B"/>
                <w:sz w:val="19"/>
              </w:rPr>
              <w:t>PASS</w:t>
            </w:r>
            <w:r>
              <w:rPr>
                <w:rFonts w:ascii="Calibri" w:hAnsi="Calibri"/>
                <w:b w:val="0"/>
                <w:i w:val="0"/>
                <w:color w:val="1A1F2B"/>
                <w:sz w:val="19"/>
              </w:rPr>
              <w:t xml:space="preserve"> - all four checks green on the same pull request, after fixing every real gap §6 documents</w:t>
            </w:r>
          </w:p>
        </w:tc>
      </w:tr>
      <w:tr>
        <w:tc>
          <w:tcPr>
            <w:tcW w:type="dxa" w:w="4176"/>
            <w:shd w:val="clear" w:color="auto" w:fill="F2F6F7"/>
          </w:tcPr>
          <w:p>
            <w:pPr>
              <w:spacing w:before="40" w:after="40"/>
            </w:pPr>
            <w:r/>
            <w:r>
              <w:rPr>
                <w:rFonts w:ascii="Consolas" w:hAnsi="Consolas"/>
                <w:b w:val="0"/>
                <w:i w:val="0"/>
                <w:color w:val="1F4E57"/>
                <w:sz w:val="17"/>
              </w:rPr>
              <w:t>terraform apply</w:t>
            </w:r>
            <w:r>
              <w:rPr>
                <w:rFonts w:ascii="Calibri" w:hAnsi="Calibri"/>
                <w:b w:val="0"/>
                <w:i w:val="0"/>
                <w:color w:val="1A1F2B"/>
                <w:sz w:val="19"/>
              </w:rPr>
              <w:t xml:space="preserve"> creates real AWS infrastructure through the scoped </w:t>
            </w:r>
            <w:r>
              <w:rPr>
                <w:rFonts w:ascii="Consolas" w:hAnsi="Consolas"/>
                <w:b w:val="0"/>
                <w:i w:val="0"/>
                <w:color w:val="1F4E57"/>
                <w:sz w:val="17"/>
              </w:rPr>
              <w:t>ci_apply</w:t>
            </w:r>
            <w:r>
              <w:rPr>
                <w:rFonts w:ascii="Calibri" w:hAnsi="Calibri"/>
                <w:b w:val="0"/>
                <w:i w:val="0"/>
                <w:color w:val="1A1F2B"/>
                <w:sz w:val="19"/>
              </w:rPr>
              <w:t xml:space="preserve"> role</w:t>
            </w:r>
          </w:p>
        </w:tc>
        <w:tc>
          <w:tcPr>
            <w:tcW w:type="dxa" w:w="5328"/>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the model-artifact S3 bucket exists, created by a merge to </w:t>
            </w:r>
            <w:r>
              <w:rPr>
                <w:rFonts w:ascii="Consolas" w:hAnsi="Consolas"/>
                <w:b w:val="0"/>
                <w:i w:val="0"/>
                <w:color w:val="1F4E57"/>
                <w:sz w:val="17"/>
              </w:rPr>
              <w:t>main</w:t>
            </w:r>
            <w:r>
              <w:rPr>
                <w:rFonts w:ascii="Calibri" w:hAnsi="Calibri"/>
                <w:b w:val="0"/>
                <w:i w:val="0"/>
                <w:color w:val="1A1F2B"/>
                <w:sz w:val="19"/>
              </w:rPr>
              <w:t>, not by hand</w:t>
            </w:r>
          </w:p>
        </w:tc>
      </w:tr>
      <w:tr>
        <w:tc>
          <w:tcPr>
            <w:tcW w:type="dxa" w:w="4176"/>
          </w:tcPr>
          <w:p>
            <w:pPr>
              <w:spacing w:before="40" w:after="40"/>
            </w:pPr>
            <w:r/>
            <w:r>
              <w:rPr>
                <w:rFonts w:ascii="Calibri" w:hAnsi="Calibri"/>
                <w:b w:val="0"/>
                <w:i w:val="0"/>
                <w:color w:val="1A1F2B"/>
                <w:sz w:val="19"/>
              </w:rPr>
              <w:t>The gateway image is built, Trivy-gated, pushed, signed, and SBOM-attested on merge</w:t>
            </w:r>
          </w:p>
        </w:tc>
        <w:tc>
          <w:tcPr>
            <w:tcW w:type="dxa" w:w="5328"/>
          </w:tcPr>
          <w:p>
            <w:pPr>
              <w:spacing w:before="40" w:after="40"/>
            </w:pPr>
            <w:r/>
            <w:r>
              <w:rPr>
                <w:rFonts w:ascii="Calibri" w:hAnsi="Calibri"/>
                <w:b/>
                <w:i w:val="0"/>
                <w:color w:val="1A1F2B"/>
                <w:sz w:val="19"/>
              </w:rPr>
              <w:t>PASS</w:t>
            </w:r>
            <w:r>
              <w:rPr>
                <w:rFonts w:ascii="Calibri" w:hAnsi="Calibri"/>
                <w:b w:val="0"/>
                <w:i w:val="0"/>
                <w:color w:val="1A1F2B"/>
                <w:sz w:val="19"/>
              </w:rPr>
              <w:t xml:space="preserve"> - all four steps completed on the same push, verified via the run log</w:t>
            </w:r>
          </w:p>
        </w:tc>
      </w:tr>
      <w:tr>
        <w:tc>
          <w:tcPr>
            <w:tcW w:type="dxa" w:w="4176"/>
            <w:shd w:val="clear" w:color="auto" w:fill="F2F6F7"/>
          </w:tcPr>
          <w:p>
            <w:pPr>
              <w:spacing w:before="40" w:after="40"/>
            </w:pPr>
            <w:r/>
            <w:r>
              <w:rPr>
                <w:rFonts w:ascii="Calibri" w:hAnsi="Calibri"/>
                <w:b/>
                <w:i w:val="0"/>
                <w:color w:val="1A1F2B"/>
                <w:sz w:val="19"/>
              </w:rPr>
              <w:t>The acceptance test</w:t>
            </w:r>
            <w:r>
              <w:rPr>
                <w:rFonts w:ascii="Calibri" w:hAnsi="Calibri"/>
                <w:b w:val="0"/>
                <w:i w:val="0"/>
                <w:color w:val="1A1F2B"/>
                <w:sz w:val="19"/>
              </w:rPr>
              <w:t xml:space="preserve">: </w:t>
            </w:r>
            <w:r>
              <w:rPr>
                <w:rFonts w:ascii="Consolas" w:hAnsi="Consolas"/>
                <w:b w:val="0"/>
                <w:i w:val="0"/>
                <w:color w:val="1F4E57"/>
                <w:sz w:val="17"/>
              </w:rPr>
              <w:t>cosign verify</w:t>
            </w:r>
            <w:r>
              <w:rPr>
                <w:rFonts w:ascii="Calibri" w:hAnsi="Calibri"/>
                <w:b w:val="0"/>
                <w:i w:val="0"/>
                <w:color w:val="1A1F2B"/>
                <w:sz w:val="19"/>
              </w:rPr>
              <w:t xml:space="preserve"> succeeds from a logged-out terminal</w:t>
            </w:r>
          </w:p>
        </w:tc>
        <w:tc>
          <w:tcPr>
            <w:tcW w:type="dxa" w:w="5328"/>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certificate identity matches the exact workflow, ref and repo, with Docker not even installed on the verifying machine</w:t>
            </w:r>
          </w:p>
        </w:tc>
      </w:tr>
      <w:tr>
        <w:tc>
          <w:tcPr>
            <w:tcW w:type="dxa" w:w="4176"/>
          </w:tcPr>
          <w:p>
            <w:pPr>
              <w:spacing w:before="40" w:after="40"/>
            </w:pPr>
            <w:r/>
            <w:r>
              <w:rPr>
                <w:rFonts w:ascii="Calibri" w:hAnsi="Calibri"/>
                <w:b w:val="0"/>
                <w:i w:val="0"/>
                <w:color w:val="1A1F2B"/>
                <w:sz w:val="19"/>
              </w:rPr>
              <w:t>An SBOM is attached and independently verifiable against the same image digest</w:t>
            </w:r>
          </w:p>
        </w:tc>
        <w:tc>
          <w:tcPr>
            <w:tcW w:type="dxa" w:w="5328"/>
          </w:tcPr>
          <w:p>
            <w:pPr>
              <w:spacing w:before="40" w:after="40"/>
            </w:pPr>
            <w:r/>
            <w:r>
              <w:rPr>
                <w:rFonts w:ascii="Calibri" w:hAnsi="Calibri"/>
                <w:b/>
                <w:i w:val="0"/>
                <w:color w:val="1A1F2B"/>
                <w:sz w:val="19"/>
              </w:rPr>
              <w:t>PASS</w:t>
            </w:r>
            <w:r>
              <w:rPr>
                <w:rFonts w:ascii="Calibri" w:hAnsi="Calibri"/>
                <w:b w:val="0"/>
                <w:i w:val="0"/>
                <w:color w:val="1A1F2B"/>
                <w:sz w:val="19"/>
              </w:rPr>
              <w:t xml:space="preserve"> - </w:t>
            </w:r>
            <w:r>
              <w:rPr>
                <w:rFonts w:ascii="Consolas" w:hAnsi="Consolas"/>
                <w:b w:val="0"/>
                <w:i w:val="0"/>
                <w:color w:val="1F4E57"/>
                <w:sz w:val="17"/>
              </w:rPr>
              <w:t>cosign verify-attestation --type spdxjson</w:t>
            </w:r>
            <w:r>
              <w:rPr>
                <w:rFonts w:ascii="Calibri" w:hAnsi="Calibri"/>
                <w:b w:val="0"/>
                <w:i w:val="0"/>
                <w:color w:val="1A1F2B"/>
                <w:sz w:val="19"/>
              </w:rPr>
              <w:t xml:space="preserve"> returns a valid SPDX-2.3 document, 127 packages catalogued</w:t>
            </w:r>
          </w:p>
        </w:tc>
      </w:tr>
      <w:tr>
        <w:tc>
          <w:tcPr>
            <w:tcW w:type="dxa" w:w="4176"/>
            <w:shd w:val="clear" w:color="auto" w:fill="F2F6F7"/>
          </w:tcPr>
          <w:p>
            <w:pPr>
              <w:spacing w:before="40" w:after="40"/>
            </w:pPr>
            <w:r/>
            <w:r>
              <w:rPr>
                <w:rFonts w:ascii="Calibri" w:hAnsi="Calibri"/>
                <w:b w:val="0"/>
                <w:i w:val="0"/>
                <w:color w:val="1A1F2B"/>
                <w:sz w:val="19"/>
              </w:rPr>
              <w:t>The GitHub repository stores no AWS secret of any kind</w:t>
            </w:r>
          </w:p>
        </w:tc>
        <w:tc>
          <w:tcPr>
            <w:tcW w:type="dxa" w:w="5328"/>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w:t>
            </w:r>
            <w:r>
              <w:rPr>
                <w:rFonts w:ascii="Consolas" w:hAnsi="Consolas"/>
                <w:b w:val="0"/>
                <w:i w:val="0"/>
                <w:color w:val="1F4E57"/>
                <w:sz w:val="17"/>
              </w:rPr>
              <w:t>gh secret list</w:t>
            </w:r>
            <w:r>
              <w:rPr>
                <w:rFonts w:ascii="Calibri" w:hAnsi="Calibri"/>
                <w:b w:val="0"/>
                <w:i w:val="0"/>
                <w:color w:val="1A1F2B"/>
                <w:sz w:val="19"/>
              </w:rPr>
              <w:t xml:space="preserve"> returns empty; OIDC needed nothing to be stored, ever</w:t>
            </w:r>
          </w:p>
        </w:tc>
      </w:tr>
      <w:tr>
        <w:tc>
          <w:tcPr>
            <w:tcW w:type="dxa" w:w="4176"/>
          </w:tcPr>
          <w:p>
            <w:pPr>
              <w:spacing w:before="40" w:after="40"/>
            </w:pPr>
            <w:r/>
            <w:r>
              <w:rPr>
                <w:rFonts w:ascii="Calibri" w:hAnsi="Calibri"/>
                <w:b w:val="0"/>
                <w:i w:val="0"/>
                <w:color w:val="1A1F2B"/>
                <w:sz w:val="19"/>
              </w:rPr>
              <w:t>No secret of any kind anywhere in the repository's full history</w:t>
            </w:r>
          </w:p>
        </w:tc>
        <w:tc>
          <w:tcPr>
            <w:tcW w:type="dxa" w:w="5328"/>
          </w:tcPr>
          <w:p>
            <w:pPr>
              <w:spacing w:before="40" w:after="40"/>
            </w:pPr>
            <w:r/>
            <w:r>
              <w:rPr>
                <w:rFonts w:ascii="Calibri" w:hAnsi="Calibri"/>
                <w:b/>
                <w:i w:val="0"/>
                <w:color w:val="1A1F2B"/>
                <w:sz w:val="19"/>
              </w:rPr>
              <w:t>PASS</w:t>
            </w:r>
            <w:r>
              <w:rPr>
                <w:rFonts w:ascii="Calibri" w:hAnsi="Calibri"/>
                <w:b w:val="0"/>
                <w:i w:val="0"/>
                <w:color w:val="1A1F2B"/>
                <w:sz w:val="19"/>
              </w:rPr>
              <w:t xml:space="preserve"> - </w:t>
            </w:r>
            <w:r>
              <w:rPr>
                <w:rFonts w:ascii="Consolas" w:hAnsi="Consolas"/>
                <w:b w:val="0"/>
                <w:i w:val="0"/>
                <w:color w:val="1F4E57"/>
                <w:sz w:val="17"/>
              </w:rPr>
              <w:t>gitleaks detect</w:t>
            </w:r>
            <w:r>
              <w:rPr>
                <w:rFonts w:ascii="Calibri" w:hAnsi="Calibri"/>
                <w:b w:val="0"/>
                <w:i w:val="0"/>
                <w:color w:val="1A1F2B"/>
                <w:sz w:val="19"/>
              </w:rPr>
              <w:t xml:space="preserve"> across all commits and ~450 KB of history: no leaks found</w:t>
            </w:r>
          </w:p>
        </w:tc>
      </w:tr>
      <w:tr>
        <w:tc>
          <w:tcPr>
            <w:tcW w:type="dxa" w:w="4176"/>
            <w:shd w:val="clear" w:color="auto" w:fill="F2F6F7"/>
          </w:tcPr>
          <w:p>
            <w:pPr>
              <w:spacing w:before="40" w:after="40"/>
            </w:pPr>
            <w:r/>
            <w:r>
              <w:rPr>
                <w:rFonts w:ascii="Calibri" w:hAnsi="Calibri"/>
                <w:b w:val="0"/>
                <w:i w:val="0"/>
                <w:color w:val="1A1F2B"/>
                <w:sz w:val="19"/>
              </w:rPr>
              <w:t>The Trivy gate actually blocks a build with a real, fixable CRITICAL finding</w:t>
            </w:r>
          </w:p>
        </w:tc>
        <w:tc>
          <w:tcPr>
            <w:tcW w:type="dxa" w:w="5328"/>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it did, once, for real, on the first real run - see §6.5</w:t>
            </w:r>
          </w:p>
        </w:tc>
      </w:tr>
    </w:tbl>
    <w:p>
      <w:pPr>
        <w:spacing w:after="60"/>
      </w:pPr>
    </w:p>
    <w:p>
      <w:r>
        <w:br w:type="page"/>
      </w:r>
    </w:p>
    <w:p>
      <w:pPr>
        <w:pStyle w:val="Heading1"/>
        <w:pBdr>
          <w:bottom w:val="single" w:sz="8" w:space="6" w:color="0F626B"/>
        </w:pBdr>
      </w:pPr>
      <w:r>
        <w:t>5. How It Was Done</w:t>
      </w:r>
    </w:p>
    <w:p>
      <w:pPr>
        <w:spacing w:after="140"/>
      </w:pPr>
      <w:r>
        <w:rPr>
          <w:rFonts w:ascii="Calibri" w:hAnsi="Calibri"/>
          <w:b w:val="0"/>
          <w:i w:val="0"/>
          <w:color w:val="1A1F2B"/>
          <w:sz w:val="21"/>
        </w:rPr>
        <w:t>The eleven tasks, in the order they actually ran, with the real commands and the real detours.</w:t>
      </w:r>
    </w:p>
    <w:p>
      <w:pPr>
        <w:pStyle w:val="Heading2"/>
      </w:pPr>
      <w:r>
        <w:t>5.1  Tasks 1-2 - A working AWS identity, and testing an assumption before trusting it</w:t>
      </w:r>
    </w:p>
    <w:p>
      <w:pPr>
        <w:spacing w:after="140"/>
      </w:pPr>
      <w:r>
        <w:rPr>
          <w:rFonts w:ascii="Calibri" w:hAnsi="Calibri"/>
          <w:b w:val="0"/>
          <w:i w:val="0"/>
          <w:color w:val="1A1F2B"/>
          <w:sz w:val="21"/>
        </w:rPr>
        <w:t>The default AWS CLI profile's keys were dead. A separate SSO profile existed (</w:t>
      </w:r>
      <w:r>
        <w:rPr>
          <w:rFonts w:ascii="Consolas" w:hAnsi="Consolas"/>
          <w:b w:val="0"/>
          <w:i w:val="0"/>
          <w:color w:val="1F4E57"/>
          <w:sz w:val="19"/>
        </w:rPr>
        <w:t>sandbox-admin</w:t>
      </w:r>
      <w:r>
        <w:rPr>
          <w:rFonts w:ascii="Calibri" w:hAnsi="Calibri"/>
          <w:b w:val="0"/>
          <w:i w:val="0"/>
          <w:color w:val="1A1F2B"/>
          <w:sz w:val="21"/>
        </w:rPr>
        <w:t>) but turned out to be for a different, forgotten login entirely - removed rather than chase access to an account no one could account for. A fresh IAM user (</w:t>
      </w:r>
      <w:r>
        <w:rPr>
          <w:rFonts w:ascii="Consolas" w:hAnsi="Consolas"/>
          <w:b w:val="0"/>
          <w:i w:val="0"/>
          <w:color w:val="1F4E57"/>
          <w:sz w:val="19"/>
        </w:rPr>
        <w:t>palisade-bootstrap</w:t>
      </w:r>
      <w:r>
        <w:rPr>
          <w:rFonts w:ascii="Calibri" w:hAnsi="Calibri"/>
          <w:b w:val="0"/>
          <w:i w:val="0"/>
          <w:color w:val="1A1F2B"/>
          <w:sz w:val="21"/>
        </w:rPr>
        <w:t xml:space="preserve">, </w:t>
      </w:r>
      <w:r>
        <w:rPr>
          <w:rFonts w:ascii="Consolas" w:hAnsi="Consolas"/>
          <w:b w:val="0"/>
          <w:i w:val="0"/>
          <w:color w:val="1F4E57"/>
          <w:sz w:val="19"/>
        </w:rPr>
        <w:t>AdministratorAccess</w:t>
      </w:r>
      <w:r>
        <w:rPr>
          <w:rFonts w:ascii="Calibri" w:hAnsi="Calibri"/>
          <w:b w:val="0"/>
          <w:i w:val="0"/>
          <w:color w:val="1A1F2B"/>
          <w:sz w:val="21"/>
        </w:rPr>
        <w:t>, scoped to local one-time bootstrap use only - never used by CI) replaced it, created directly in the AWS Console.</w:t>
      </w:r>
    </w:p>
    <w:p>
      <w:pPr>
        <w:spacing w:after="140"/>
      </w:pPr>
      <w:r>
        <w:rPr>
          <w:rFonts w:ascii="Calibri" w:hAnsi="Calibri"/>
          <w:b w:val="0"/>
          <w:i w:val="0"/>
          <w:color w:val="1A1F2B"/>
          <w:sz w:val="21"/>
        </w:rPr>
        <w:t>Separately, CLAUDE.md's Status table named a specific missing GitHub CLI OAuth scope as the blocker before any workflow YAML could be pushed. Rather than run the named remediation on faith, a throwaway no-op workflow file was pushed on a branch first.</w:t>
      </w:r>
    </w:p>
    <w:p>
      <w:pPr>
        <w:spacing w:before="120" w:after="180" w:line="240" w:lineRule="auto"/>
        <w:ind w:left="115"/>
        <w:shd w:val="clear" w:color="auto" w:fill="F4F5F7"/>
      </w:pPr>
      <w:r>
        <w:rPr>
          <w:rFonts w:ascii="Consolas" w:hAnsi="Consolas"/>
          <w:color w:val="222A33"/>
          <w:sz w:val="16"/>
        </w:rPr>
        <w:t>$ git push -u origin probe/workflow-push-test</w:t>
        <w:br/>
        <w:t>...</w:t>
        <w:br/>
        <w:t>To https://github.com/saimcyber/palisade.git</w:t>
        <w:br/>
        <w:t xml:space="preserve"> * [new branch]      probe/workflow-push-test -&gt; probe/workflow-push-test</w:t>
      </w:r>
    </w:p>
    <w:p>
      <w:pPr>
        <w:spacing w:after="140"/>
      </w:pPr>
      <w:r>
        <w:rPr>
          <w:rFonts w:ascii="Calibri" w:hAnsi="Calibri"/>
          <w:b w:val="0"/>
          <w:i w:val="0"/>
          <w:color w:val="1A1F2B"/>
          <w:sz w:val="21"/>
        </w:rPr>
        <w:t>It went through with no scope error at all. The assumption in the Status table was stale - the actual push credential in this environment already had everything it needed. The probe branch was deleted immediately after.</w:t>
      </w:r>
    </w:p>
    <w:p>
      <w:pPr>
        <w:pStyle w:val="Heading2"/>
      </w:pPr>
      <w:r>
        <w:t>5.2  Task 3 - The billing guard</w:t>
      </w:r>
    </w:p>
    <w:p>
      <w:pPr>
        <w:spacing w:before="120" w:after="180" w:line="240" w:lineRule="auto"/>
        <w:ind w:left="115"/>
        <w:shd w:val="clear" w:color="auto" w:fill="F4F5F7"/>
      </w:pPr>
      <w:r>
        <w:rPr>
          <w:rFonts w:ascii="Consolas" w:hAnsi="Consolas"/>
          <w:color w:val="222A33"/>
          <w:sz w:val="16"/>
        </w:rPr>
        <w:t>$ bash scripts/setup-billing-budget.sh</w:t>
        <w:br/>
        <w:t>==&gt; Resolving account</w:t>
        <w:br/>
        <w:t xml:space="preserve">  ok   account 316899784254 (profile palisade)</w:t>
        <w:br/>
        <w:t>==&gt; Creating budget 'palisade-monthly-guard' ($5/month, alerts to ...)</w:t>
        <w:br/>
        <w:t xml:space="preserve">  ok   created</w:t>
      </w:r>
    </w:p>
    <w:p>
      <w:pPr>
        <w:spacing w:after="140"/>
      </w:pPr>
      <w:r>
        <w:rPr>
          <w:rFonts w:ascii="Calibri" w:hAnsi="Calibri"/>
          <w:b w:val="0"/>
          <w:i w:val="0"/>
          <w:color w:val="1A1F2B"/>
          <w:sz w:val="21"/>
        </w:rPr>
        <w:t>Idempotent by design - a second run correctly reported the budget already existed and made no further changes, verified before moving on.</w:t>
      </w:r>
    </w:p>
    <w:p>
      <w:pPr>
        <w:pStyle w:val="Heading2"/>
      </w:pPr>
      <w:r>
        <w:t>5.3  Task 4 - Proving the OIDC trust policy</w:t>
      </w:r>
    </w:p>
    <w:p>
      <w:pPr>
        <w:spacing w:after="140"/>
      </w:pPr>
      <w:r>
        <w:rPr>
          <w:rFonts w:ascii="Consolas" w:hAnsi="Consolas"/>
          <w:b w:val="0"/>
          <w:i w:val="0"/>
          <w:color w:val="1F4E57"/>
          <w:sz w:val="19"/>
        </w:rPr>
        <w:t>infra/terraform/aws/bootstrap/</w:t>
      </w:r>
      <w:r>
        <w:rPr>
          <w:rFonts w:ascii="Calibri" w:hAnsi="Calibri"/>
          <w:b w:val="0"/>
          <w:i w:val="0"/>
          <w:color w:val="1A1F2B"/>
          <w:sz w:val="21"/>
        </w:rPr>
        <w:t xml:space="preserve"> was applied with local state, creating the OIDC provider, both IAM roles, and the state bucket in one apply (9 resources, zero compute). State was then migrated into that same bucket:</w:t>
      </w:r>
    </w:p>
    <w:p>
      <w:pPr>
        <w:spacing w:before="120" w:after="180" w:line="240" w:lineRule="auto"/>
        <w:ind w:left="115"/>
        <w:shd w:val="clear" w:color="auto" w:fill="F4F5F7"/>
      </w:pPr>
      <w:r>
        <w:rPr>
          <w:rFonts w:ascii="Consolas" w:hAnsi="Consolas"/>
          <w:color w:val="222A33"/>
          <w:sz w:val="16"/>
        </w:rPr>
        <w:t>$ terraform init -migrate-state</w:t>
        <w:br/>
        <w:t>Do you want to copy existing state to the new backend? ... yes</w:t>
        <w:br/>
        <w:t>Successfully configured the backend "s3"!</w:t>
      </w:r>
    </w:p>
    <w:p>
      <w:pPr>
        <w:spacing w:after="140"/>
      </w:pPr>
      <w:r>
        <w:rPr>
          <w:rFonts w:ascii="Calibri" w:hAnsi="Calibri"/>
          <w:b w:val="0"/>
          <w:i w:val="0"/>
          <w:color w:val="1A1F2B"/>
          <w:sz w:val="21"/>
        </w:rPr>
        <w:t>The trust policy was not correct on the first attempt - see §6.1 for the full account of why, and how CloudTrail was used to find the real answer rather than guess at one.</w:t>
      </w:r>
    </w:p>
    <w:p>
      <w:pPr>
        <w:pStyle w:val="Heading2"/>
      </w:pPr>
      <w:r>
        <w:t>5.4  Tasks 5-6 - Migrating state, splitting the identity from the applied root</w:t>
      </w:r>
    </w:p>
    <w:p>
      <w:pPr>
        <w:spacing w:after="140"/>
      </w:pPr>
      <w:r>
        <w:rPr>
          <w:rFonts w:ascii="Calibri" w:hAnsi="Calibri"/>
          <w:b w:val="0"/>
          <w:i w:val="0"/>
          <w:color w:val="1A1F2B"/>
          <w:sz w:val="21"/>
        </w:rPr>
        <w:t xml:space="preserve">Confirmed with </w:t>
      </w:r>
      <w:r>
        <w:rPr>
          <w:rFonts w:ascii="Consolas" w:hAnsi="Consolas"/>
          <w:b w:val="0"/>
          <w:i w:val="0"/>
          <w:color w:val="1F4E57"/>
          <w:sz w:val="19"/>
        </w:rPr>
        <w:t>terraform state list</w:t>
      </w:r>
      <w:r>
        <w:rPr>
          <w:rFonts w:ascii="Calibri" w:hAnsi="Calibri"/>
          <w:b w:val="0"/>
          <w:i w:val="0"/>
          <w:color w:val="1A1F2B"/>
          <w:sz w:val="21"/>
        </w:rPr>
        <w:t xml:space="preserve"> against the S3 backend and a follow-up </w:t>
      </w:r>
      <w:r>
        <w:rPr>
          <w:rFonts w:ascii="Consolas" w:hAnsi="Consolas"/>
          <w:b w:val="0"/>
          <w:i w:val="0"/>
          <w:color w:val="1F4E57"/>
          <w:sz w:val="19"/>
        </w:rPr>
        <w:t>terraform plan</w:t>
      </w:r>
      <w:r>
        <w:rPr>
          <w:rFonts w:ascii="Calibri" w:hAnsi="Calibri"/>
          <w:b w:val="0"/>
          <w:i w:val="0"/>
          <w:color w:val="1A1F2B"/>
          <w:sz w:val="21"/>
        </w:rPr>
        <w:t xml:space="preserve"> showing zero drift. </w:t>
      </w:r>
      <w:r>
        <w:rPr>
          <w:rFonts w:ascii="Consolas" w:hAnsi="Consolas"/>
          <w:b w:val="0"/>
          <w:i w:val="0"/>
          <w:color w:val="1F4E57"/>
          <w:sz w:val="19"/>
        </w:rPr>
        <w:t>infra/terraform/aws/app/</w:t>
      </w:r>
      <w:r>
        <w:rPr>
          <w:rFonts w:ascii="Calibri" w:hAnsi="Calibri"/>
          <w:b w:val="0"/>
          <w:i w:val="0"/>
          <w:color w:val="1A1F2B"/>
          <w:sz w:val="21"/>
        </w:rPr>
        <w:t xml:space="preserve"> was written and validated (</w:t>
      </w:r>
      <w:r>
        <w:rPr>
          <w:rFonts w:ascii="Consolas" w:hAnsi="Consolas"/>
          <w:b w:val="0"/>
          <w:i w:val="0"/>
          <w:color w:val="1F4E57"/>
          <w:sz w:val="19"/>
        </w:rPr>
        <w:t>terraform plan</w:t>
      </w:r>
      <w:r>
        <w:rPr>
          <w:rFonts w:ascii="Calibri" w:hAnsi="Calibri"/>
          <w:b w:val="0"/>
          <w:i w:val="0"/>
          <w:color w:val="1A1F2B"/>
          <w:sz w:val="21"/>
        </w:rPr>
        <w:t>, locally, with the bootstrap identity's own admin credentials, but never applied by hand) - deliberately leaving the first real creation of that bucket to the CI pipeline itself, as a stronger proof that the scoped role's permissions genuinely work end to end.</w:t>
      </w:r>
    </w:p>
    <w:p>
      <w:pPr>
        <w:pStyle w:val="Heading2"/>
      </w:pPr>
      <w:r>
        <w:t>5.5  Task 7 - Hash-pinning the gateway's dependencies</w:t>
      </w:r>
    </w:p>
    <w:p>
      <w:pPr>
        <w:spacing w:before="120" w:after="180" w:line="240" w:lineRule="auto"/>
        <w:ind w:left="115"/>
        <w:shd w:val="clear" w:color="auto" w:fill="F4F5F7"/>
      </w:pPr>
      <w:r>
        <w:rPr>
          <w:rFonts w:ascii="Consolas" w:hAnsi="Consolas"/>
          <w:color w:val="222A33"/>
          <w:sz w:val="16"/>
        </w:rPr>
        <w:t>$ pip-compile --generate-hashes --allow-unsafe -o requirements.txt requirements.in</w:t>
        <w:br/>
        <w:t>$ pip-compile --generate-hashes --allow-unsafe -o requirements-dev.txt requirements-dev.in</w:t>
        <w:br/>
        <w:t>$ pip install --require-hashes -r requirements-dev.txt   # fresh venv, verified clean</w:t>
        <w:br/>
        <w:t>16 passed, 1 skipped</w:t>
      </w:r>
    </w:p>
    <w:p>
      <w:pPr>
        <w:spacing w:after="140"/>
      </w:pPr>
      <w:r>
        <w:rPr>
          <w:rFonts w:ascii="Calibri" w:hAnsi="Calibri"/>
          <w:b w:val="0"/>
          <w:i w:val="0"/>
          <w:color w:val="1A1F2B"/>
          <w:sz w:val="21"/>
        </w:rPr>
        <w:t xml:space="preserve">Both the runtime and dev requirement files needed the treatment - hash checking is all-or-nothing across the whole resolved set, and </w:t>
      </w:r>
      <w:r>
        <w:rPr>
          <w:rFonts w:ascii="Consolas" w:hAnsi="Consolas"/>
          <w:b w:val="0"/>
          <w:i w:val="0"/>
          <w:color w:val="1F4E57"/>
          <w:sz w:val="19"/>
        </w:rPr>
        <w:t>requirements-dev.txt</w:t>
      </w:r>
      <w:r>
        <w:rPr>
          <w:rFonts w:ascii="Calibri" w:hAnsi="Calibri"/>
          <w:b w:val="0"/>
          <w:i w:val="0"/>
          <w:color w:val="1A1F2B"/>
          <w:sz w:val="21"/>
        </w:rPr>
        <w:t xml:space="preserve"> pulls in </w:t>
      </w:r>
      <w:r>
        <w:rPr>
          <w:rFonts w:ascii="Consolas" w:hAnsi="Consolas"/>
          <w:b w:val="0"/>
          <w:i w:val="0"/>
          <w:color w:val="1F4E57"/>
          <w:sz w:val="19"/>
        </w:rPr>
        <w:t>requirements.txt</w:t>
      </w:r>
      <w:r>
        <w:rPr>
          <w:rFonts w:ascii="Calibri" w:hAnsi="Calibri"/>
          <w:b w:val="0"/>
          <w:i w:val="0"/>
          <w:color w:val="1A1F2B"/>
          <w:sz w:val="21"/>
        </w:rPr>
        <w:t xml:space="preserve"> via </w:t>
      </w:r>
      <w:r>
        <w:rPr>
          <w:rFonts w:ascii="Consolas" w:hAnsi="Consolas"/>
          <w:b w:val="0"/>
          <w:i w:val="0"/>
          <w:color w:val="1F4E57"/>
          <w:sz w:val="19"/>
        </w:rPr>
        <w:t>-r</w:t>
      </w:r>
      <w:r>
        <w:rPr>
          <w:rFonts w:ascii="Calibri" w:hAnsi="Calibri"/>
          <w:b w:val="0"/>
          <w:i w:val="0"/>
          <w:color w:val="1A1F2B"/>
          <w:sz w:val="21"/>
        </w:rPr>
        <w:t xml:space="preserve">. The Dockerfile's builder stage switched from an unpinned </w:t>
      </w:r>
      <w:r>
        <w:rPr>
          <w:rFonts w:ascii="Consolas" w:hAnsi="Consolas"/>
          <w:b w:val="0"/>
          <w:i w:val="0"/>
          <w:color w:val="1F4E57"/>
          <w:sz w:val="19"/>
        </w:rPr>
        <w:t>pip install --upgrade pip</w:t>
      </w:r>
      <w:r>
        <w:rPr>
          <w:rFonts w:ascii="Calibri" w:hAnsi="Calibri"/>
          <w:b w:val="0"/>
          <w:i w:val="0"/>
          <w:color w:val="1A1F2B"/>
          <w:sz w:val="21"/>
        </w:rPr>
        <w:t xml:space="preserve"> to relying on the base image's own pinned </w:t>
      </w:r>
      <w:r>
        <w:rPr>
          <w:rFonts w:ascii="Consolas" w:hAnsi="Consolas"/>
          <w:b w:val="0"/>
          <w:i w:val="0"/>
          <w:color w:val="1F4E57"/>
          <w:sz w:val="19"/>
        </w:rPr>
        <w:t>pip</w:t>
      </w:r>
      <w:r>
        <w:rPr>
          <w:rFonts w:ascii="Calibri" w:hAnsi="Calibri"/>
          <w:b w:val="0"/>
          <w:i w:val="0"/>
          <w:color w:val="1A1F2B"/>
          <w:sz w:val="21"/>
        </w:rPr>
        <w:t xml:space="preserve">, plus </w:t>
      </w:r>
      <w:r>
        <w:rPr>
          <w:rFonts w:ascii="Consolas" w:hAnsi="Consolas"/>
          <w:b w:val="0"/>
          <w:i w:val="0"/>
          <w:color w:val="1F4E57"/>
          <w:sz w:val="19"/>
        </w:rPr>
        <w:t>--require-hashes</w:t>
      </w:r>
      <w:r>
        <w:rPr>
          <w:rFonts w:ascii="Calibri" w:hAnsi="Calibri"/>
          <w:b w:val="0"/>
          <w:i w:val="0"/>
          <w:color w:val="1A1F2B"/>
          <w:sz w:val="21"/>
        </w:rPr>
        <w:t xml:space="preserve"> on the real install.</w:t>
      </w:r>
    </w:p>
    <w:p>
      <w:pPr>
        <w:pStyle w:val="Heading2"/>
      </w:pPr>
      <w:r>
        <w:t>5.6  Tasks 8-9 - Building both workflows</w:t>
      </w:r>
    </w:p>
    <w:p>
      <w:pPr>
        <w:spacing w:after="140"/>
      </w:pPr>
      <w:r>
        <w:rPr>
          <w:rFonts w:ascii="Calibri" w:hAnsi="Calibri"/>
          <w:b w:val="0"/>
          <w:i w:val="0"/>
          <w:color w:val="1A1F2B"/>
          <w:sz w:val="21"/>
        </w:rPr>
        <w:t xml:space="preserve">Every third-party GitHub Action across both workflows was pinned to a commit SHA resolved from the live GitHub API immediately before writing it in - </w:t>
      </w:r>
      <w:r>
        <w:rPr>
          <w:rFonts w:ascii="Consolas" w:hAnsi="Consolas"/>
          <w:b w:val="0"/>
          <w:i w:val="0"/>
          <w:color w:val="1F4E57"/>
          <w:sz w:val="19"/>
        </w:rPr>
        <w:t>actions/checkout</w:t>
      </w:r>
      <w:r>
        <w:rPr>
          <w:rFonts w:ascii="Calibri" w:hAnsi="Calibri"/>
          <w:b w:val="0"/>
          <w:i w:val="0"/>
          <w:color w:val="1A1F2B"/>
          <w:sz w:val="21"/>
        </w:rPr>
        <w:t xml:space="preserve">, </w:t>
      </w:r>
      <w:r>
        <w:rPr>
          <w:rFonts w:ascii="Consolas" w:hAnsi="Consolas"/>
          <w:b w:val="0"/>
          <w:i w:val="0"/>
          <w:color w:val="1F4E57"/>
          <w:sz w:val="19"/>
        </w:rPr>
        <w:t>actions/setup-python</w:t>
      </w:r>
      <w:r>
        <w:rPr>
          <w:rFonts w:ascii="Calibri" w:hAnsi="Calibri"/>
          <w:b w:val="0"/>
          <w:i w:val="0"/>
          <w:color w:val="1A1F2B"/>
          <w:sz w:val="21"/>
        </w:rPr>
        <w:t xml:space="preserve">, the </w:t>
      </w:r>
      <w:r>
        <w:rPr>
          <w:rFonts w:ascii="Consolas" w:hAnsi="Consolas"/>
          <w:b w:val="0"/>
          <w:i w:val="0"/>
          <w:color w:val="1F4E57"/>
          <w:sz w:val="19"/>
        </w:rPr>
        <w:t>docker/*</w:t>
      </w:r>
      <w:r>
        <w:rPr>
          <w:rFonts w:ascii="Calibri" w:hAnsi="Calibri"/>
          <w:b w:val="0"/>
          <w:i w:val="0"/>
          <w:color w:val="1A1F2B"/>
          <w:sz w:val="21"/>
        </w:rPr>
        <w:t xml:space="preserve"> actions, </w:t>
      </w:r>
      <w:r>
        <w:rPr>
          <w:rFonts w:ascii="Consolas" w:hAnsi="Consolas"/>
          <w:b w:val="0"/>
          <w:i w:val="0"/>
          <w:color w:val="1F4E57"/>
          <w:sz w:val="19"/>
        </w:rPr>
        <w:t>aquasecurity/trivy-action</w:t>
      </w:r>
      <w:r>
        <w:rPr>
          <w:rFonts w:ascii="Calibri" w:hAnsi="Calibri"/>
          <w:b w:val="0"/>
          <w:i w:val="0"/>
          <w:color w:val="1A1F2B"/>
          <w:sz w:val="21"/>
        </w:rPr>
        <w:t xml:space="preserve"> (version-floor checked against a real security incident, §6.6), </w:t>
      </w:r>
      <w:r>
        <w:rPr>
          <w:rFonts w:ascii="Consolas" w:hAnsi="Consolas"/>
          <w:b w:val="0"/>
          <w:i w:val="0"/>
          <w:color w:val="1F4E57"/>
          <w:sz w:val="19"/>
        </w:rPr>
        <w:t>sigstore/cosign-installer</w:t>
      </w:r>
      <w:r>
        <w:rPr>
          <w:rFonts w:ascii="Calibri" w:hAnsi="Calibri"/>
          <w:b w:val="0"/>
          <w:i w:val="0"/>
          <w:color w:val="1A1F2B"/>
          <w:sz w:val="21"/>
        </w:rPr>
        <w:t xml:space="preserve">, </w:t>
      </w:r>
      <w:r>
        <w:rPr>
          <w:rFonts w:ascii="Consolas" w:hAnsi="Consolas"/>
          <w:b w:val="0"/>
          <w:i w:val="0"/>
          <w:color w:val="1F4E57"/>
          <w:sz w:val="19"/>
        </w:rPr>
        <w:t>hashicorp/setup-terraform</w:t>
      </w:r>
      <w:r>
        <w:rPr>
          <w:rFonts w:ascii="Calibri" w:hAnsi="Calibri"/>
          <w:b w:val="0"/>
          <w:i w:val="0"/>
          <w:color w:val="1A1F2B"/>
          <w:sz w:val="21"/>
        </w:rPr>
        <w:t xml:space="preserve">, </w:t>
      </w:r>
      <w:r>
        <w:rPr>
          <w:rFonts w:ascii="Consolas" w:hAnsi="Consolas"/>
          <w:b w:val="0"/>
          <w:i w:val="0"/>
          <w:color w:val="1F4E57"/>
          <w:sz w:val="19"/>
        </w:rPr>
        <w:t>aws-actions/configure-aws-credentials</w:t>
      </w:r>
      <w:r>
        <w:rPr>
          <w:rFonts w:ascii="Calibri" w:hAnsi="Calibri"/>
          <w:b w:val="0"/>
          <w:i w:val="0"/>
          <w:color w:val="1A1F2B"/>
          <w:sz w:val="21"/>
        </w:rPr>
        <w:t xml:space="preserve">, </w:t>
      </w:r>
      <w:r>
        <w:rPr>
          <w:rFonts w:ascii="Consolas" w:hAnsi="Consolas"/>
          <w:b w:val="0"/>
          <w:i w:val="0"/>
          <w:color w:val="1F4E57"/>
          <w:sz w:val="19"/>
        </w:rPr>
        <w:t>actions/github-script</w:t>
      </w:r>
      <w:r>
        <w:rPr>
          <w:rFonts w:ascii="Calibri" w:hAnsi="Calibri"/>
          <w:b w:val="0"/>
          <w:i w:val="0"/>
          <w:color w:val="1A1F2B"/>
          <w:sz w:val="21"/>
        </w:rPr>
        <w:t xml:space="preserve">. Syft itself was installed as a pinned release binary - the same pattern </w:t>
      </w:r>
      <w:r>
        <w:rPr>
          <w:rFonts w:ascii="Consolas" w:hAnsi="Consolas"/>
          <w:b w:val="0"/>
          <w:i w:val="0"/>
          <w:color w:val="1F4E57"/>
          <w:sz w:val="19"/>
        </w:rPr>
        <w:t>scripts/install-tools.sh</w:t>
      </w:r>
      <w:r>
        <w:rPr>
          <w:rFonts w:ascii="Calibri" w:hAnsi="Calibri"/>
          <w:b w:val="0"/>
          <w:i w:val="0"/>
          <w:color w:val="1A1F2B"/>
          <w:sz w:val="21"/>
        </w:rPr>
        <w:t xml:space="preserve"> already uses - rather than a third-party SBOM action, to keep one fewer thing in the signing chain's trust surface.</w:t>
      </w:r>
    </w:p>
    <w:p>
      <w:pPr>
        <w:pStyle w:val="Heading2"/>
      </w:pPr>
      <w:r>
        <w:t>5.7  Tasks 10-11 - Opening the PR, merging, and proving the acceptance criterion</w:t>
      </w:r>
    </w:p>
    <w:p>
      <w:pPr>
        <w:spacing w:after="140"/>
      </w:pPr>
      <w:r>
        <w:rPr>
          <w:rFonts w:ascii="Calibri" w:hAnsi="Calibri"/>
          <w:b w:val="0"/>
          <w:i w:val="0"/>
          <w:color w:val="1A1F2B"/>
          <w:sz w:val="21"/>
        </w:rPr>
        <w:t xml:space="preserve">Every change from Tasks 7-9 went into a single PR, deliberately, so </w:t>
      </w:r>
      <w:r>
        <w:rPr>
          <w:rFonts w:ascii="Consolas" w:hAnsi="Consolas"/>
          <w:b w:val="0"/>
          <w:i w:val="0"/>
          <w:color w:val="1F4E57"/>
          <w:sz w:val="19"/>
        </w:rPr>
        <w:t>ci.yml</w:t>
      </w:r>
      <w:r>
        <w:rPr>
          <w:rFonts w:ascii="Calibri" w:hAnsi="Calibri"/>
          <w:b w:val="0"/>
          <w:i w:val="0"/>
          <w:color w:val="1A1F2B"/>
          <w:sz w:val="21"/>
        </w:rPr>
        <w:t xml:space="preserve"> and </w:t>
      </w:r>
      <w:r>
        <w:rPr>
          <w:rFonts w:ascii="Consolas" w:hAnsi="Consolas"/>
          <w:b w:val="0"/>
          <w:i w:val="0"/>
          <w:color w:val="1F4E57"/>
          <w:sz w:val="19"/>
        </w:rPr>
        <w:t>terraform.yml</w:t>
      </w:r>
      <w:r>
        <w:rPr>
          <w:rFonts w:ascii="Calibri" w:hAnsi="Calibri"/>
          <w:b w:val="0"/>
          <w:i w:val="0"/>
          <w:color w:val="1A1F2B"/>
          <w:sz w:val="21"/>
        </w:rPr>
        <w:t xml:space="preserve"> could both be exercised for real on the same pull request - </w:t>
      </w:r>
      <w:r>
        <w:rPr>
          <w:rFonts w:ascii="Consolas" w:hAnsi="Consolas"/>
          <w:b w:val="0"/>
          <w:i w:val="0"/>
          <w:color w:val="1F4E57"/>
          <w:sz w:val="19"/>
        </w:rPr>
        <w:t>test</w:t>
      </w:r>
      <w:r>
        <w:rPr>
          <w:rFonts w:ascii="Calibri" w:hAnsi="Calibri"/>
          <w:b w:val="0"/>
          <w:i w:val="0"/>
          <w:color w:val="1A1F2B"/>
          <w:sz w:val="21"/>
        </w:rPr>
        <w:t xml:space="preserve">, </w:t>
      </w:r>
      <w:r>
        <w:rPr>
          <w:rFonts w:ascii="Consolas" w:hAnsi="Consolas"/>
          <w:b w:val="0"/>
          <w:i w:val="0"/>
          <w:color w:val="1F4E57"/>
          <w:sz w:val="19"/>
        </w:rPr>
        <w:t>lint</w:t>
      </w:r>
      <w:r>
        <w:rPr>
          <w:rFonts w:ascii="Calibri" w:hAnsi="Calibri"/>
          <w:b w:val="0"/>
          <w:i w:val="0"/>
          <w:color w:val="1A1F2B"/>
          <w:sz w:val="21"/>
        </w:rPr>
        <w:t xml:space="preserve">, </w:t>
      </w:r>
      <w:r>
        <w:rPr>
          <w:rFonts w:ascii="Consolas" w:hAnsi="Consolas"/>
          <w:b w:val="0"/>
          <w:i w:val="0"/>
          <w:color w:val="1F4E57"/>
          <w:sz w:val="19"/>
        </w:rPr>
        <w:t>plan</w:t>
      </w:r>
      <w:r>
        <w:rPr>
          <w:rFonts w:ascii="Calibri" w:hAnsi="Calibri"/>
          <w:b w:val="0"/>
          <w:i w:val="0"/>
          <w:color w:val="1A1F2B"/>
          <w:sz w:val="21"/>
        </w:rPr>
        <w:t xml:space="preserve"> and </w:t>
      </w:r>
      <w:r>
        <w:rPr>
          <w:rFonts w:ascii="Consolas" w:hAnsi="Consolas"/>
          <w:b w:val="0"/>
          <w:i w:val="0"/>
          <w:color w:val="1F4E57"/>
          <w:sz w:val="19"/>
        </w:rPr>
        <w:t>build-scan-sign-push</w:t>
      </w:r>
      <w:r>
        <w:rPr>
          <w:rFonts w:ascii="Calibri" w:hAnsi="Calibri"/>
          <w:b w:val="0"/>
          <w:i w:val="0"/>
          <w:color w:val="1A1F2B"/>
          <w:sz w:val="21"/>
        </w:rPr>
        <w:t xml:space="preserve"> all had to go green before it was mergeable. Six real failures surfaced doing this; all six are §6. Once every check passed, the PR was merged, which triggered the real </w:t>
      </w:r>
      <w:r>
        <w:rPr>
          <w:rFonts w:ascii="Consolas" w:hAnsi="Consolas"/>
          <w:b w:val="0"/>
          <w:i w:val="0"/>
          <w:color w:val="1F4E57"/>
          <w:sz w:val="19"/>
        </w:rPr>
        <w:t>apply</w:t>
      </w:r>
      <w:r>
        <w:rPr>
          <w:rFonts w:ascii="Calibri" w:hAnsi="Calibri"/>
          <w:b w:val="0"/>
          <w:i w:val="0"/>
          <w:color w:val="1A1F2B"/>
          <w:sz w:val="21"/>
        </w:rPr>
        <w:t xml:space="preserve"> and the real build/push/sign/attest on </w:t>
      </w:r>
      <w:r>
        <w:rPr>
          <w:rFonts w:ascii="Consolas" w:hAnsi="Consolas"/>
          <w:b w:val="0"/>
          <w:i w:val="0"/>
          <w:color w:val="1F4E57"/>
          <w:sz w:val="19"/>
        </w:rPr>
        <w:t>main</w:t>
      </w:r>
      <w:r>
        <w:rPr>
          <w:rFonts w:ascii="Calibri" w:hAnsi="Calibri"/>
          <w:b w:val="0"/>
          <w:i w:val="0"/>
          <w:color w:val="1A1F2B"/>
          <w:sz w:val="21"/>
        </w:rPr>
        <w:t xml:space="preserve"> for the first time.</w:t>
      </w:r>
    </w:p>
    <w:p>
      <w:pPr>
        <w:spacing w:before="120" w:after="180" w:line="240" w:lineRule="auto"/>
        <w:ind w:left="115"/>
        <w:shd w:val="clear" w:color="auto" w:fill="F4F5F7"/>
      </w:pPr>
      <w:r>
        <w:rPr>
          <w:rFonts w:ascii="Consolas" w:hAnsi="Consolas"/>
          <w:color w:val="222A33"/>
          <w:sz w:val="16"/>
        </w:rPr>
        <w:t>$ cosign verify \</w:t>
        <w:br/>
        <w:t xml:space="preserve">    --certificate-identity='https://github.com/saimcyber/palisade/.github/workflows/ci.yml@refs/heads/main' \</w:t>
        <w:br/>
        <w:t xml:space="preserve">    --certificate-oidc-issuer='https://token.actions.githubusercontent.com' \</w:t>
        <w:br/>
        <w:t xml:space="preserve">    ghcr.io/saimcyber/palisade-gateway@sha256:89c4c74d...</w:t>
        <w:br/>
        <w:br/>
        <w:t>Verification for ghcr.io/saimcyber/palisade-gateway@sha256:89c4c74d... --</w:t>
        <w:br/>
        <w:t>The following checks were performed on each of these signatures:</w:t>
        <w:br/>
        <w:t xml:space="preserve">  - The cosign claims were validated</w:t>
        <w:br/>
        <w:t xml:space="preserve">  - Existence of the claims in the transparency log was verified offline</w:t>
        <w:br/>
        <w:t xml:space="preserve">  - The code-signing certificate was verified using trusted certificate authority certificates</w:t>
      </w:r>
    </w:p>
    <w:p>
      <w:pPr>
        <w:spacing w:after="140"/>
      </w:pPr>
      <w:r>
        <w:rPr>
          <w:rFonts w:ascii="Calibri" w:hAnsi="Calibri"/>
          <w:b w:val="0"/>
          <w:i w:val="0"/>
          <w:color w:val="1A1F2B"/>
          <w:sz w:val="21"/>
        </w:rPr>
        <w:t>Run from a shell where Docker wasn't even installed - so this wasn't proving a cached login worked, it was proving the signature itself is independently checkable by anyone.</w:t>
      </w:r>
    </w:p>
    <w:p>
      <w:r>
        <w:br w:type="page"/>
      </w:r>
    </w:p>
    <w:p>
      <w:pPr>
        <w:pStyle w:val="Heading1"/>
        <w:pBdr>
          <w:bottom w:val="single" w:sz="8" w:space="6" w:color="0F626B"/>
        </w:pBdr>
      </w:pPr>
      <w:r>
        <w:t>6. Deep Dive - Six Real Failures, Found the Same Way Every Time</w:t>
      </w:r>
    </w:p>
    <w:p>
      <w:pPr>
        <w:spacing w:after="140"/>
      </w:pPr>
      <w:r>
        <w:rPr>
          <w:rFonts w:ascii="Calibri" w:hAnsi="Calibri"/>
          <w:b w:val="0"/>
          <w:i w:val="0"/>
          <w:color w:val="1A1F2B"/>
          <w:sz w:val="21"/>
        </w:rPr>
        <w:t>Every failure below passed review or a local check first. None of them were visible until the actual pipeline ran against actual AWS and actual GitHub. That is not a coincidence: it's the entire argument for building the real thing before calling a milestone done.</w:t>
      </w:r>
    </w:p>
    <w:p>
      <w:pPr>
        <w:pStyle w:val="Heading2"/>
      </w:pPr>
      <w:r>
        <w:t>6.1  GitHub's OIDC subject claim isn't what the documentation I remembered said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trust policy connecting GitHub to AWS was written to expect an identity string in the classic format - "this repository, by name." GitHub rejected every attempt to assume the role, and the error gave no hint why.</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AssumeRoleWithWebIdentity</w:t>
            </w:r>
            <w:r>
              <w:rPr>
                <w:rFonts w:ascii="Calibri" w:hAnsi="Calibri"/>
                <w:b w:val="0"/>
                <w:i w:val="0"/>
                <w:color w:val="1A1F2B"/>
                <w:sz w:val="20"/>
              </w:rPr>
              <w:t xml:space="preserve"> failed with a flat </w:t>
            </w:r>
            <w:r>
              <w:rPr>
                <w:rFonts w:ascii="Consolas" w:hAnsi="Consolas"/>
                <w:b w:val="0"/>
                <w:i w:val="0"/>
                <w:color w:val="1F4E57"/>
                <w:sz w:val="18"/>
              </w:rPr>
              <w:t>AccessDenied: Not authorized</w:t>
            </w:r>
            <w:r>
              <w:rPr>
                <w:rFonts w:ascii="Calibri" w:hAnsi="Calibri"/>
                <w:b w:val="0"/>
                <w:i w:val="0"/>
                <w:color w:val="1A1F2B"/>
                <w:sz w:val="20"/>
              </w:rPr>
              <w:t xml:space="preserve">. CloudTrail's </w:t>
            </w:r>
            <w:r>
              <w:rPr>
                <w:rFonts w:ascii="Consolas" w:hAnsi="Consolas"/>
                <w:b w:val="0"/>
                <w:i w:val="0"/>
                <w:color w:val="1F4E57"/>
                <w:sz w:val="18"/>
              </w:rPr>
              <w:t>AssumeRoleWithWebIdentity</w:t>
            </w:r>
            <w:r>
              <w:rPr>
                <w:rFonts w:ascii="Calibri" w:hAnsi="Calibri"/>
                <w:b w:val="0"/>
                <w:i w:val="0"/>
                <w:color w:val="1A1F2B"/>
                <w:sz w:val="20"/>
              </w:rPr>
              <w:t xml:space="preserve"> events showed the real subject claim GitHub was sending: </w:t>
            </w:r>
            <w:r>
              <w:rPr>
                <w:rFonts w:ascii="Consolas" w:hAnsi="Consolas"/>
                <w:b w:val="0"/>
                <w:i w:val="0"/>
                <w:color w:val="1F4E57"/>
                <w:sz w:val="18"/>
              </w:rPr>
              <w:t>repo:saimcyber@175656207/palisade@1359541168:pull_request</w:t>
            </w:r>
            <w:r>
              <w:rPr>
                <w:rFonts w:ascii="Calibri" w:hAnsi="Calibri"/>
                <w:b w:val="0"/>
                <w:i w:val="0"/>
                <w:color w:val="1A1F2B"/>
                <w:sz w:val="20"/>
              </w:rPr>
              <w:t xml:space="preserve"> - not </w:t>
            </w:r>
            <w:r>
              <w:rPr>
                <w:rFonts w:ascii="Consolas" w:hAnsi="Consolas"/>
                <w:b w:val="0"/>
                <w:i w:val="0"/>
                <w:color w:val="1F4E57"/>
                <w:sz w:val="18"/>
              </w:rPr>
              <w:t>repo:saimcyber/palisade:pull_request</w:t>
            </w:r>
            <w:r>
              <w:rPr>
                <w:rFonts w:ascii="Calibri" w:hAnsi="Calibri"/>
                <w:b w:val="0"/>
                <w:i w:val="0"/>
                <w:color w:val="1A1F2B"/>
                <w:sz w:val="20"/>
              </w:rPr>
              <w:t xml:space="preserve">. GitHub now defaults newly created repositories to an </w:t>
            </w:r>
            <w:r>
              <w:rPr>
                <w:rFonts w:ascii="Calibri" w:hAnsi="Calibri"/>
                <w:b/>
                <w:i w:val="0"/>
                <w:color w:val="1A1F2B"/>
                <w:sz w:val="20"/>
              </w:rPr>
              <w:t>immutable</w:t>
            </w:r>
            <w:r>
              <w:rPr>
                <w:rFonts w:ascii="Calibri" w:hAnsi="Calibri"/>
                <w:b w:val="0"/>
                <w:i w:val="0"/>
                <w:color w:val="1A1F2B"/>
                <w:sz w:val="20"/>
              </w:rPr>
              <w:t xml:space="preserve"> OIDC subject format (owner and repo each suffixed with their permanent numeric ID), specifically so a renamed or recreated repository can't inherit an old trust policy's identity. Confirmed independently via </w:t>
            </w:r>
            <w:r>
              <w:rPr>
                <w:rFonts w:ascii="Consolas" w:hAnsi="Consolas"/>
                <w:b w:val="0"/>
                <w:i w:val="0"/>
                <w:color w:val="1F4E57"/>
                <w:sz w:val="18"/>
              </w:rPr>
              <w:t>gh api repos/saimcyber/palisade/actions/oidc/customization/sub</w:t>
            </w:r>
            <w:r>
              <w:rPr>
                <w:rFonts w:ascii="Calibri" w:hAnsi="Calibri"/>
                <w:b w:val="0"/>
                <w:i w:val="0"/>
                <w:color w:val="1A1F2B"/>
                <w:sz w:val="20"/>
              </w:rPr>
              <w:t xml:space="preserve"> (</w:t>
            </w:r>
            <w:r>
              <w:rPr>
                <w:rFonts w:ascii="Consolas" w:hAnsi="Consolas"/>
                <w:b w:val="0"/>
                <w:i w:val="0"/>
                <w:color w:val="1F4E57"/>
                <w:sz w:val="18"/>
              </w:rPr>
              <w:t>use_immutable_subject: true</w:t>
            </w:r>
            <w:r>
              <w:rPr>
                <w:rFonts w:ascii="Calibri" w:hAnsi="Calibri"/>
                <w:b w:val="0"/>
                <w:i w:val="0"/>
                <w:color w:val="1A1F2B"/>
                <w:sz w:val="20"/>
              </w:rPr>
              <w:t>) before changing anything.</w:t>
            </w:r>
          </w:p>
        </w:tc>
      </w:tr>
    </w:tbl>
    <w:p>
      <w:pPr>
        <w:spacing w:after="80"/>
      </w:pPr>
    </w:p>
    <w:p>
      <w:pPr>
        <w:spacing w:after="140"/>
      </w:pPr>
      <w:r>
        <w:rPr>
          <w:rFonts w:ascii="Calibri" w:hAnsi="Calibri"/>
          <w:b w:val="0"/>
          <w:i w:val="0"/>
          <w:color w:val="1A1F2B"/>
          <w:sz w:val="21"/>
        </w:rPr>
        <w:t xml:space="preserve">Both role trust policies were rewritten to match, applied by hand as </w:t>
      </w:r>
      <w:r>
        <w:rPr>
          <w:rFonts w:ascii="Consolas" w:hAnsi="Consolas"/>
          <w:b w:val="0"/>
          <w:i w:val="0"/>
          <w:color w:val="1F4E57"/>
          <w:sz w:val="19"/>
        </w:rPr>
        <w:t>bootstrap/</w:t>
      </w:r>
      <w:r>
        <w:rPr>
          <w:rFonts w:ascii="Calibri" w:hAnsi="Calibri"/>
          <w:b w:val="0"/>
          <w:i w:val="0"/>
          <w:color w:val="1A1F2B"/>
          <w:sz w:val="21"/>
        </w:rPr>
        <w:t xml:space="preserve"> requires, and re-tested - the next PR run assumed both roles cleanly.</w:t>
      </w:r>
    </w:p>
    <w:p>
      <w:pPr>
        <w:pStyle w:val="Heading2"/>
      </w:pPr>
      <w:r>
        <w:t>6.2  A brand-new S3 bucket needs more read permissions than the actions that touch it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The role allowed to manage the model-artifact bucket was given exactly the read permissions I expected it to need. The very first real </w:t>
            </w:r>
            <w:r>
              <w:rPr>
                <w:rFonts w:ascii="Consolas" w:hAnsi="Consolas"/>
                <w:b w:val="0"/>
                <w:i w:val="0"/>
                <w:color w:val="1F4E57"/>
                <w:sz w:val="18"/>
              </w:rPr>
              <w:t>terraform apply</w:t>
            </w:r>
            <w:r>
              <w:rPr>
                <w:rFonts w:ascii="Calibri" w:hAnsi="Calibri"/>
                <w:b w:val="0"/>
                <w:i w:val="0"/>
                <w:color w:val="1A1F2B"/>
                <w:sz w:val="20"/>
              </w:rPr>
              <w:t xml:space="preserve"> failed instantly, on a permission nobody had written any code to use.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AccessDenied</w:t>
            </w:r>
            <w:r>
              <w:rPr>
                <w:rFonts w:ascii="Calibri" w:hAnsi="Calibri"/>
                <w:b w:val="0"/>
                <w:i w:val="0"/>
                <w:color w:val="1A1F2B"/>
                <w:sz w:val="20"/>
              </w:rPr>
              <w:t xml:space="preserve"> on </w:t>
            </w:r>
            <w:r>
              <w:rPr>
                <w:rFonts w:ascii="Consolas" w:hAnsi="Consolas"/>
                <w:b w:val="0"/>
                <w:i w:val="0"/>
                <w:color w:val="1F4E57"/>
                <w:sz w:val="18"/>
              </w:rPr>
              <w:t>s3:GetAccelerateConfiguration</w:t>
            </w:r>
            <w:r>
              <w:rPr>
                <w:rFonts w:ascii="Calibri" w:hAnsi="Calibri"/>
                <w:b w:val="0"/>
                <w:i w:val="0"/>
                <w:color w:val="1A1F2B"/>
                <w:sz w:val="20"/>
              </w:rPr>
              <w:t xml:space="preserve"> while Terraform was still creating the bucket. Modern versions of the </w:t>
            </w:r>
            <w:r>
              <w:rPr>
                <w:rFonts w:ascii="Consolas" w:hAnsi="Consolas"/>
                <w:b w:val="0"/>
                <w:i w:val="0"/>
                <w:color w:val="1F4E57"/>
                <w:sz w:val="18"/>
              </w:rPr>
              <w:t>aws_s3_bucket</w:t>
            </w:r>
            <w:r>
              <w:rPr>
                <w:rFonts w:ascii="Calibri" w:hAnsi="Calibri"/>
                <w:b w:val="0"/>
                <w:i w:val="0"/>
                <w:color w:val="1A1F2B"/>
                <w:sz w:val="20"/>
              </w:rPr>
              <w:t xml:space="preserve"> resource read back a long tail of sub-configurations during create and refresh - accelerate, logging, CORS, replication, object-lock, request-payment, ownership controls - regardless of whether the configuration manages any of them. An enumerated policy fails one 403 at a time, each on a different </w:t>
            </w:r>
            <w:r>
              <w:rPr>
                <w:rFonts w:ascii="Consolas" w:hAnsi="Consolas"/>
                <w:b w:val="0"/>
                <w:i w:val="0"/>
                <w:color w:val="1F4E57"/>
                <w:sz w:val="18"/>
              </w:rPr>
              <w:t>Get*Configuration</w:t>
            </w:r>
            <w:r>
              <w:rPr>
                <w:rFonts w:ascii="Calibri" w:hAnsi="Calibri"/>
                <w:b w:val="0"/>
                <w:i w:val="0"/>
                <w:color w:val="1A1F2B"/>
                <w:sz w:val="20"/>
              </w:rPr>
              <w:t xml:space="preserve"> call.</w:t>
            </w:r>
          </w:p>
        </w:tc>
      </w:tr>
    </w:tbl>
    <w:p>
      <w:pPr>
        <w:spacing w:after="80"/>
      </w:pPr>
    </w:p>
    <w:p>
      <w:pPr>
        <w:spacing w:after="140"/>
      </w:pPr>
      <w:r>
        <w:rPr>
          <w:rFonts w:ascii="Calibri" w:hAnsi="Calibri"/>
          <w:b w:val="0"/>
          <w:i w:val="0"/>
          <w:color w:val="1A1F2B"/>
          <w:sz w:val="21"/>
        </w:rPr>
        <w:t xml:space="preserve">Fixed by granting </w:t>
      </w:r>
      <w:r>
        <w:rPr>
          <w:rFonts w:ascii="Consolas" w:hAnsi="Consolas"/>
          <w:b w:val="0"/>
          <w:i w:val="0"/>
          <w:color w:val="1F4E57"/>
          <w:sz w:val="19"/>
        </w:rPr>
        <w:t>s3:Get*</w:t>
      </w:r>
      <w:r>
        <w:rPr>
          <w:rFonts w:ascii="Calibri" w:hAnsi="Calibri"/>
          <w:b w:val="0"/>
          <w:i w:val="0"/>
          <w:color w:val="1A1F2B"/>
          <w:sz w:val="21"/>
        </w:rPr>
        <w:t>/</w:t>
      </w:r>
      <w:r>
        <w:rPr>
          <w:rFonts w:ascii="Consolas" w:hAnsi="Consolas"/>
          <w:b w:val="0"/>
          <w:i w:val="0"/>
          <w:color w:val="1F4E57"/>
          <w:sz w:val="19"/>
        </w:rPr>
        <w:t>s3:List*</w:t>
      </w:r>
      <w:r>
        <w:rPr>
          <w:rFonts w:ascii="Calibri" w:hAnsi="Calibri"/>
          <w:b w:val="0"/>
          <w:i w:val="0"/>
          <w:color w:val="1A1F2B"/>
          <w:sz w:val="21"/>
        </w:rPr>
        <w:t xml:space="preserve"> (both inherently read-only AWS action families) instead of an enumerated list, while keeping every mutating action - </w:t>
      </w:r>
      <w:r>
        <w:rPr>
          <w:rFonts w:ascii="Consolas" w:hAnsi="Consolas"/>
          <w:b w:val="0"/>
          <w:i w:val="0"/>
          <w:color w:val="1F4E57"/>
          <w:sz w:val="19"/>
        </w:rPr>
        <w:t>CreateBucket</w:t>
      </w:r>
      <w:r>
        <w:rPr>
          <w:rFonts w:ascii="Calibri" w:hAnsi="Calibri"/>
          <w:b w:val="0"/>
          <w:i w:val="0"/>
          <w:color w:val="1A1F2B"/>
          <w:sz w:val="21"/>
        </w:rPr>
        <w:t xml:space="preserve">, </w:t>
      </w:r>
      <w:r>
        <w:rPr>
          <w:rFonts w:ascii="Consolas" w:hAnsi="Consolas"/>
          <w:b w:val="0"/>
          <w:i w:val="0"/>
          <w:color w:val="1F4E57"/>
          <w:sz w:val="19"/>
        </w:rPr>
        <w:t>PutObject</w:t>
      </w:r>
      <w:r>
        <w:rPr>
          <w:rFonts w:ascii="Calibri" w:hAnsi="Calibri"/>
          <w:b w:val="0"/>
          <w:i w:val="0"/>
          <w:color w:val="1A1F2B"/>
          <w:sz w:val="21"/>
        </w:rPr>
        <w:t xml:space="preserve">, </w:t>
      </w:r>
      <w:r>
        <w:rPr>
          <w:rFonts w:ascii="Consolas" w:hAnsi="Consolas"/>
          <w:b w:val="0"/>
          <w:i w:val="0"/>
          <w:color w:val="1F4E57"/>
          <w:sz w:val="19"/>
        </w:rPr>
        <w:t>DeleteBucket</w:t>
      </w:r>
      <w:r>
        <w:rPr>
          <w:rFonts w:ascii="Calibri" w:hAnsi="Calibri"/>
          <w:b w:val="0"/>
          <w:i w:val="0"/>
          <w:color w:val="1A1F2B"/>
          <w:sz w:val="21"/>
        </w:rPr>
        <w:t>, and so on - individually named.</w:t>
      </w:r>
    </w:p>
    <w:p>
      <w:pPr>
        <w:pStyle w:val="Heading2"/>
      </w:pPr>
      <w:r>
        <w:t>6.3  A CI role needs access to its own state, separately from the infrastructure it manages</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With the bucket permissions fixed, </w:t>
            </w:r>
            <w:r>
              <w:rPr>
                <w:rFonts w:ascii="Consolas" w:hAnsi="Consolas"/>
                <w:b w:val="0"/>
                <w:i w:val="0"/>
                <w:color w:val="1F4E57"/>
                <w:sz w:val="18"/>
              </w:rPr>
              <w:t>terraform plan</w:t>
            </w:r>
            <w:r>
              <w:rPr>
                <w:rFonts w:ascii="Calibri" w:hAnsi="Calibri"/>
                <w:b w:val="0"/>
                <w:i w:val="0"/>
                <w:color w:val="1A1F2B"/>
                <w:sz w:val="20"/>
              </w:rPr>
              <w:t xml:space="preserve"> on the next PR still failed - this time on the </w:t>
            </w:r>
            <w:r>
              <w:rPr>
                <w:rFonts w:ascii="Calibri" w:hAnsi="Calibri"/>
                <w:b w:val="0"/>
                <w:i/>
                <w:color w:val="1A1F2B"/>
                <w:sz w:val="20"/>
              </w:rPr>
              <w:t>state</w:t>
            </w:r>
            <w:r>
              <w:rPr>
                <w:rFonts w:ascii="Calibri" w:hAnsi="Calibri"/>
                <w:b w:val="0"/>
                <w:i w:val="0"/>
                <w:color w:val="1A1F2B"/>
                <w:sz w:val="20"/>
              </w:rPr>
              <w:t xml:space="preserve"> file itself, not the infrastructure being planned.</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HeadObject</w:t>
            </w:r>
            <w:r>
              <w:rPr>
                <w:rFonts w:ascii="Calibri" w:hAnsi="Calibri"/>
                <w:b w:val="0"/>
                <w:i w:val="0"/>
                <w:color w:val="1A1F2B"/>
                <w:sz w:val="20"/>
              </w:rPr>
              <w:t xml:space="preserve"> against </w:t>
            </w:r>
            <w:r>
              <w:rPr>
                <w:rFonts w:ascii="Consolas" w:hAnsi="Consolas"/>
                <w:b w:val="0"/>
                <w:i w:val="0"/>
                <w:color w:val="1F4E57"/>
                <w:sz w:val="18"/>
              </w:rPr>
              <w:t>app/terraform.tfstate</w:t>
            </w:r>
            <w:r>
              <w:rPr>
                <w:rFonts w:ascii="Calibri" w:hAnsi="Calibri"/>
                <w:b w:val="0"/>
                <w:i w:val="0"/>
                <w:color w:val="1A1F2B"/>
                <w:sz w:val="20"/>
              </w:rPr>
              <w:t xml:space="preserve"> returned 403. </w:t>
            </w:r>
            <w:r>
              <w:rPr>
                <w:rFonts w:ascii="Consolas" w:hAnsi="Consolas"/>
                <w:b w:val="0"/>
                <w:i w:val="0"/>
                <w:color w:val="1F4E57"/>
                <w:sz w:val="18"/>
              </w:rPr>
              <w:t>ci_plan</w:t>
            </w:r>
            <w:r>
              <w:rPr>
                <w:rFonts w:ascii="Calibri" w:hAnsi="Calibri"/>
                <w:b w:val="0"/>
                <w:i w:val="0"/>
                <w:color w:val="1A1F2B"/>
                <w:sz w:val="20"/>
              </w:rPr>
              <w:t>/</w:t>
            </w:r>
            <w:r>
              <w:rPr>
                <w:rFonts w:ascii="Consolas" w:hAnsi="Consolas"/>
                <w:b w:val="0"/>
                <w:i w:val="0"/>
                <w:color w:val="1F4E57"/>
                <w:sz w:val="18"/>
              </w:rPr>
              <w:t>ci_apply</w:t>
            </w:r>
            <w:r>
              <w:rPr>
                <w:rFonts w:ascii="Calibri" w:hAnsi="Calibri"/>
                <w:b w:val="0"/>
                <w:i w:val="0"/>
                <w:color w:val="1A1F2B"/>
                <w:sz w:val="20"/>
              </w:rPr>
              <w:t xml:space="preserve">'s policies were scoped entirely to the </w:t>
            </w:r>
            <w:r>
              <w:rPr>
                <w:rFonts w:ascii="Calibri" w:hAnsi="Calibri"/>
                <w:b w:val="0"/>
                <w:i/>
                <w:color w:val="1A1F2B"/>
                <w:sz w:val="20"/>
              </w:rPr>
              <w:t>app</w:t>
            </w:r>
            <w:r>
              <w:rPr>
                <w:rFonts w:ascii="Calibri" w:hAnsi="Calibri"/>
                <w:b w:val="0"/>
                <w:i w:val="0"/>
                <w:color w:val="1A1F2B"/>
                <w:sz w:val="20"/>
              </w:rPr>
              <w:t xml:space="preserve"> bucket (the infrastructure they manage) and never touched the </w:t>
            </w:r>
            <w:r>
              <w:rPr>
                <w:rFonts w:ascii="Calibri" w:hAnsi="Calibri"/>
                <w:b w:val="0"/>
                <w:i/>
                <w:color w:val="1A1F2B"/>
                <w:sz w:val="20"/>
              </w:rPr>
              <w:t>state</w:t>
            </w:r>
            <w:r>
              <w:rPr>
                <w:rFonts w:ascii="Calibri" w:hAnsi="Calibri"/>
                <w:b w:val="0"/>
                <w:i w:val="0"/>
                <w:color w:val="1A1F2B"/>
                <w:sz w:val="20"/>
              </w:rPr>
              <w:t xml:space="preserve"> bucket their own S3 backend runs against. Reading and locking the state object is a mechanical requirement of </w:t>
            </w:r>
            <w:r>
              <w:rPr>
                <w:rFonts w:ascii="Consolas" w:hAnsi="Consolas"/>
                <w:b w:val="0"/>
                <w:i w:val="0"/>
                <w:color w:val="1F4E57"/>
                <w:sz w:val="18"/>
              </w:rPr>
              <w:t>init</w:t>
            </w:r>
            <w:r>
              <w:rPr>
                <w:rFonts w:ascii="Calibri" w:hAnsi="Calibri"/>
                <w:b w:val="0"/>
                <w:i w:val="0"/>
                <w:color w:val="1A1F2B"/>
                <w:sz w:val="20"/>
              </w:rPr>
              <w:t>/</w:t>
            </w:r>
            <w:r>
              <w:rPr>
                <w:rFonts w:ascii="Consolas" w:hAnsi="Consolas"/>
                <w:b w:val="0"/>
                <w:i w:val="0"/>
                <w:color w:val="1F4E57"/>
                <w:sz w:val="18"/>
              </w:rPr>
              <w:t>plan</w:t>
            </w:r>
            <w:r>
              <w:rPr>
                <w:rFonts w:ascii="Calibri" w:hAnsi="Calibri"/>
                <w:b w:val="0"/>
                <w:i w:val="0"/>
                <w:color w:val="1A1F2B"/>
                <w:sz w:val="20"/>
              </w:rPr>
              <w:t>/</w:t>
            </w:r>
            <w:r>
              <w:rPr>
                <w:rFonts w:ascii="Consolas" w:hAnsi="Consolas"/>
                <w:b w:val="0"/>
                <w:i w:val="0"/>
                <w:color w:val="1F4E57"/>
                <w:sz w:val="18"/>
              </w:rPr>
              <w:t>apply</w:t>
            </w:r>
            <w:r>
              <w:rPr>
                <w:rFonts w:ascii="Calibri" w:hAnsi="Calibri"/>
                <w:b w:val="0"/>
                <w:i w:val="0"/>
                <w:color w:val="1A1F2B"/>
                <w:sz w:val="20"/>
              </w:rPr>
              <w:t xml:space="preserve"> alike, independent of which role is asking.</w:t>
            </w:r>
          </w:p>
        </w:tc>
      </w:tr>
    </w:tbl>
    <w:p>
      <w:pPr>
        <w:spacing w:after="80"/>
      </w:pPr>
    </w:p>
    <w:p>
      <w:pPr>
        <w:spacing w:after="140"/>
      </w:pPr>
      <w:r>
        <w:rPr>
          <w:rFonts w:ascii="Calibri" w:hAnsi="Calibri"/>
          <w:b w:val="0"/>
          <w:i w:val="0"/>
          <w:color w:val="1A1F2B"/>
          <w:sz w:val="21"/>
        </w:rPr>
        <w:t xml:space="preserve">Fixed with a policy shared by both roles, scoped to only the </w:t>
      </w:r>
      <w:r>
        <w:rPr>
          <w:rFonts w:ascii="Consolas" w:hAnsi="Consolas"/>
          <w:b w:val="0"/>
          <w:i w:val="0"/>
          <w:color w:val="1F4E57"/>
          <w:sz w:val="19"/>
        </w:rPr>
        <w:t>app/</w:t>
      </w:r>
      <w:r>
        <w:rPr>
          <w:rFonts w:ascii="Calibri" w:hAnsi="Calibri"/>
          <w:b w:val="0"/>
          <w:i w:val="0"/>
          <w:color w:val="1A1F2B"/>
          <w:sz w:val="21"/>
        </w:rPr>
        <w:t xml:space="preserve"> key prefix in the state bucket - explicitly never </w:t>
      </w:r>
      <w:r>
        <w:rPr>
          <w:rFonts w:ascii="Consolas" w:hAnsi="Consolas"/>
          <w:b w:val="0"/>
          <w:i w:val="0"/>
          <w:color w:val="1F4E57"/>
          <w:sz w:val="19"/>
        </w:rPr>
        <w:t>bootstrap/</w:t>
      </w:r>
      <w:r>
        <w:rPr>
          <w:rFonts w:ascii="Calibri" w:hAnsi="Calibri"/>
          <w:b w:val="0"/>
          <w:i w:val="0"/>
          <w:color w:val="1A1F2B"/>
          <w:sz w:val="21"/>
        </w:rPr>
        <w:t>, which stays off-limits to any CI identity regardless.</w:t>
      </w:r>
    </w:p>
    <w:p>
      <w:pPr>
        <w:pStyle w:val="Heading2"/>
      </w:pPr>
      <w:r>
        <w:t>6.4  `gitleaks` crashed on the CI runner - not a config problem, an upstream one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lint job's secret-detection hook, which had passed on every local run all session, crashed outright the first time it ran in GitHub Actions - a stack trace, not a finding.</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panic: wasm error: invalid table access</w:t>
            </w:r>
            <w:r>
              <w:rPr>
                <w:rFonts w:ascii="Calibri" w:hAnsi="Calibri"/>
                <w:b w:val="0"/>
                <w:i w:val="0"/>
                <w:color w:val="1A1F2B"/>
                <w:sz w:val="20"/>
              </w:rPr>
              <w:t xml:space="preserve"> inside </w:t>
            </w:r>
            <w:r>
              <w:rPr>
                <w:rFonts w:ascii="Consolas" w:hAnsi="Consolas"/>
                <w:b w:val="0"/>
                <w:i w:val="0"/>
                <w:color w:val="1F4E57"/>
                <w:sz w:val="18"/>
              </w:rPr>
              <w:t>wasilibs/go-re2</w:t>
            </w:r>
            <w:r>
              <w:rPr>
                <w:rFonts w:ascii="Calibri" w:hAnsi="Calibri"/>
                <w:b w:val="0"/>
                <w:i w:val="0"/>
                <w:color w:val="1A1F2B"/>
                <w:sz w:val="20"/>
              </w:rPr>
              <w:t xml:space="preserve">'s wazero-based regex engine, while </w:t>
            </w:r>
            <w:r>
              <w:rPr>
                <w:rFonts w:ascii="Consolas" w:hAnsi="Consolas"/>
                <w:b w:val="0"/>
                <w:i w:val="0"/>
                <w:color w:val="1F4E57"/>
                <w:sz w:val="18"/>
              </w:rPr>
              <w:t>gitleaks</w:t>
            </w:r>
            <w:r>
              <w:rPr>
                <w:rFonts w:ascii="Calibri" w:hAnsi="Calibri"/>
                <w:b w:val="0"/>
                <w:i w:val="0"/>
                <w:color w:val="1A1F2B"/>
                <w:sz w:val="20"/>
              </w:rPr>
              <w:t xml:space="preserve"> compiled its own config. A real, documented upstream incompatibility between Go 1.24 (what GitHub's runners now build tools with) and the wazero version the pinned </w:t>
            </w:r>
            <w:r>
              <w:rPr>
                <w:rFonts w:ascii="Consolas" w:hAnsi="Consolas"/>
                <w:b w:val="0"/>
                <w:i w:val="0"/>
                <w:color w:val="1F4E57"/>
                <w:sz w:val="18"/>
              </w:rPr>
              <w:t>gitleaks</w:t>
            </w:r>
            <w:r>
              <w:rPr>
                <w:rFonts w:ascii="Calibri" w:hAnsi="Calibri"/>
                <w:b w:val="0"/>
                <w:i w:val="0"/>
                <w:color w:val="1A1F2B"/>
                <w:sz w:val="20"/>
              </w:rPr>
              <w:t xml:space="preserve"> release (v8.23.1) was built against - confirmed against gitleaks' own issue tracker before touching anything.</w:t>
            </w:r>
          </w:p>
        </w:tc>
      </w:tr>
    </w:tbl>
    <w:p>
      <w:pPr>
        <w:spacing w:after="80"/>
      </w:pPr>
    </w:p>
    <w:p>
      <w:pPr>
        <w:spacing w:after="140"/>
      </w:pPr>
      <w:r>
        <w:rPr>
          <w:rFonts w:ascii="Calibri" w:hAnsi="Calibri"/>
          <w:b w:val="0"/>
          <w:i w:val="0"/>
          <w:color w:val="1A1F2B"/>
          <w:sz w:val="21"/>
        </w:rPr>
        <w:t>Bumped the pin to v8.30.1 (built against a patched wazero), verified locally that the hook runs clean, then confirmed the same fix held in CI.</w:t>
      </w:r>
    </w:p>
    <w:p>
      <w:pPr>
        <w:pStyle w:val="Heading2"/>
      </w:pPr>
      <w:r>
        <w:t>6.5  The Trivy gate did exactly its job: it found a real, fixable CRITICAL</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first full build-and-scan of the actual gateway image failed - not because the pipeline was broken, but because the gate is supposed to fail when it finds something real.</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3 CRITICAL and 54 HIGH findings against the pinned base image. One CRITICAL (</w:t>
            </w:r>
            <w:r>
              <w:rPr>
                <w:rFonts w:ascii="Consolas" w:hAnsi="Consolas"/>
                <w:b w:val="0"/>
                <w:i w:val="0"/>
                <w:color w:val="1F4E57"/>
                <w:sz w:val="18"/>
              </w:rPr>
              <w:t>perl-base</w:t>
            </w:r>
            <w:r>
              <w:rPr>
                <w:rFonts w:ascii="Calibri" w:hAnsi="Calibri"/>
                <w:b w:val="0"/>
                <w:i w:val="0"/>
                <w:color w:val="1A1F2B"/>
                <w:sz w:val="20"/>
              </w:rPr>
              <w:t xml:space="preserve">, CVE-2026-13221) had a fix already published upstream - the digest pinned back in M1 simply predated it. Re-pinned </w:t>
            </w:r>
            <w:r>
              <w:rPr>
                <w:rFonts w:ascii="Consolas" w:hAnsi="Consolas"/>
                <w:b w:val="0"/>
                <w:i w:val="0"/>
                <w:color w:val="1F4E57"/>
                <w:sz w:val="18"/>
              </w:rPr>
              <w:t>python:3.12-slim</w:t>
            </w:r>
            <w:r>
              <w:rPr>
                <w:rFonts w:ascii="Calibri" w:hAnsi="Calibri"/>
                <w:b w:val="0"/>
                <w:i w:val="0"/>
                <w:color w:val="1A1F2B"/>
                <w:sz w:val="20"/>
              </w:rPr>
              <w:t xml:space="preserve"> to its current digest (verified against Docker Hub's own tags API), which took CRITICAL to zero and HIGH from 54 to 44.</w:t>
            </w:r>
          </w:p>
        </w:tc>
      </w:tr>
    </w:tbl>
    <w:p>
      <w:pPr>
        <w:spacing w:after="80"/>
      </w:pPr>
    </w:p>
    <w:p>
      <w:pPr>
        <w:spacing w:after="140"/>
      </w:pPr>
      <w:r>
        <w:rPr>
          <w:rFonts w:ascii="Calibri" w:hAnsi="Calibri"/>
          <w:b w:val="0"/>
          <w:i w:val="0"/>
          <w:color w:val="1A1F2B"/>
          <w:sz w:val="21"/>
        </w:rPr>
        <w:t xml:space="preserve">The remaining 44 (8 unique CVEs) are genuinely unfixed upstream - re-pinning can't remove what Debian hasn't patched yet. Per the gate's own stated policy (ADR 0010), that's a reviewed </w:t>
      </w:r>
      <w:r>
        <w:rPr>
          <w:rFonts w:ascii="Consolas" w:hAnsi="Consolas"/>
          <w:b w:val="0"/>
          <w:i w:val="0"/>
          <w:color w:val="1F4E57"/>
          <w:sz w:val="19"/>
        </w:rPr>
        <w:t>.trivyignore</w:t>
      </w:r>
      <w:r>
        <w:rPr>
          <w:rFonts w:ascii="Calibri" w:hAnsi="Calibri"/>
          <w:b w:val="0"/>
          <w:i w:val="0"/>
          <w:color w:val="1A1F2B"/>
          <w:sz w:val="21"/>
        </w:rPr>
        <w:t xml:space="preserve"> entry, not a loosened gate: each of the eight is a base-OS package (</w:t>
      </w:r>
      <w:r>
        <w:rPr>
          <w:rFonts w:ascii="Consolas" w:hAnsi="Consolas"/>
          <w:b w:val="0"/>
          <w:i w:val="0"/>
          <w:color w:val="1F4E57"/>
          <w:sz w:val="19"/>
        </w:rPr>
        <w:t>ncurses</w:t>
      </w:r>
      <w:r>
        <w:rPr>
          <w:rFonts w:ascii="Calibri" w:hAnsi="Calibri"/>
          <w:b w:val="0"/>
          <w:i w:val="0"/>
          <w:color w:val="1A1F2B"/>
          <w:sz w:val="21"/>
        </w:rPr>
        <w:t xml:space="preserve">, </w:t>
      </w:r>
      <w:r>
        <w:rPr>
          <w:rFonts w:ascii="Consolas" w:hAnsi="Consolas"/>
          <w:b w:val="0"/>
          <w:i w:val="0"/>
          <w:color w:val="1F4E57"/>
          <w:sz w:val="19"/>
        </w:rPr>
        <w:t>systemd-homed</w:t>
      </w:r>
      <w:r>
        <w:rPr>
          <w:rFonts w:ascii="Calibri" w:hAnsi="Calibri"/>
          <w:b w:val="0"/>
          <w:i w:val="0"/>
          <w:color w:val="1A1F2B"/>
          <w:sz w:val="21"/>
        </w:rPr>
        <w:t xml:space="preserve">, </w:t>
      </w:r>
      <w:r>
        <w:rPr>
          <w:rFonts w:ascii="Consolas" w:hAnsi="Consolas"/>
          <w:b w:val="0"/>
          <w:i w:val="0"/>
          <w:color w:val="1F4E57"/>
          <w:sz w:val="19"/>
        </w:rPr>
        <w:t>libacl</w:t>
      </w:r>
      <w:r>
        <w:rPr>
          <w:rFonts w:ascii="Calibri" w:hAnsi="Calibri"/>
          <w:b w:val="0"/>
          <w:i w:val="0"/>
          <w:color w:val="1A1F2B"/>
          <w:sz w:val="21"/>
        </w:rPr>
        <w:t xml:space="preserve">, four </w:t>
      </w:r>
      <w:r>
        <w:rPr>
          <w:rFonts w:ascii="Consolas" w:hAnsi="Consolas"/>
          <w:b w:val="0"/>
          <w:i w:val="0"/>
          <w:color w:val="1F4E57"/>
          <w:sz w:val="19"/>
        </w:rPr>
        <w:t>util-linux</w:t>
      </w:r>
      <w:r>
        <w:rPr>
          <w:rFonts w:ascii="Calibri" w:hAnsi="Calibri"/>
          <w:b w:val="0"/>
          <w:i w:val="0"/>
          <w:color w:val="1A1F2B"/>
          <w:sz w:val="21"/>
        </w:rPr>
        <w:t xml:space="preserve"> CVEs, </w:t>
      </w:r>
      <w:r>
        <w:rPr>
          <w:rFonts w:ascii="Consolas" w:hAnsi="Consolas"/>
          <w:b w:val="0"/>
          <w:i w:val="0"/>
          <w:color w:val="1F4E57"/>
          <w:sz w:val="19"/>
        </w:rPr>
        <w:t>perl-Archive-Tar</w:t>
      </w:r>
      <w:r>
        <w:rPr>
          <w:rFonts w:ascii="Calibri" w:hAnsi="Calibri"/>
          <w:b w:val="0"/>
          <w:i w:val="0"/>
          <w:color w:val="1A1F2B"/>
          <w:sz w:val="21"/>
        </w:rPr>
        <w:t xml:space="preserve">) in a code path the gateway - FastAPI/uvicorn/httpx, non-root, no mount or cgroup capability - never touches. Verified locally with </w:t>
      </w:r>
      <w:r>
        <w:rPr>
          <w:rFonts w:ascii="Consolas" w:hAnsi="Consolas"/>
          <w:b w:val="0"/>
          <w:i w:val="0"/>
          <w:color w:val="1F4E57"/>
          <w:sz w:val="19"/>
        </w:rPr>
        <w:t>trivy image --ignorefile ...</w:t>
      </w:r>
      <w:r>
        <w:rPr>
          <w:rFonts w:ascii="Calibri" w:hAnsi="Calibri"/>
          <w:b w:val="0"/>
          <w:i w:val="0"/>
          <w:color w:val="1A1F2B"/>
          <w:sz w:val="21"/>
        </w:rPr>
        <w:t xml:space="preserve"> against the new digest before trusting the same file in CI: clean, exit 0.</w:t>
      </w: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THIS IS THE FINDING WORTH TAKING SERIOUSLY</w:t>
            </w:r>
          </w:p>
          <w:p>
            <w:pPr>
              <w:spacing w:before="0" w:after="80"/>
            </w:pPr>
            <w:r>
              <w:rPr>
                <w:rFonts w:ascii="Calibri" w:hAnsi="Calibri"/>
                <w:b w:val="0"/>
                <w:i w:val="0"/>
                <w:color w:val="1A1F2B"/>
                <w:sz w:val="20"/>
              </w:rPr>
              <w:t>A gate that never fails is decoration. This one fired on real content, on the first real run, for a reason a reviewer can check independently (the CVE ID, the fix version, the Debian changelog) - and the response was a genuine fix plus a genuinely justified, individually-reasoned exception list, not a threshold turned down until the noise stopped.</w:t>
            </w:r>
          </w:p>
        </w:tc>
      </w:tr>
    </w:tbl>
    <w:p>
      <w:pPr>
        <w:spacing w:after="40"/>
      </w:pPr>
    </w:p>
    <w:p>
      <w:pPr>
        <w:pStyle w:val="Heading2"/>
      </w:pPr>
      <w:r>
        <w:t>6.6  A brand-new registry package's first signature push was denied, then wasn't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image pushed to the registry successfully. Signing that exact same image, seconds later, in the same job, with the same credentials, was denied.</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cosign sign</w:t>
            </w:r>
            <w:r>
              <w:rPr>
                <w:rFonts w:ascii="Calibri" w:hAnsi="Calibri"/>
                <w:b w:val="0"/>
                <w:i w:val="0"/>
                <w:color w:val="1A1F2B"/>
                <w:sz w:val="20"/>
              </w:rPr>
              <w:t xml:space="preserve">: </w:t>
            </w:r>
            <w:r>
              <w:rPr>
                <w:rFonts w:ascii="Consolas" w:hAnsi="Consolas"/>
                <w:b w:val="0"/>
                <w:i w:val="0"/>
                <w:color w:val="1F4E57"/>
                <w:sz w:val="18"/>
              </w:rPr>
              <w:t>DENIED: permission_denied: write_package</w:t>
            </w:r>
            <w:r>
              <w:rPr>
                <w:rFonts w:ascii="Calibri" w:hAnsi="Calibri"/>
                <w:b w:val="0"/>
                <w:i w:val="0"/>
                <w:color w:val="1A1F2B"/>
                <w:sz w:val="20"/>
              </w:rPr>
              <w:t xml:space="preserve">, immediately after </w:t>
            </w:r>
            <w:r>
              <w:rPr>
                <w:rFonts w:ascii="Consolas" w:hAnsi="Consolas"/>
                <w:b w:val="0"/>
                <w:i w:val="0"/>
                <w:color w:val="1F4E57"/>
                <w:sz w:val="18"/>
              </w:rPr>
              <w:t>docker/build-push-action</w:t>
            </w:r>
            <w:r>
              <w:rPr>
                <w:rFonts w:ascii="Calibri" w:hAnsi="Calibri"/>
                <w:b w:val="0"/>
                <w:i w:val="0"/>
                <w:color w:val="1A1F2B"/>
                <w:sz w:val="20"/>
              </w:rPr>
              <w:t xml:space="preserve"> had already pushed the same image with the same </w:t>
            </w:r>
            <w:r>
              <w:rPr>
                <w:rFonts w:ascii="Consolas" w:hAnsi="Consolas"/>
                <w:b w:val="0"/>
                <w:i w:val="0"/>
                <w:color w:val="1F4E57"/>
                <w:sz w:val="18"/>
              </w:rPr>
              <w:t>GITHUB_TOKEN</w:t>
            </w:r>
            <w:r>
              <w:rPr>
                <w:rFonts w:ascii="Calibri" w:hAnsi="Calibri"/>
                <w:b w:val="0"/>
                <w:i w:val="0"/>
                <w:color w:val="1A1F2B"/>
                <w:sz w:val="20"/>
              </w:rPr>
              <w:t xml:space="preserve"> and the same </w:t>
            </w:r>
            <w:r>
              <w:rPr>
                <w:rFonts w:ascii="Consolas" w:hAnsi="Consolas"/>
                <w:b w:val="0"/>
                <w:i w:val="0"/>
                <w:color w:val="1F4E57"/>
                <w:sz w:val="18"/>
              </w:rPr>
              <w:t>packages: write</w:t>
            </w:r>
            <w:r>
              <w:rPr>
                <w:rFonts w:ascii="Calibri" w:hAnsi="Calibri"/>
                <w:b w:val="0"/>
                <w:i w:val="0"/>
                <w:color w:val="1A1F2B"/>
                <w:sz w:val="20"/>
              </w:rPr>
              <w:t xml:space="preserve"> permission. Checked whether the package was correctly linked to the repository and set to the expected visibility - it already was, on both counts, so this wasn't a settings gap. A plain re-run of the same job, no configuration changed, succeeded.</w:t>
            </w:r>
          </w:p>
        </w:tc>
      </w:tr>
    </w:tbl>
    <w:p>
      <w:pPr>
        <w:spacing w:after="80"/>
      </w:pPr>
    </w:p>
    <w:p>
      <w:pPr>
        <w:spacing w:after="140"/>
      </w:pPr>
      <w:r>
        <w:rPr>
          <w:rFonts w:ascii="Calibri" w:hAnsi="Calibri"/>
          <w:b w:val="0"/>
          <w:i w:val="0"/>
          <w:color w:val="1A1F2B"/>
          <w:sz w:val="21"/>
        </w:rPr>
        <w:t>Read as a brand-new package's write-permission propagation lagging its own creation by a few seconds within the same run - documented as a known quantity rather than chased further, since the fix (retry) is simple and the cause (a registry-side timing detail, not anything under this project's control) doesn't change any design decision here.</w:t>
      </w:r>
    </w:p>
    <w:p>
      <w:r>
        <w:br w:type="page"/>
      </w:r>
    </w:p>
    <w:p>
      <w:pPr>
        <w:pStyle w:val="Heading1"/>
        <w:pBdr>
          <w:bottom w:val="single" w:sz="8" w:space="6" w:color="0F626B"/>
        </w:pBdr>
      </w:pPr>
      <w:r>
        <w:t>7. What Was Done Differently, and Why</w:t>
      </w:r>
    </w:p>
    <w:tbl>
      <w:tblPr>
        <w:tblStyle w:val="TableGrid"/>
        <w:tblW w:type="auto" w:w="0"/>
        <w:jc w:val="center"/>
        <w:tblLayout w:type="fixed"/>
        <w:tblLook w:firstColumn="1" w:firstRow="1" w:lastColumn="0" w:lastRow="0" w:noHBand="0" w:noVBand="1" w:val="04A0"/>
      </w:tblPr>
      <w:tblGrid>
        <w:gridCol w:w="2364"/>
        <w:gridCol w:w="2364"/>
        <w:gridCol w:w="2364"/>
        <w:gridCol w:w="2364"/>
      </w:tblGrid>
      <w:tr>
        <w:trPr>
          <w:tblHeader/>
        </w:trPr>
        <w:tc>
          <w:tcPr>
            <w:tcW w:type="dxa" w:w="432"/>
            <w:shd w:val="clear" w:color="auto" w:fill="0F626B"/>
          </w:tcPr>
          <w:p>
            <w:pPr>
              <w:spacing w:before="40" w:after="40"/>
            </w:pPr>
            <w:r/>
            <w:r>
              <w:rPr>
                <w:rFonts w:ascii="Calibri" w:hAnsi="Calibri"/>
                <w:b/>
                <w:color w:val="FFFFFF"/>
                <w:sz w:val="18"/>
              </w:rPr>
              <w:t>#</w:t>
            </w:r>
          </w:p>
        </w:tc>
        <w:tc>
          <w:tcPr>
            <w:tcW w:type="dxa" w:w="2952"/>
            <w:shd w:val="clear" w:color="auto" w:fill="0F626B"/>
          </w:tcPr>
          <w:p>
            <w:pPr>
              <w:spacing w:before="40" w:after="40"/>
            </w:pPr>
            <w:r/>
            <w:r>
              <w:rPr>
                <w:rFonts w:ascii="Calibri" w:hAnsi="Calibri"/>
                <w:b/>
                <w:color w:val="FFFFFF"/>
                <w:sz w:val="18"/>
              </w:rPr>
              <w:t>The plan/assumption said</w:t>
            </w:r>
          </w:p>
        </w:tc>
        <w:tc>
          <w:tcPr>
            <w:tcW w:type="dxa" w:w="3384"/>
            <w:shd w:val="clear" w:color="auto" w:fill="0F626B"/>
          </w:tcPr>
          <w:p>
            <w:pPr>
              <w:spacing w:before="40" w:after="40"/>
            </w:pPr>
            <w:r/>
            <w:r>
              <w:rPr>
                <w:rFonts w:ascii="Calibri" w:hAnsi="Calibri"/>
                <w:b/>
                <w:color w:val="FFFFFF"/>
                <w:sz w:val="18"/>
              </w:rPr>
              <w:t>What was done instead</w:t>
            </w:r>
          </w:p>
        </w:tc>
        <w:tc>
          <w:tcPr>
            <w:tcW w:type="dxa" w:w="2376"/>
            <w:shd w:val="clear" w:color="auto" w:fill="0F626B"/>
          </w:tcPr>
          <w:p>
            <w:pPr>
              <w:spacing w:before="40" w:after="40"/>
            </w:pPr>
            <w:r/>
            <w:r>
              <w:rPr>
                <w:rFonts w:ascii="Calibri" w:hAnsi="Calibri"/>
                <w:b/>
                <w:color w:val="FFFFFF"/>
                <w:sz w:val="18"/>
              </w:rPr>
              <w:t>Why</w:t>
            </w:r>
          </w:p>
        </w:tc>
      </w:tr>
      <w:tr>
        <w:tc>
          <w:tcPr>
            <w:tcW w:type="dxa" w:w="432"/>
          </w:tcPr>
          <w:p>
            <w:pPr>
              <w:spacing w:before="40" w:after="40"/>
            </w:pPr>
            <w:r/>
            <w:r>
              <w:rPr>
                <w:rFonts w:ascii="Calibri" w:hAnsi="Calibri"/>
                <w:b w:val="0"/>
                <w:i w:val="0"/>
                <w:color w:val="1A1F2B"/>
                <w:sz w:val="19"/>
              </w:rPr>
              <w:t>1</w:t>
            </w:r>
          </w:p>
        </w:tc>
        <w:tc>
          <w:tcPr>
            <w:tcW w:type="dxa" w:w="2952"/>
          </w:tcPr>
          <w:p>
            <w:pPr>
              <w:spacing w:before="40" w:after="40"/>
            </w:pPr>
            <w:r/>
            <w:r>
              <w:rPr>
                <w:rFonts w:ascii="Calibri" w:hAnsi="Calibri"/>
                <w:b w:val="0"/>
                <w:i w:val="0"/>
                <w:color w:val="1A1F2B"/>
                <w:sz w:val="19"/>
              </w:rPr>
              <w:t>Terraform 1.16.1 (the existing pin)</w:t>
            </w:r>
          </w:p>
        </w:tc>
        <w:tc>
          <w:tcPr>
            <w:tcW w:type="dxa" w:w="3384"/>
          </w:tcPr>
          <w:p>
            <w:pPr>
              <w:spacing w:before="40" w:after="40"/>
            </w:pPr>
            <w:r/>
            <w:r>
              <w:rPr>
                <w:rFonts w:ascii="Calibri" w:hAnsi="Calibri"/>
                <w:b/>
                <w:i w:val="0"/>
                <w:color w:val="1A1F2B"/>
                <w:sz w:val="19"/>
              </w:rPr>
              <w:t>1.16.4</w:t>
            </w:r>
            <w:r>
              <w:rPr>
                <w:rFonts w:ascii="Calibri" w:hAnsi="Calibri"/>
                <w:b w:val="0"/>
                <w:i w:val="0"/>
                <w:color w:val="1A1F2B"/>
                <w:sz w:val="19"/>
              </w:rPr>
              <w:t>, and the local binary upgraded to match</w:t>
            </w:r>
          </w:p>
        </w:tc>
        <w:tc>
          <w:tcPr>
            <w:tcW w:type="dxa" w:w="2376"/>
          </w:tcPr>
          <w:p>
            <w:pPr>
              <w:spacing w:before="40" w:after="40"/>
            </w:pPr>
            <w:r/>
            <w:r>
              <w:rPr>
                <w:rFonts w:ascii="Calibri" w:hAnsi="Calibri"/>
                <w:b w:val="0"/>
                <w:i w:val="0"/>
                <w:color w:val="1A1F2B"/>
                <w:sz w:val="19"/>
              </w:rPr>
              <w:t>Checked against the live HashiCorp releases API while writing new Terraform, per the standing verify-before-pinning rule, and found the existing pin a release behind.</w:t>
            </w:r>
          </w:p>
        </w:tc>
      </w:tr>
      <w:tr>
        <w:tc>
          <w:tcPr>
            <w:tcW w:type="dxa" w:w="432"/>
            <w:shd w:val="clear" w:color="auto" w:fill="F2F6F7"/>
          </w:tcPr>
          <w:p>
            <w:pPr>
              <w:spacing w:before="40" w:after="40"/>
            </w:pPr>
            <w:r/>
            <w:r>
              <w:rPr>
                <w:rFonts w:ascii="Calibri" w:hAnsi="Calibri"/>
                <w:b w:val="0"/>
                <w:i w:val="0"/>
                <w:color w:val="1A1F2B"/>
                <w:sz w:val="19"/>
              </w:rPr>
              <w:t>2</w:t>
            </w:r>
          </w:p>
        </w:tc>
        <w:tc>
          <w:tcPr>
            <w:tcW w:type="dxa" w:w="2952"/>
            <w:shd w:val="clear" w:color="auto" w:fill="F2F6F7"/>
          </w:tcPr>
          <w:p>
            <w:pPr>
              <w:spacing w:before="40" w:after="40"/>
            </w:pPr>
            <w:r/>
            <w:r>
              <w:rPr>
                <w:rFonts w:ascii="Calibri" w:hAnsi="Calibri"/>
                <w:b w:val="0"/>
                <w:i w:val="0"/>
                <w:color w:val="1A1F2B"/>
                <w:sz w:val="19"/>
              </w:rPr>
              <w:t>The AWS CLI's existing profiles could be used or repaired</w:t>
            </w:r>
          </w:p>
        </w:tc>
        <w:tc>
          <w:tcPr>
            <w:tcW w:type="dxa" w:w="3384"/>
            <w:shd w:val="clear" w:color="auto" w:fill="F2F6F7"/>
          </w:tcPr>
          <w:p>
            <w:pPr>
              <w:spacing w:before="40" w:after="40"/>
            </w:pPr>
            <w:r/>
            <w:r>
              <w:rPr>
                <w:rFonts w:ascii="Calibri" w:hAnsi="Calibri"/>
                <w:b/>
                <w:i w:val="0"/>
                <w:color w:val="1A1F2B"/>
                <w:sz w:val="19"/>
              </w:rPr>
              <w:t>A fresh IAM user (</w:t>
            </w:r>
            <w:r>
              <w:rPr>
                <w:rFonts w:ascii="Consolas" w:hAnsi="Consolas"/>
                <w:b/>
                <w:i w:val="0"/>
                <w:color w:val="1F4E57"/>
                <w:sz w:val="17"/>
              </w:rPr>
              <w:t>palisade-bootstrap</w:t>
            </w:r>
            <w:r>
              <w:rPr>
                <w:rFonts w:ascii="Calibri" w:hAnsi="Calibri"/>
                <w:b/>
                <w:i w:val="0"/>
                <w:color w:val="1A1F2B"/>
                <w:sz w:val="19"/>
              </w:rPr>
              <w:t>) created from scratch</w:t>
            </w:r>
          </w:p>
        </w:tc>
        <w:tc>
          <w:tcPr>
            <w:tcW w:type="dxa" w:w="2376"/>
            <w:shd w:val="clear" w:color="auto" w:fill="F2F6F7"/>
          </w:tcPr>
          <w:p>
            <w:pPr>
              <w:spacing w:before="40" w:after="40"/>
            </w:pPr>
            <w:r/>
            <w:r>
              <w:rPr>
                <w:rFonts w:ascii="Calibri" w:hAnsi="Calibri"/>
                <w:b w:val="0"/>
                <w:i w:val="0"/>
                <w:color w:val="1A1F2B"/>
                <w:sz w:val="19"/>
              </w:rPr>
              <w:t>The default profile's keys were dead and an existing SSO profile belonged to a different, unrecoverable login - §5.1.</w:t>
            </w:r>
          </w:p>
        </w:tc>
      </w:tr>
      <w:tr>
        <w:tc>
          <w:tcPr>
            <w:tcW w:type="dxa" w:w="432"/>
          </w:tcPr>
          <w:p>
            <w:pPr>
              <w:spacing w:before="40" w:after="40"/>
            </w:pPr>
            <w:r/>
            <w:r>
              <w:rPr>
                <w:rFonts w:ascii="Calibri" w:hAnsi="Calibri"/>
                <w:b w:val="0"/>
                <w:i w:val="0"/>
                <w:color w:val="1A1F2B"/>
                <w:sz w:val="19"/>
              </w:rPr>
              <w:t>3</w:t>
            </w:r>
          </w:p>
        </w:tc>
        <w:tc>
          <w:tcPr>
            <w:tcW w:type="dxa" w:w="2952"/>
          </w:tcPr>
          <w:p>
            <w:pPr>
              <w:spacing w:before="40" w:after="40"/>
            </w:pPr>
            <w:r/>
            <w:r>
              <w:rPr>
                <w:rFonts w:ascii="Calibri" w:hAnsi="Calibri"/>
                <w:b w:val="0"/>
                <w:i w:val="0"/>
                <w:color w:val="1A1F2B"/>
                <w:sz w:val="19"/>
              </w:rPr>
              <w:t>CLAUDE.md named a specific missing OAuth scope as the CI blocker</w:t>
            </w:r>
          </w:p>
        </w:tc>
        <w:tc>
          <w:tcPr>
            <w:tcW w:type="dxa" w:w="3384"/>
          </w:tcPr>
          <w:p>
            <w:pPr>
              <w:spacing w:before="40" w:after="40"/>
            </w:pPr>
            <w:r/>
            <w:r>
              <w:rPr>
                <w:rFonts w:ascii="Calibri" w:hAnsi="Calibri"/>
                <w:b/>
                <w:i w:val="0"/>
                <w:color w:val="1A1F2B"/>
                <w:sz w:val="19"/>
              </w:rPr>
              <w:t>No remediation needed - the assumption was stale</w:t>
            </w:r>
          </w:p>
        </w:tc>
        <w:tc>
          <w:tcPr>
            <w:tcW w:type="dxa" w:w="2376"/>
          </w:tcPr>
          <w:p>
            <w:pPr>
              <w:spacing w:before="40" w:after="40"/>
            </w:pPr>
            <w:r/>
            <w:r>
              <w:rPr>
                <w:rFonts w:ascii="Calibri" w:hAnsi="Calibri"/>
                <w:b w:val="0"/>
                <w:i w:val="0"/>
                <w:color w:val="1A1F2B"/>
                <w:sz w:val="19"/>
              </w:rPr>
              <w:t>Tested empirically with a throwaway probe workflow before trusting the note - §5.1.</w:t>
            </w:r>
          </w:p>
        </w:tc>
      </w:tr>
      <w:tr>
        <w:tc>
          <w:tcPr>
            <w:tcW w:type="dxa" w:w="432"/>
            <w:shd w:val="clear" w:color="auto" w:fill="F2F6F7"/>
          </w:tcPr>
          <w:p>
            <w:pPr>
              <w:spacing w:before="40" w:after="40"/>
            </w:pPr>
            <w:r/>
            <w:r>
              <w:rPr>
                <w:rFonts w:ascii="Calibri" w:hAnsi="Calibri"/>
                <w:b w:val="0"/>
                <w:i w:val="0"/>
                <w:color w:val="1A1F2B"/>
                <w:sz w:val="19"/>
              </w:rPr>
              <w:t>4</w:t>
            </w:r>
          </w:p>
        </w:tc>
        <w:tc>
          <w:tcPr>
            <w:tcW w:type="dxa" w:w="2952"/>
            <w:shd w:val="clear" w:color="auto" w:fill="F2F6F7"/>
          </w:tcPr>
          <w:p>
            <w:pPr>
              <w:spacing w:before="40" w:after="40"/>
            </w:pPr>
            <w:r/>
            <w:r>
              <w:rPr>
                <w:rFonts w:ascii="Calibri" w:hAnsi="Calibri"/>
                <w:b w:val="0"/>
                <w:i w:val="0"/>
                <w:color w:val="1A1F2B"/>
                <w:sz w:val="19"/>
              </w:rPr>
              <w:t xml:space="preserve">OIDC trust policy written as </w:t>
            </w:r>
            <w:r>
              <w:rPr>
                <w:rFonts w:ascii="Consolas" w:hAnsi="Consolas"/>
                <w:b w:val="0"/>
                <w:i w:val="0"/>
                <w:color w:val="1F4E57"/>
                <w:sz w:val="17"/>
              </w:rPr>
              <w:t>repo:owner/repo:...</w:t>
            </w:r>
          </w:p>
        </w:tc>
        <w:tc>
          <w:tcPr>
            <w:tcW w:type="dxa" w:w="3384"/>
            <w:shd w:val="clear" w:color="auto" w:fill="F2F6F7"/>
          </w:tcPr>
          <w:p>
            <w:pPr>
              <w:spacing w:before="40" w:after="40"/>
            </w:pPr>
            <w:r/>
            <w:r>
              <w:rPr>
                <w:rFonts w:ascii="Calibri" w:hAnsi="Calibri"/>
                <w:b/>
                <w:i w:val="0"/>
                <w:color w:val="1A1F2B"/>
                <w:sz w:val="19"/>
              </w:rPr>
              <w:t xml:space="preserve">Rewritten to GitHub's immutable </w:t>
            </w:r>
            <w:r>
              <w:rPr>
                <w:rFonts w:ascii="Consolas" w:hAnsi="Consolas"/>
                <w:b/>
                <w:i w:val="0"/>
                <w:color w:val="1F4E57"/>
                <w:sz w:val="17"/>
              </w:rPr>
              <w:t>repo:owner@id/repo@id:...</w:t>
            </w:r>
            <w:r>
              <w:rPr>
                <w:rFonts w:ascii="Calibri" w:hAnsi="Calibri"/>
                <w:b/>
                <w:i w:val="0"/>
                <w:color w:val="1A1F2B"/>
                <w:sz w:val="19"/>
              </w:rPr>
              <w:t xml:space="preserve"> format</w:t>
            </w:r>
          </w:p>
        </w:tc>
        <w:tc>
          <w:tcPr>
            <w:tcW w:type="dxa" w:w="2376"/>
            <w:shd w:val="clear" w:color="auto" w:fill="F2F6F7"/>
          </w:tcPr>
          <w:p>
            <w:pPr>
              <w:spacing w:before="40" w:after="40"/>
            </w:pPr>
            <w:r/>
            <w:r>
              <w:rPr>
                <w:rFonts w:ascii="Calibri" w:hAnsi="Calibri"/>
                <w:b w:val="0"/>
                <w:i w:val="0"/>
                <w:color w:val="1A1F2B"/>
                <w:sz w:val="19"/>
              </w:rPr>
              <w:t>This repository defaults to it (a newly-created repository defaults to it) - discovered via a real denied assume-role - §6.1.</w:t>
            </w:r>
          </w:p>
        </w:tc>
      </w:tr>
      <w:tr>
        <w:tc>
          <w:tcPr>
            <w:tcW w:type="dxa" w:w="432"/>
          </w:tcPr>
          <w:p>
            <w:pPr>
              <w:spacing w:before="40" w:after="40"/>
            </w:pPr>
            <w:r/>
            <w:r>
              <w:rPr>
                <w:rFonts w:ascii="Calibri" w:hAnsi="Calibri"/>
                <w:b w:val="0"/>
                <w:i w:val="0"/>
                <w:color w:val="1A1F2B"/>
                <w:sz w:val="19"/>
              </w:rPr>
              <w:t>5</w:t>
            </w:r>
          </w:p>
        </w:tc>
        <w:tc>
          <w:tcPr>
            <w:tcW w:type="dxa" w:w="2952"/>
          </w:tcPr>
          <w:p>
            <w:pPr>
              <w:spacing w:before="40" w:after="40"/>
            </w:pPr>
            <w:r/>
            <w:r>
              <w:rPr>
                <w:rFonts w:ascii="Calibri" w:hAnsi="Calibri"/>
                <w:b w:val="0"/>
                <w:i w:val="0"/>
                <w:color w:val="1A1F2B"/>
                <w:sz w:val="19"/>
              </w:rPr>
              <w:t>IAM policies enumerated the specific S3 Get actions expected to be needed</w:t>
            </w:r>
          </w:p>
        </w:tc>
        <w:tc>
          <w:tcPr>
            <w:tcW w:type="dxa" w:w="3384"/>
          </w:tcPr>
          <w:p>
            <w:pPr>
              <w:spacing w:before="40" w:after="40"/>
            </w:pPr>
            <w:r/>
            <w:r>
              <w:rPr>
                <w:rFonts w:ascii="Calibri" w:hAnsi="Calibri"/>
                <w:b/>
                <w:i w:val="0"/>
                <w:color w:val="1A1F2B"/>
                <w:sz w:val="19"/>
              </w:rPr>
              <w:t xml:space="preserve">Broadened to </w:t>
            </w:r>
            <w:r>
              <w:rPr>
                <w:rFonts w:ascii="Consolas" w:hAnsi="Consolas"/>
                <w:b/>
                <w:i w:val="0"/>
                <w:color w:val="1F4E57"/>
                <w:sz w:val="17"/>
              </w:rPr>
              <w:t>s3:Get*</w:t>
            </w:r>
            <w:r>
              <w:rPr>
                <w:rFonts w:ascii="Calibri" w:hAnsi="Calibri"/>
                <w:b/>
                <w:i w:val="0"/>
                <w:color w:val="1A1F2B"/>
                <w:sz w:val="19"/>
              </w:rPr>
              <w:t>/</w:t>
            </w:r>
            <w:r>
              <w:rPr>
                <w:rFonts w:ascii="Consolas" w:hAnsi="Consolas"/>
                <w:b/>
                <w:i w:val="0"/>
                <w:color w:val="1F4E57"/>
                <w:sz w:val="17"/>
              </w:rPr>
              <w:t>s3:List*</w:t>
            </w:r>
            <w:r>
              <w:rPr>
                <w:rFonts w:ascii="Calibri" w:hAnsi="Calibri"/>
                <w:b/>
                <w:i w:val="0"/>
                <w:color w:val="1A1F2B"/>
                <w:sz w:val="19"/>
              </w:rPr>
              <w:t>, plus explicit state-bucket access</w:t>
            </w:r>
          </w:p>
        </w:tc>
        <w:tc>
          <w:tcPr>
            <w:tcW w:type="dxa" w:w="2376"/>
          </w:tcPr>
          <w:p>
            <w:pPr>
              <w:spacing w:before="40" w:after="40"/>
            </w:pPr>
            <w:r/>
            <w:r>
              <w:rPr>
                <w:rFonts w:ascii="Calibri" w:hAnsi="Calibri"/>
                <w:b w:val="0"/>
                <w:i w:val="0"/>
                <w:color w:val="1A1F2B"/>
                <w:sz w:val="19"/>
              </w:rPr>
              <w:t xml:space="preserve">The AWS provider's </w:t>
            </w:r>
            <w:r>
              <w:rPr>
                <w:rFonts w:ascii="Consolas" w:hAnsi="Consolas"/>
                <w:b w:val="0"/>
                <w:i w:val="0"/>
                <w:color w:val="1F4E57"/>
                <w:sz w:val="17"/>
              </w:rPr>
              <w:t>aws_s3_bucket</w:t>
            </w:r>
            <w:r>
              <w:rPr>
                <w:rFonts w:ascii="Calibri" w:hAnsi="Calibri"/>
                <w:b w:val="0"/>
                <w:i w:val="0"/>
                <w:color w:val="1A1F2B"/>
                <w:sz w:val="19"/>
              </w:rPr>
              <w:t xml:space="preserve"> resource reads back far more than initially anticipated, and state-bucket access was missing entirely - §6.2, §6.3.</w:t>
            </w:r>
          </w:p>
        </w:tc>
      </w:tr>
      <w:tr>
        <w:tc>
          <w:tcPr>
            <w:tcW w:type="dxa" w:w="432"/>
            <w:shd w:val="clear" w:color="auto" w:fill="F2F6F7"/>
          </w:tcPr>
          <w:p>
            <w:pPr>
              <w:spacing w:before="40" w:after="40"/>
            </w:pPr>
            <w:r/>
            <w:r>
              <w:rPr>
                <w:rFonts w:ascii="Calibri" w:hAnsi="Calibri"/>
                <w:b w:val="0"/>
                <w:i w:val="0"/>
                <w:color w:val="1A1F2B"/>
                <w:sz w:val="19"/>
              </w:rPr>
              <w:t>6</w:t>
            </w:r>
          </w:p>
        </w:tc>
        <w:tc>
          <w:tcPr>
            <w:tcW w:type="dxa" w:w="2952"/>
            <w:shd w:val="clear" w:color="auto" w:fill="F2F6F7"/>
          </w:tcPr>
          <w:p>
            <w:pPr>
              <w:spacing w:before="40" w:after="40"/>
            </w:pPr>
            <w:r/>
            <w:r>
              <w:rPr>
                <w:rFonts w:ascii="Consolas" w:hAnsi="Consolas"/>
                <w:b w:val="0"/>
                <w:i w:val="0"/>
                <w:color w:val="1F4E57"/>
                <w:sz w:val="17"/>
              </w:rPr>
              <w:t>gitleaks</w:t>
            </w:r>
            <w:r>
              <w:rPr>
                <w:rFonts w:ascii="Calibri" w:hAnsi="Calibri"/>
                <w:b w:val="0"/>
                <w:i w:val="0"/>
                <w:color w:val="1A1F2B"/>
                <w:sz w:val="19"/>
              </w:rPr>
              <w:t xml:space="preserve"> pinned at the version already in </w:t>
            </w:r>
            <w:r>
              <w:rPr>
                <w:rFonts w:ascii="Consolas" w:hAnsi="Consolas"/>
                <w:b w:val="0"/>
                <w:i w:val="0"/>
                <w:color w:val="1F4E57"/>
                <w:sz w:val="17"/>
              </w:rPr>
              <w:t>.pre-commit-config.yaml</w:t>
            </w:r>
          </w:p>
        </w:tc>
        <w:tc>
          <w:tcPr>
            <w:tcW w:type="dxa" w:w="3384"/>
            <w:shd w:val="clear" w:color="auto" w:fill="F2F6F7"/>
          </w:tcPr>
          <w:p>
            <w:pPr>
              <w:spacing w:before="40" w:after="40"/>
            </w:pPr>
            <w:r/>
            <w:r>
              <w:rPr>
                <w:rFonts w:ascii="Calibri" w:hAnsi="Calibri"/>
                <w:b/>
                <w:i w:val="0"/>
                <w:color w:val="1A1F2B"/>
                <w:sz w:val="19"/>
              </w:rPr>
              <w:t>Bumped to v8.30.1</w:t>
            </w:r>
          </w:p>
        </w:tc>
        <w:tc>
          <w:tcPr>
            <w:tcW w:type="dxa" w:w="2376"/>
            <w:shd w:val="clear" w:color="auto" w:fill="F2F6F7"/>
          </w:tcPr>
          <w:p>
            <w:pPr>
              <w:spacing w:before="40" w:after="40"/>
            </w:pPr>
            <w:r/>
            <w:r>
              <w:rPr>
                <w:rFonts w:ascii="Calibri" w:hAnsi="Calibri"/>
                <w:b w:val="0"/>
                <w:i w:val="0"/>
                <w:color w:val="1A1F2B"/>
                <w:sz w:val="19"/>
              </w:rPr>
              <w:t>The existing pin crashes under Go 1.24, a real upstream incompatibility unrelated to this project's own config - §6.4.</w:t>
            </w:r>
          </w:p>
        </w:tc>
      </w:tr>
      <w:tr>
        <w:tc>
          <w:tcPr>
            <w:tcW w:type="dxa" w:w="432"/>
          </w:tcPr>
          <w:p>
            <w:pPr>
              <w:spacing w:before="40" w:after="40"/>
            </w:pPr>
            <w:r/>
            <w:r>
              <w:rPr>
                <w:rFonts w:ascii="Calibri" w:hAnsi="Calibri"/>
                <w:b w:val="0"/>
                <w:i w:val="0"/>
                <w:color w:val="1A1F2B"/>
                <w:sz w:val="19"/>
              </w:rPr>
              <w:t>7</w:t>
            </w:r>
          </w:p>
        </w:tc>
        <w:tc>
          <w:tcPr>
            <w:tcW w:type="dxa" w:w="2952"/>
          </w:tcPr>
          <w:p>
            <w:pPr>
              <w:spacing w:before="40" w:after="40"/>
            </w:pPr>
            <w:r/>
            <w:r>
              <w:rPr>
                <w:rFonts w:ascii="Calibri" w:hAnsi="Calibri"/>
                <w:b w:val="0"/>
                <w:i w:val="0"/>
                <w:color w:val="1A1F2B"/>
                <w:sz w:val="19"/>
              </w:rPr>
              <w:t>The base image pinned in M1 was assumed still current</w:t>
            </w:r>
          </w:p>
        </w:tc>
        <w:tc>
          <w:tcPr>
            <w:tcW w:type="dxa" w:w="3384"/>
          </w:tcPr>
          <w:p>
            <w:pPr>
              <w:spacing w:before="40" w:after="40"/>
            </w:pPr>
            <w:r/>
            <w:r>
              <w:rPr>
                <w:rFonts w:ascii="Calibri" w:hAnsi="Calibri"/>
                <w:b/>
                <w:i w:val="0"/>
                <w:color w:val="1A1F2B"/>
                <w:sz w:val="19"/>
              </w:rPr>
              <w:t xml:space="preserve">Re-pinned to the current </w:t>
            </w:r>
            <w:r>
              <w:rPr>
                <w:rFonts w:ascii="Consolas" w:hAnsi="Consolas"/>
                <w:b/>
                <w:i w:val="0"/>
                <w:color w:val="1F4E57"/>
                <w:sz w:val="17"/>
              </w:rPr>
              <w:t>python:3.12-slim</w:t>
            </w:r>
            <w:r>
              <w:rPr>
                <w:rFonts w:ascii="Calibri" w:hAnsi="Calibri"/>
                <w:b/>
                <w:i w:val="0"/>
                <w:color w:val="1A1F2B"/>
                <w:sz w:val="19"/>
              </w:rPr>
              <w:t xml:space="preserve"> digest</w:t>
            </w:r>
          </w:p>
        </w:tc>
        <w:tc>
          <w:tcPr>
            <w:tcW w:type="dxa" w:w="2376"/>
          </w:tcPr>
          <w:p>
            <w:pPr>
              <w:spacing w:before="40" w:after="40"/>
            </w:pPr>
            <w:r/>
            <w:r>
              <w:rPr>
                <w:rFonts w:ascii="Calibri" w:hAnsi="Calibri"/>
                <w:b w:val="0"/>
                <w:i w:val="0"/>
                <w:color w:val="1A1F2B"/>
                <w:sz w:val="19"/>
              </w:rPr>
              <w:t>A real, fixed CRITICAL CVE was shipping in the stale pin - §6.5.</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A DEVIATION WORTH MORE THAN THE ORIGINAL PLAN</w:t>
            </w:r>
          </w:p>
          <w:p>
            <w:pPr>
              <w:spacing w:before="0" w:after="80"/>
            </w:pPr>
            <w:r>
              <w:rPr>
                <w:rFonts w:ascii="Calibri" w:hAnsi="Calibri"/>
                <w:b w:val="0"/>
                <w:i w:val="0"/>
                <w:color w:val="1A1F2B"/>
                <w:sz w:val="20"/>
              </w:rPr>
              <w:t xml:space="preserve">Every single deviation above exists only because something was actually run against real infrastructure instead of assumed to work once it looked right on paper. That is the same lesson M0 and M1 each learned at a different layer: </w:t>
            </w:r>
            <w:r>
              <w:rPr>
                <w:rFonts w:ascii="Calibri" w:hAnsi="Calibri"/>
                <w:b/>
                <w:i w:val="0"/>
                <w:color w:val="1A1F2B"/>
                <w:sz w:val="20"/>
              </w:rPr>
              <w:t>the interesting engineering content lives in the gap between "should work" and "does work."</w:t>
            </w:r>
          </w:p>
        </w:tc>
      </w:tr>
    </w:tbl>
    <w:p>
      <w:pPr>
        <w:spacing w:after="40"/>
      </w:pPr>
    </w:p>
    <w:p>
      <w:r>
        <w:br w:type="page"/>
      </w:r>
    </w:p>
    <w:p>
      <w:pPr>
        <w:pStyle w:val="Heading1"/>
        <w:pBdr>
          <w:bottom w:val="single" w:sz="8" w:space="6" w:color="0F626B"/>
        </w:pBdr>
      </w:pPr>
      <w:r>
        <w:t>8. Tool Choices - What Was Picked and What Was Rejected</w:t>
      </w:r>
    </w:p>
    <w:p>
      <w:pPr>
        <w:spacing w:after="140"/>
      </w:pPr>
      <w:r>
        <w:rPr>
          <w:rFonts w:ascii="Calibri" w:hAnsi="Calibri"/>
          <w:b w:val="0"/>
          <w:i w:val="0"/>
          <w:color w:val="1A1F2B"/>
          <w:sz w:val="21"/>
        </w:rPr>
        <w:t>Full reasoning for the registry, signing, state-bootstrap and severity-gate decisions lives in dedicated ADRs (0007-0010) rather than only here, since M3-M5 will keep referring back to them.</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160"/>
            <w:shd w:val="clear" w:color="auto" w:fill="0F626B"/>
          </w:tcPr>
          <w:p>
            <w:pPr>
              <w:spacing w:before="40" w:after="40"/>
            </w:pPr>
            <w:r/>
            <w:r>
              <w:rPr>
                <w:rFonts w:ascii="Calibri" w:hAnsi="Calibri"/>
                <w:b/>
                <w:color w:val="FFFFFF"/>
                <w:sz w:val="18"/>
              </w:rPr>
              <w:t>Decision</w:t>
            </w:r>
          </w:p>
        </w:tc>
        <w:tc>
          <w:tcPr>
            <w:tcW w:type="dxa" w:w="2664"/>
            <w:shd w:val="clear" w:color="auto" w:fill="0F626B"/>
          </w:tcPr>
          <w:p>
            <w:pPr>
              <w:spacing w:before="40" w:after="40"/>
            </w:pPr>
            <w:r/>
            <w:r>
              <w:rPr>
                <w:rFonts w:ascii="Calibri" w:hAnsi="Calibri"/>
                <w:b/>
                <w:color w:val="FFFFFF"/>
                <w:sz w:val="18"/>
              </w:rPr>
              <w:t>Chosen</w:t>
            </w:r>
          </w:p>
        </w:tc>
        <w:tc>
          <w:tcPr>
            <w:tcW w:type="dxa" w:w="4536"/>
            <w:shd w:val="clear" w:color="auto" w:fill="0F626B"/>
          </w:tcPr>
          <w:p>
            <w:pPr>
              <w:spacing w:before="40" w:after="40"/>
            </w:pPr>
            <w:r/>
            <w:r>
              <w:rPr>
                <w:rFonts w:ascii="Calibri" w:hAnsi="Calibri"/>
                <w:b/>
                <w:color w:val="FFFFFF"/>
                <w:sz w:val="18"/>
              </w:rPr>
              <w:t>Rejected, and why</w:t>
            </w:r>
          </w:p>
        </w:tc>
      </w:tr>
      <w:tr>
        <w:tc>
          <w:tcPr>
            <w:tcW w:type="dxa" w:w="2160"/>
          </w:tcPr>
          <w:p>
            <w:pPr>
              <w:spacing w:before="40" w:after="40"/>
            </w:pPr>
            <w:r/>
            <w:r>
              <w:rPr>
                <w:rFonts w:ascii="Calibri" w:hAnsi="Calibri"/>
                <w:b w:val="0"/>
                <w:i w:val="0"/>
                <w:color w:val="1A1F2B"/>
                <w:sz w:val="19"/>
              </w:rPr>
              <w:t>Container registry</w:t>
            </w:r>
          </w:p>
        </w:tc>
        <w:tc>
          <w:tcPr>
            <w:tcW w:type="dxa" w:w="2664"/>
          </w:tcPr>
          <w:p>
            <w:pPr>
              <w:spacing w:before="40" w:after="40"/>
            </w:pPr>
            <w:r/>
            <w:r>
              <w:rPr>
                <w:rFonts w:ascii="Calibri" w:hAnsi="Calibri"/>
                <w:b/>
                <w:i w:val="0"/>
                <w:color w:val="1A1F2B"/>
                <w:sz w:val="19"/>
              </w:rPr>
              <w:t>ghcr.io</w:t>
            </w:r>
            <w:r>
              <w:rPr>
                <w:rFonts w:ascii="Calibri" w:hAnsi="Calibri"/>
                <w:b w:val="0"/>
                <w:i w:val="0"/>
                <w:color w:val="1A1F2B"/>
                <w:sz w:val="19"/>
              </w:rPr>
              <w:t xml:space="preserve"> (ADR 0007)</w:t>
            </w:r>
          </w:p>
        </w:tc>
        <w:tc>
          <w:tcPr>
            <w:tcW w:type="dxa" w:w="4536"/>
          </w:tcPr>
          <w:p>
            <w:pPr>
              <w:spacing w:before="40" w:after="40"/>
            </w:pPr>
            <w:r/>
            <w:r>
              <w:rPr>
                <w:rFonts w:ascii="Calibri" w:hAnsi="Calibri"/>
                <w:b/>
                <w:i w:val="0"/>
                <w:color w:val="1A1F2B"/>
                <w:sz w:val="19"/>
              </w:rPr>
              <w:t>Docker Hub</w:t>
            </w:r>
            <w:r>
              <w:rPr>
                <w:rFonts w:ascii="Calibri" w:hAnsi="Calibri"/>
                <w:b w:val="0"/>
                <w:i w:val="0"/>
                <w:color w:val="1A1F2B"/>
                <w:sz w:val="19"/>
              </w:rPr>
              <w:t xml:space="preserve"> - would need a separate registry credential stored as a GitHub secret, exactly the kind of long-lived credential this milestone exists to eliminate.</w:t>
            </w:r>
          </w:p>
        </w:tc>
      </w:tr>
      <w:tr>
        <w:tc>
          <w:tcPr>
            <w:tcW w:type="dxa" w:w="2160"/>
            <w:shd w:val="clear" w:color="auto" w:fill="F2F6F7"/>
          </w:tcPr>
          <w:p>
            <w:pPr>
              <w:spacing w:before="40" w:after="40"/>
            </w:pPr>
            <w:r/>
            <w:r>
              <w:rPr>
                <w:rFonts w:ascii="Calibri" w:hAnsi="Calibri"/>
                <w:b w:val="0"/>
                <w:i w:val="0"/>
                <w:color w:val="1A1F2B"/>
                <w:sz w:val="19"/>
              </w:rPr>
              <w:t>Image signing</w:t>
            </w:r>
          </w:p>
        </w:tc>
        <w:tc>
          <w:tcPr>
            <w:tcW w:type="dxa" w:w="2664"/>
            <w:shd w:val="clear" w:color="auto" w:fill="F2F6F7"/>
          </w:tcPr>
          <w:p>
            <w:pPr>
              <w:spacing w:before="40" w:after="40"/>
            </w:pPr>
            <w:r/>
            <w:r>
              <w:rPr>
                <w:rFonts w:ascii="Calibri" w:hAnsi="Calibri"/>
                <w:b/>
                <w:i w:val="0"/>
                <w:color w:val="1A1F2B"/>
                <w:sz w:val="19"/>
              </w:rPr>
              <w:t>cosign keyless, via Sigstore/Fulcio/Rekor</w:t>
            </w:r>
            <w:r>
              <w:rPr>
                <w:rFonts w:ascii="Calibri" w:hAnsi="Calibri"/>
                <w:b w:val="0"/>
                <w:i w:val="0"/>
                <w:color w:val="1A1F2B"/>
                <w:sz w:val="19"/>
              </w:rPr>
              <w:t xml:space="preserve"> (ADR 0008)</w:t>
            </w:r>
          </w:p>
        </w:tc>
        <w:tc>
          <w:tcPr>
            <w:tcW w:type="dxa" w:w="4536"/>
            <w:shd w:val="clear" w:color="auto" w:fill="F2F6F7"/>
          </w:tcPr>
          <w:p>
            <w:pPr>
              <w:spacing w:before="40" w:after="40"/>
            </w:pPr>
            <w:r/>
            <w:r>
              <w:rPr>
                <w:rFonts w:ascii="Calibri" w:hAnsi="Calibri"/>
                <w:b/>
                <w:i w:val="0"/>
                <w:color w:val="1A1F2B"/>
                <w:sz w:val="19"/>
              </w:rPr>
              <w:t>cosign with a stored key pair</w:t>
            </w:r>
            <w:r>
              <w:rPr>
                <w:rFonts w:ascii="Calibri" w:hAnsi="Calibri"/>
                <w:b w:val="0"/>
                <w:i w:val="0"/>
                <w:color w:val="1A1F2B"/>
                <w:sz w:val="19"/>
              </w:rPr>
              <w:t xml:space="preserve"> - works, but the private key becomes a secret to store, back up and rotate; keyless needs none of that.</w:t>
            </w:r>
          </w:p>
        </w:tc>
      </w:tr>
      <w:tr>
        <w:tc>
          <w:tcPr>
            <w:tcW w:type="dxa" w:w="2160"/>
          </w:tcPr>
          <w:p>
            <w:pPr>
              <w:spacing w:before="40" w:after="40"/>
            </w:pPr>
            <w:r/>
            <w:r>
              <w:rPr>
                <w:rFonts w:ascii="Calibri" w:hAnsi="Calibri"/>
                <w:b w:val="0"/>
                <w:i w:val="0"/>
                <w:color w:val="1A1F2B"/>
                <w:sz w:val="19"/>
              </w:rPr>
              <w:t>Terraform state bootstrap</w:t>
            </w:r>
          </w:p>
        </w:tc>
        <w:tc>
          <w:tcPr>
            <w:tcW w:type="dxa" w:w="2664"/>
          </w:tcPr>
          <w:p>
            <w:pPr>
              <w:spacing w:before="40" w:after="40"/>
            </w:pPr>
            <w:r/>
            <w:r>
              <w:rPr>
                <w:rFonts w:ascii="Calibri" w:hAnsi="Calibri"/>
                <w:b/>
                <w:i w:val="0"/>
                <w:color w:val="1A1F2B"/>
                <w:sz w:val="19"/>
              </w:rPr>
              <w:t xml:space="preserve">Local state, then </w:t>
            </w:r>
            <w:r>
              <w:rPr>
                <w:rFonts w:ascii="Consolas" w:hAnsi="Consolas"/>
                <w:b/>
                <w:i w:val="0"/>
                <w:color w:val="1F4E57"/>
                <w:sz w:val="17"/>
              </w:rPr>
              <w:t>-migrate-state</w:t>
            </w:r>
            <w:r>
              <w:rPr>
                <w:rFonts w:ascii="Calibri" w:hAnsi="Calibri"/>
                <w:b/>
                <w:i w:val="0"/>
                <w:color w:val="1A1F2B"/>
                <w:sz w:val="19"/>
              </w:rPr>
              <w:t xml:space="preserve"> into the bucket it creates</w:t>
            </w:r>
            <w:r>
              <w:rPr>
                <w:rFonts w:ascii="Calibri" w:hAnsi="Calibri"/>
                <w:b w:val="0"/>
                <w:i w:val="0"/>
                <w:color w:val="1A1F2B"/>
                <w:sz w:val="19"/>
              </w:rPr>
              <w:t xml:space="preserve"> (ADR 0009)</w:t>
            </w:r>
          </w:p>
        </w:tc>
        <w:tc>
          <w:tcPr>
            <w:tcW w:type="dxa" w:w="4536"/>
          </w:tcPr>
          <w:p>
            <w:pPr>
              <w:spacing w:before="40" w:after="40"/>
            </w:pPr>
            <w:r/>
            <w:r>
              <w:rPr>
                <w:rFonts w:ascii="Calibri" w:hAnsi="Calibri"/>
                <w:b/>
                <w:i w:val="0"/>
                <w:color w:val="1A1F2B"/>
                <w:sz w:val="19"/>
              </w:rPr>
              <w:t>A permanently hand-managed bucket</w:t>
            </w:r>
            <w:r>
              <w:rPr>
                <w:rFonts w:ascii="Calibri" w:hAnsi="Calibri"/>
                <w:b w:val="0"/>
                <w:i w:val="0"/>
                <w:color w:val="1A1F2B"/>
                <w:sz w:val="19"/>
              </w:rPr>
              <w:t xml:space="preserve"> - the most security-sensitive resource in the project would then be undocumented as code. </w:t>
            </w:r>
            <w:r>
              <w:rPr>
                <w:rFonts w:ascii="Calibri" w:hAnsi="Calibri"/>
                <w:b/>
                <w:i w:val="0"/>
                <w:color w:val="1A1F2B"/>
                <w:sz w:val="19"/>
              </w:rPr>
              <w:t>DynamoDB lock table</w:t>
            </w:r>
            <w:r>
              <w:rPr>
                <w:rFonts w:ascii="Calibri" w:hAnsi="Calibri"/>
                <w:b w:val="0"/>
                <w:i w:val="0"/>
                <w:color w:val="1A1F2B"/>
                <w:sz w:val="19"/>
              </w:rPr>
              <w:t xml:space="preserve"> - unnecessary compute-adjacent resource now that S3-native locking (</w:t>
            </w:r>
            <w:r>
              <w:rPr>
                <w:rFonts w:ascii="Consolas" w:hAnsi="Consolas"/>
                <w:b w:val="0"/>
                <w:i w:val="0"/>
                <w:color w:val="1F4E57"/>
                <w:sz w:val="17"/>
              </w:rPr>
              <w:t>use_lockfile</w:t>
            </w:r>
            <w:r>
              <w:rPr>
                <w:rFonts w:ascii="Calibri" w:hAnsi="Calibri"/>
                <w:b w:val="0"/>
                <w:i w:val="0"/>
                <w:color w:val="1A1F2B"/>
                <w:sz w:val="19"/>
              </w:rPr>
              <w:t>) is GA.</w:t>
            </w:r>
          </w:p>
        </w:tc>
      </w:tr>
      <w:tr>
        <w:tc>
          <w:tcPr>
            <w:tcW w:type="dxa" w:w="2160"/>
            <w:shd w:val="clear" w:color="auto" w:fill="F2F6F7"/>
          </w:tcPr>
          <w:p>
            <w:pPr>
              <w:spacing w:before="40" w:after="40"/>
            </w:pPr>
            <w:r/>
            <w:r>
              <w:rPr>
                <w:rFonts w:ascii="Calibri" w:hAnsi="Calibri"/>
                <w:b w:val="0"/>
                <w:i w:val="0"/>
                <w:color w:val="1A1F2B"/>
                <w:sz w:val="19"/>
              </w:rPr>
              <w:t>Vulnerability gate threshold</w:t>
            </w:r>
          </w:p>
        </w:tc>
        <w:tc>
          <w:tcPr>
            <w:tcW w:type="dxa" w:w="2664"/>
            <w:shd w:val="clear" w:color="auto" w:fill="F2F6F7"/>
          </w:tcPr>
          <w:p>
            <w:pPr>
              <w:spacing w:before="40" w:after="40"/>
            </w:pPr>
            <w:r/>
            <w:r>
              <w:rPr>
                <w:rFonts w:ascii="Calibri" w:hAnsi="Calibri"/>
                <w:b/>
                <w:i w:val="0"/>
                <w:color w:val="1A1F2B"/>
                <w:sz w:val="19"/>
              </w:rPr>
              <w:t>HIGH/CRITICAL only, scanning the built image</w:t>
            </w:r>
            <w:r>
              <w:rPr>
                <w:rFonts w:ascii="Calibri" w:hAnsi="Calibri"/>
                <w:b w:val="0"/>
                <w:i w:val="0"/>
                <w:color w:val="1A1F2B"/>
                <w:sz w:val="19"/>
              </w:rPr>
              <w:t xml:space="preserve"> (ADR 0010)</w:t>
            </w:r>
          </w:p>
        </w:tc>
        <w:tc>
          <w:tcPr>
            <w:tcW w:type="dxa" w:w="4536"/>
            <w:shd w:val="clear" w:color="auto" w:fill="F2F6F7"/>
          </w:tcPr>
          <w:p>
            <w:pPr>
              <w:spacing w:before="40" w:after="40"/>
            </w:pPr>
            <w:r/>
            <w:r>
              <w:rPr>
                <w:rFonts w:ascii="Calibri" w:hAnsi="Calibri"/>
                <w:b/>
                <w:i w:val="0"/>
                <w:color w:val="1A1F2B"/>
                <w:sz w:val="19"/>
              </w:rPr>
              <w:t>Also failing on MEDIUM</w:t>
            </w:r>
            <w:r>
              <w:rPr>
                <w:rFonts w:ascii="Calibri" w:hAnsi="Calibri"/>
                <w:b w:val="0"/>
                <w:i w:val="0"/>
                <w:color w:val="1A1F2B"/>
                <w:sz w:val="19"/>
              </w:rPr>
              <w:t xml:space="preserve"> - scope creep past what the milestone's own acceptance criterion asked for, risking blocking merges on findings nobody signed up to triage.</w:t>
            </w:r>
          </w:p>
        </w:tc>
      </w:tr>
      <w:tr>
        <w:tc>
          <w:tcPr>
            <w:tcW w:type="dxa" w:w="2160"/>
          </w:tcPr>
          <w:p>
            <w:pPr>
              <w:spacing w:before="40" w:after="40"/>
            </w:pPr>
            <w:r/>
            <w:r>
              <w:rPr>
                <w:rFonts w:ascii="Calibri" w:hAnsi="Calibri"/>
                <w:b w:val="0"/>
                <w:i w:val="0"/>
                <w:color w:val="1A1F2B"/>
                <w:sz w:val="19"/>
              </w:rPr>
              <w:t>Billing guard</w:t>
            </w:r>
          </w:p>
        </w:tc>
        <w:tc>
          <w:tcPr>
            <w:tcW w:type="dxa" w:w="2664"/>
          </w:tcPr>
          <w:p>
            <w:pPr>
              <w:spacing w:before="40" w:after="40"/>
            </w:pPr>
            <w:r/>
            <w:r>
              <w:rPr>
                <w:rFonts w:ascii="Calibri" w:hAnsi="Calibri"/>
                <w:b/>
                <w:i w:val="0"/>
                <w:color w:val="1A1F2B"/>
                <w:sz w:val="19"/>
              </w:rPr>
              <w:t>AWS Budgets, via a standalone CLI script</w:t>
            </w:r>
          </w:p>
        </w:tc>
        <w:tc>
          <w:tcPr>
            <w:tcW w:type="dxa" w:w="4536"/>
          </w:tcPr>
          <w:p>
            <w:pPr>
              <w:spacing w:before="40" w:after="40"/>
            </w:pPr>
            <w:r/>
            <w:r>
              <w:rPr>
                <w:rFonts w:ascii="Calibri" w:hAnsi="Calibri"/>
                <w:b/>
                <w:i w:val="0"/>
                <w:color w:val="1A1F2B"/>
                <w:sz w:val="19"/>
              </w:rPr>
              <w:t>A classic CloudWatch billing alarm</w:t>
            </w:r>
            <w:r>
              <w:rPr>
                <w:rFonts w:ascii="Calibri" w:hAnsi="Calibri"/>
                <w:b w:val="0"/>
                <w:i w:val="0"/>
                <w:color w:val="1A1F2B"/>
                <w:sz w:val="19"/>
              </w:rPr>
              <w:t xml:space="preserve"> - needs a root-only account preference toggle Budgets doesn't. </w:t>
            </w:r>
            <w:r>
              <w:rPr>
                <w:rFonts w:ascii="Calibri" w:hAnsi="Calibri"/>
                <w:b/>
                <w:i w:val="0"/>
                <w:color w:val="1A1F2B"/>
                <w:sz w:val="19"/>
              </w:rPr>
              <w:t>A Terraform resource</w:t>
            </w:r>
            <w:r>
              <w:rPr>
                <w:rFonts w:ascii="Calibri" w:hAnsi="Calibri"/>
                <w:b w:val="0"/>
                <w:i w:val="0"/>
                <w:color w:val="1A1F2B"/>
                <w:sz w:val="19"/>
              </w:rPr>
              <w:t xml:space="preserve"> - can't predate the Terraform it's meant to backstop.</w:t>
            </w:r>
          </w:p>
        </w:tc>
      </w:tr>
      <w:tr>
        <w:tc>
          <w:tcPr>
            <w:tcW w:type="dxa" w:w="2160"/>
            <w:shd w:val="clear" w:color="auto" w:fill="F2F6F7"/>
          </w:tcPr>
          <w:p>
            <w:pPr>
              <w:spacing w:before="40" w:after="40"/>
            </w:pPr>
            <w:r/>
            <w:r>
              <w:rPr>
                <w:rFonts w:ascii="Calibri" w:hAnsi="Calibri"/>
                <w:b w:val="0"/>
                <w:i w:val="0"/>
                <w:color w:val="1A1F2B"/>
                <w:sz w:val="19"/>
              </w:rPr>
              <w:t>SBOM tooling</w:t>
            </w:r>
          </w:p>
        </w:tc>
        <w:tc>
          <w:tcPr>
            <w:tcW w:type="dxa" w:w="2664"/>
            <w:shd w:val="clear" w:color="auto" w:fill="F2F6F7"/>
          </w:tcPr>
          <w:p>
            <w:pPr>
              <w:spacing w:before="40" w:after="40"/>
            </w:pPr>
            <w:r/>
            <w:r>
              <w:rPr>
                <w:rFonts w:ascii="Calibri" w:hAnsi="Calibri"/>
                <w:b/>
                <w:i w:val="0"/>
                <w:color w:val="1A1F2B"/>
                <w:sz w:val="19"/>
              </w:rPr>
              <w:t>Syft, installed as a pinned release binary</w:t>
            </w:r>
          </w:p>
        </w:tc>
        <w:tc>
          <w:tcPr>
            <w:tcW w:type="dxa" w:w="4536"/>
            <w:shd w:val="clear" w:color="auto" w:fill="F2F6F7"/>
          </w:tcPr>
          <w:p>
            <w:pPr>
              <w:spacing w:before="40" w:after="40"/>
            </w:pPr>
            <w:r/>
            <w:r>
              <w:rPr>
                <w:rFonts w:ascii="Consolas" w:hAnsi="Consolas"/>
                <w:b/>
                <w:i w:val="0"/>
                <w:color w:val="1F4E57"/>
                <w:sz w:val="17"/>
              </w:rPr>
              <w:t>anchore/sbom-action</w:t>
            </w:r>
            <w:r>
              <w:rPr>
                <w:rFonts w:ascii="Calibri" w:hAnsi="Calibri"/>
                <w:b w:val="0"/>
                <w:i w:val="0"/>
                <w:color w:val="1A1F2B"/>
                <w:sz w:val="19"/>
              </w:rPr>
              <w:t xml:space="preserve"> - one more third-party action in the signing chain's trust surface for no capability the pinned CLI doesn't already provide.</w:t>
            </w:r>
          </w:p>
        </w:tc>
      </w:tr>
      <w:tr>
        <w:tc>
          <w:tcPr>
            <w:tcW w:type="dxa" w:w="2160"/>
          </w:tcPr>
          <w:p>
            <w:pPr>
              <w:spacing w:before="40" w:after="40"/>
            </w:pPr>
            <w:r/>
            <w:r>
              <w:rPr>
                <w:rFonts w:ascii="Calibri" w:hAnsi="Calibri"/>
                <w:b w:val="0"/>
                <w:i w:val="0"/>
                <w:color w:val="1A1F2B"/>
                <w:sz w:val="19"/>
              </w:rPr>
              <w:t>OIDC-to-AWS action</w:t>
            </w:r>
          </w:p>
        </w:tc>
        <w:tc>
          <w:tcPr>
            <w:tcW w:type="dxa" w:w="2664"/>
          </w:tcPr>
          <w:p>
            <w:pPr>
              <w:spacing w:before="40" w:after="40"/>
            </w:pPr>
            <w:r/>
            <w:r>
              <w:rPr>
                <w:rFonts w:ascii="Consolas" w:hAnsi="Consolas"/>
                <w:b/>
                <w:i w:val="0"/>
                <w:color w:val="1F4E57"/>
                <w:sz w:val="17"/>
              </w:rPr>
              <w:t>aws-actions/configure-aws-credentials</w:t>
            </w:r>
            <w:r>
              <w:rPr>
                <w:rFonts w:ascii="Calibri" w:hAnsi="Calibri"/>
                <w:b/>
                <w:i w:val="0"/>
                <w:color w:val="1A1F2B"/>
                <w:sz w:val="19"/>
              </w:rPr>
              <w:t>, pinned by commit SHA</w:t>
            </w:r>
          </w:p>
        </w:tc>
        <w:tc>
          <w:tcPr>
            <w:tcW w:type="dxa" w:w="4536"/>
          </w:tcPr>
          <w:p>
            <w:pPr>
              <w:spacing w:before="40" w:after="40"/>
            </w:pPr>
            <w:r/>
            <w:r>
              <w:rPr>
                <w:rFonts w:ascii="Calibri" w:hAnsi="Calibri"/>
                <w:b w:val="0"/>
                <w:i w:val="0"/>
                <w:color w:val="1A1F2B"/>
                <w:sz w:val="19"/>
              </w:rPr>
              <w:t>Long-lived IAM user access keys stored as GitHub secrets - the exact pattern OIDC exists to replace.</w:t>
            </w:r>
          </w:p>
        </w:tc>
      </w:tr>
    </w:tbl>
    <w:p>
      <w:pPr>
        <w:spacing w:after="60"/>
      </w:pPr>
    </w:p>
    <w:p>
      <w:r>
        <w:br w:type="page"/>
      </w:r>
    </w:p>
    <w:p>
      <w:pPr>
        <w:pStyle w:val="Heading1"/>
        <w:pBdr>
          <w:bottom w:val="single" w:sz="8" w:space="6" w:color="0F626B"/>
        </w:pBdr>
      </w:pPr>
      <w:r>
        <w:t>9. Limitations of This Setup</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448"/>
            <w:shd w:val="clear" w:color="auto" w:fill="0F626B"/>
          </w:tcPr>
          <w:p>
            <w:pPr>
              <w:spacing w:before="40" w:after="40"/>
            </w:pPr>
            <w:r/>
            <w:r>
              <w:rPr>
                <w:rFonts w:ascii="Calibri" w:hAnsi="Calibri"/>
                <w:b/>
                <w:color w:val="FFFFFF"/>
                <w:sz w:val="18"/>
              </w:rPr>
              <w:t>Limitation</w:t>
            </w:r>
          </w:p>
        </w:tc>
        <w:tc>
          <w:tcPr>
            <w:tcW w:type="dxa" w:w="3312"/>
            <w:shd w:val="clear" w:color="auto" w:fill="0F626B"/>
          </w:tcPr>
          <w:p>
            <w:pPr>
              <w:spacing w:before="40" w:after="40"/>
            </w:pPr>
            <w:r/>
            <w:r>
              <w:rPr>
                <w:rFonts w:ascii="Calibri" w:hAnsi="Calibri"/>
                <w:b/>
                <w:color w:val="FFFFFF"/>
                <w:sz w:val="18"/>
              </w:rPr>
              <w:t>What it means in practice</w:t>
            </w:r>
          </w:p>
        </w:tc>
        <w:tc>
          <w:tcPr>
            <w:tcW w:type="dxa" w:w="3744"/>
            <w:shd w:val="clear" w:color="auto" w:fill="0F626B"/>
          </w:tcPr>
          <w:p>
            <w:pPr>
              <w:spacing w:before="40" w:after="40"/>
            </w:pPr>
            <w:r/>
            <w:r>
              <w:rPr>
                <w:rFonts w:ascii="Calibri" w:hAnsi="Calibri"/>
                <w:b/>
                <w:color w:val="FFFFFF"/>
                <w:sz w:val="18"/>
              </w:rPr>
              <w:t>Honest position</w:t>
            </w:r>
          </w:p>
        </w:tc>
      </w:tr>
      <w:tr>
        <w:tc>
          <w:tcPr>
            <w:tcW w:type="dxa" w:w="2448"/>
          </w:tcPr>
          <w:p>
            <w:pPr>
              <w:spacing w:before="40" w:after="40"/>
            </w:pPr>
            <w:r/>
            <w:r>
              <w:rPr>
                <w:rFonts w:ascii="Calibri" w:hAnsi="Calibri"/>
                <w:b/>
                <w:i w:val="0"/>
                <w:color w:val="1A1F2B"/>
                <w:sz w:val="19"/>
              </w:rPr>
              <w:t>The bootstrap identity is still a static local credential</w:t>
            </w:r>
          </w:p>
        </w:tc>
        <w:tc>
          <w:tcPr>
            <w:tcW w:type="dxa" w:w="3312"/>
          </w:tcPr>
          <w:p>
            <w:pPr>
              <w:spacing w:before="40" w:after="40"/>
            </w:pPr>
            <w:r/>
            <w:r>
              <w:rPr>
                <w:rFonts w:ascii="Consolas" w:hAnsi="Consolas"/>
                <w:b w:val="0"/>
                <w:i w:val="0"/>
                <w:color w:val="1F4E57"/>
                <w:sz w:val="17"/>
              </w:rPr>
              <w:t>palisade-bootstrap</w:t>
            </w:r>
            <w:r>
              <w:rPr>
                <w:rFonts w:ascii="Calibri" w:hAnsi="Calibri"/>
                <w:b w:val="0"/>
                <w:i w:val="0"/>
                <w:color w:val="1A1F2B"/>
                <w:sz w:val="19"/>
              </w:rPr>
              <w:t xml:space="preserve">'s AWS access key exists in this machine's local CLI config, with </w:t>
            </w:r>
            <w:r>
              <w:rPr>
                <w:rFonts w:ascii="Consolas" w:hAnsi="Consolas"/>
                <w:b w:val="0"/>
                <w:i w:val="0"/>
                <w:color w:val="1F4E57"/>
                <w:sz w:val="17"/>
              </w:rPr>
              <w:t>AdministratorAccess</w:t>
            </w:r>
            <w:r>
              <w:rPr>
                <w:rFonts w:ascii="Calibri" w:hAnsi="Calibri"/>
                <w:b w:val="0"/>
                <w:i w:val="0"/>
                <w:color w:val="1A1F2B"/>
                <w:sz w:val="19"/>
              </w:rPr>
              <w:t xml:space="preserve">, so that </w:t>
            </w:r>
            <w:r>
              <w:rPr>
                <w:rFonts w:ascii="Consolas" w:hAnsi="Consolas"/>
                <w:b w:val="0"/>
                <w:i w:val="0"/>
                <w:color w:val="1F4E57"/>
                <w:sz w:val="17"/>
              </w:rPr>
              <w:t>bootstrap/</w:t>
            </w:r>
            <w:r>
              <w:rPr>
                <w:rFonts w:ascii="Calibri" w:hAnsi="Calibri"/>
                <w:b w:val="0"/>
                <w:i w:val="0"/>
                <w:color w:val="1A1F2B"/>
                <w:sz w:val="19"/>
              </w:rPr>
              <w:t xml:space="preserve"> can be applied by hand.</w:t>
            </w:r>
          </w:p>
        </w:tc>
        <w:tc>
          <w:tcPr>
            <w:tcW w:type="dxa" w:w="3744"/>
          </w:tcPr>
          <w:p>
            <w:pPr>
              <w:spacing w:before="40" w:after="40"/>
            </w:pPr>
            <w:r/>
            <w:r>
              <w:rPr>
                <w:rFonts w:ascii="Calibri" w:hAnsi="Calibri"/>
                <w:b w:val="0"/>
                <w:i w:val="0"/>
                <w:color w:val="1A1F2B"/>
                <w:sz w:val="19"/>
              </w:rPr>
              <w:t>Deliberate, and consistent with the milestone's actual claim: the acceptance criterion is that GitHub stores no AWS secret, which is true and verified. A local operator credential for a hand-applied root is a different, smaller, and disclosed exposure - not eliminated, just honestly scoped to "who can reach this laptop," not "who can read this repo."</w:t>
            </w:r>
          </w:p>
        </w:tc>
      </w:tr>
      <w:tr>
        <w:tc>
          <w:tcPr>
            <w:tcW w:type="dxa" w:w="2448"/>
            <w:shd w:val="clear" w:color="auto" w:fill="F2F6F7"/>
          </w:tcPr>
          <w:p>
            <w:pPr>
              <w:spacing w:before="40" w:after="40"/>
            </w:pPr>
            <w:r/>
            <w:r>
              <w:rPr>
                <w:rFonts w:ascii="Consolas" w:hAnsi="Consolas"/>
                <w:b/>
                <w:i w:val="0"/>
                <w:color w:val="1F4E57"/>
                <w:sz w:val="17"/>
              </w:rPr>
              <w:t>.trivyignore</w:t>
            </w:r>
            <w:r>
              <w:rPr>
                <w:rFonts w:ascii="Calibri" w:hAnsi="Calibri"/>
                <w:b/>
                <w:i w:val="0"/>
                <w:color w:val="1A1F2B"/>
                <w:sz w:val="19"/>
              </w:rPr>
              <w:t xml:space="preserve"> entries need periodic review, not a one-time pass</w:t>
            </w:r>
          </w:p>
        </w:tc>
        <w:tc>
          <w:tcPr>
            <w:tcW w:type="dxa" w:w="3312"/>
            <w:shd w:val="clear" w:color="auto" w:fill="F2F6F7"/>
          </w:tcPr>
          <w:p>
            <w:pPr>
              <w:spacing w:before="40" w:after="40"/>
            </w:pPr>
            <w:r/>
            <w:r>
              <w:rPr>
                <w:rFonts w:ascii="Calibri" w:hAnsi="Calibri"/>
                <w:b w:val="0"/>
                <w:i w:val="0"/>
                <w:color w:val="1A1F2B"/>
                <w:sz w:val="19"/>
              </w:rPr>
              <w:t xml:space="preserve">The eight accepted-risk CVEs in </w:t>
            </w:r>
            <w:r>
              <w:rPr>
                <w:rFonts w:ascii="Consolas" w:hAnsi="Consolas"/>
                <w:b w:val="0"/>
                <w:i w:val="0"/>
                <w:color w:val="1F4E57"/>
                <w:sz w:val="17"/>
              </w:rPr>
              <w:t>services/gateway/.trivyignore</w:t>
            </w:r>
            <w:r>
              <w:rPr>
                <w:rFonts w:ascii="Calibri" w:hAnsi="Calibri"/>
                <w:b w:val="0"/>
                <w:i w:val="0"/>
                <w:color w:val="1A1F2B"/>
                <w:sz w:val="19"/>
              </w:rPr>
              <w:t xml:space="preserve"> are unfixed </w:t>
            </w:r>
            <w:r>
              <w:rPr>
                <w:rFonts w:ascii="Calibri" w:hAnsi="Calibri"/>
                <w:b w:val="0"/>
                <w:i/>
                <w:color w:val="1A1F2B"/>
                <w:sz w:val="19"/>
              </w:rPr>
              <w:t>today</w:t>
            </w:r>
            <w:r>
              <w:rPr>
                <w:rFonts w:ascii="Calibri" w:hAnsi="Calibri"/>
                <w:b w:val="0"/>
                <w:i w:val="0"/>
                <w:color w:val="1A1F2B"/>
                <w:sz w:val="19"/>
              </w:rPr>
              <w:t>. If Debian ships a fix later, the entry should be removed and a rebuild should resolve it, not sit there indefinitely.</w:t>
            </w:r>
          </w:p>
        </w:tc>
        <w:tc>
          <w:tcPr>
            <w:tcW w:type="dxa" w:w="3744"/>
            <w:shd w:val="clear" w:color="auto" w:fill="F2F6F7"/>
          </w:tcPr>
          <w:p>
            <w:pPr>
              <w:spacing w:before="40" w:after="40"/>
            </w:pPr>
            <w:r/>
            <w:r>
              <w:rPr>
                <w:rFonts w:ascii="Calibri" w:hAnsi="Calibri"/>
                <w:b w:val="0"/>
                <w:i w:val="0"/>
                <w:color w:val="1A1F2B"/>
                <w:sz w:val="19"/>
              </w:rPr>
              <w:t>Documented directly in the file's own header comment as the expected process, not left implicit - a future me (or M3+) re-touching this file is the natural trigger to check.</w:t>
            </w:r>
          </w:p>
        </w:tc>
      </w:tr>
      <w:tr>
        <w:tc>
          <w:tcPr>
            <w:tcW w:type="dxa" w:w="2448"/>
          </w:tcPr>
          <w:p>
            <w:pPr>
              <w:spacing w:before="40" w:after="40"/>
            </w:pPr>
            <w:r/>
            <w:r>
              <w:rPr>
                <w:rFonts w:ascii="Calibri" w:hAnsi="Calibri"/>
                <w:b/>
                <w:i w:val="0"/>
                <w:color w:val="1A1F2B"/>
                <w:sz w:val="19"/>
              </w:rPr>
              <w:t>No render-level verification of this document</w:t>
            </w:r>
          </w:p>
        </w:tc>
        <w:tc>
          <w:tcPr>
            <w:tcW w:type="dxa" w:w="3312"/>
          </w:tcPr>
          <w:p>
            <w:pPr>
              <w:spacing w:before="40" w:after="40"/>
            </w:pPr>
            <w:r/>
            <w:r>
              <w:rPr>
                <w:rFonts w:ascii="Calibri" w:hAnsi="Calibri"/>
                <w:b w:val="0"/>
                <w:i w:val="0"/>
                <w:color w:val="1A1F2B"/>
                <w:sz w:val="19"/>
              </w:rPr>
              <w:t>The same limitation M1 disclosed: no LibreOffice in this environment to render a PDF and visually check for layout problems or stray markdown markers.</w:t>
            </w:r>
          </w:p>
        </w:tc>
        <w:tc>
          <w:tcPr>
            <w:tcW w:type="dxa" w:w="3744"/>
          </w:tcPr>
          <w:p>
            <w:pPr>
              <w:spacing w:before="40" w:after="40"/>
            </w:pPr>
            <w:r/>
            <w:r>
              <w:rPr>
                <w:rFonts w:ascii="Calibri" w:hAnsi="Calibri"/>
                <w:b w:val="0"/>
                <w:i w:val="0"/>
                <w:color w:val="1A1F2B"/>
                <w:sz w:val="19"/>
              </w:rPr>
              <w:t>A text-level scanner (</w:t>
            </w:r>
            <w:r>
              <w:rPr>
                <w:rFonts w:ascii="Consolas" w:hAnsi="Consolas"/>
                <w:b w:val="0"/>
                <w:i w:val="0"/>
                <w:color w:val="1F4E57"/>
                <w:sz w:val="17"/>
              </w:rPr>
              <w:t>verify_m2_docx.py</w:t>
            </w:r>
            <w:r>
              <w:rPr>
                <w:rFonts w:ascii="Calibri" w:hAnsi="Calibri"/>
                <w:b w:val="0"/>
                <w:i w:val="0"/>
                <w:color w:val="1A1F2B"/>
                <w:sz w:val="19"/>
              </w:rPr>
              <w:t>) checks word count and stray formatting markers directly against the document XML instead - disclosed rather than silently skipped.</w:t>
            </w:r>
          </w:p>
        </w:tc>
      </w:tr>
      <w:tr>
        <w:tc>
          <w:tcPr>
            <w:tcW w:type="dxa" w:w="2448"/>
            <w:shd w:val="clear" w:color="auto" w:fill="F2F6F7"/>
          </w:tcPr>
          <w:p>
            <w:pPr>
              <w:spacing w:before="40" w:after="40"/>
            </w:pPr>
            <w:r/>
            <w:r>
              <w:rPr>
                <w:rFonts w:ascii="Calibri" w:hAnsi="Calibri"/>
                <w:b/>
                <w:i w:val="0"/>
                <w:color w:val="1A1F2B"/>
                <w:sz w:val="19"/>
              </w:rPr>
              <w:t>The Terraform PR-comment step posts a plain text dump, not a formatted diff</w:t>
            </w:r>
          </w:p>
        </w:tc>
        <w:tc>
          <w:tcPr>
            <w:tcW w:type="dxa" w:w="3312"/>
            <w:shd w:val="clear" w:color="auto" w:fill="F2F6F7"/>
          </w:tcPr>
          <w:p>
            <w:pPr>
              <w:spacing w:before="40" w:after="40"/>
            </w:pPr>
            <w:r/>
            <w:r>
              <w:rPr>
                <w:rFonts w:ascii="Consolas" w:hAnsi="Consolas"/>
                <w:b w:val="0"/>
                <w:i w:val="0"/>
                <w:color w:val="1F4E57"/>
                <w:sz w:val="17"/>
              </w:rPr>
              <w:t>terraform.yml</w:t>
            </w:r>
            <w:r>
              <w:rPr>
                <w:rFonts w:ascii="Calibri" w:hAnsi="Calibri"/>
                <w:b w:val="0"/>
                <w:i w:val="0"/>
                <w:color w:val="1A1F2B"/>
                <w:sz w:val="19"/>
              </w:rPr>
              <w:t xml:space="preserve">'s </w:t>
            </w:r>
            <w:r>
              <w:rPr>
                <w:rFonts w:ascii="Consolas" w:hAnsi="Consolas"/>
                <w:b w:val="0"/>
                <w:i w:val="0"/>
                <w:color w:val="1F4E57"/>
                <w:sz w:val="17"/>
              </w:rPr>
              <w:t>plan</w:t>
            </w:r>
            <w:r>
              <w:rPr>
                <w:rFonts w:ascii="Calibri" w:hAnsi="Calibri"/>
                <w:b w:val="0"/>
                <w:i w:val="0"/>
                <w:color w:val="1A1F2B"/>
                <w:sz w:val="19"/>
              </w:rPr>
              <w:t xml:space="preserve"> job posts the raw plan output inside a collapsed </w:t>
            </w:r>
            <w:r>
              <w:rPr>
                <w:rFonts w:ascii="Consolas" w:hAnsi="Consolas"/>
                <w:b w:val="0"/>
                <w:i w:val="0"/>
                <w:color w:val="1F4E57"/>
                <w:sz w:val="17"/>
              </w:rPr>
              <w:t>&lt;details&gt;</w:t>
            </w:r>
            <w:r>
              <w:rPr>
                <w:rFonts w:ascii="Calibri" w:hAnsi="Calibri"/>
                <w:b w:val="0"/>
                <w:i w:val="0"/>
                <w:color w:val="1A1F2B"/>
                <w:sz w:val="19"/>
              </w:rPr>
              <w:t xml:space="preserve"> block via </w:t>
            </w:r>
            <w:r>
              <w:rPr>
                <w:rFonts w:ascii="Consolas" w:hAnsi="Consolas"/>
                <w:b w:val="0"/>
                <w:i w:val="0"/>
                <w:color w:val="1F4E57"/>
                <w:sz w:val="17"/>
              </w:rPr>
              <w:t>actions/github-script</w:t>
            </w:r>
            <w:r>
              <w:rPr>
                <w:rFonts w:ascii="Calibri" w:hAnsi="Calibri"/>
                <w:b w:val="0"/>
                <w:i w:val="0"/>
                <w:color w:val="1A1F2B"/>
                <w:sz w:val="19"/>
              </w:rPr>
              <w:t xml:space="preserve"> - readable, but not colourised or summarised.</w:t>
            </w:r>
          </w:p>
        </w:tc>
        <w:tc>
          <w:tcPr>
            <w:tcW w:type="dxa" w:w="3744"/>
            <w:shd w:val="clear" w:color="auto" w:fill="F2F6F7"/>
          </w:tcPr>
          <w:p>
            <w:pPr>
              <w:spacing w:before="40" w:after="40"/>
            </w:pPr>
            <w:r/>
            <w:r>
              <w:rPr>
                <w:rFonts w:ascii="Calibri" w:hAnsi="Calibri"/>
                <w:b w:val="0"/>
                <w:i w:val="0"/>
                <w:color w:val="1A1F2B"/>
                <w:sz w:val="19"/>
              </w:rPr>
              <w:t xml:space="preserve">Good enough for a single-maintainer project with one small Terraform root. Worth revisiting if </w:t>
            </w:r>
            <w:r>
              <w:rPr>
                <w:rFonts w:ascii="Consolas" w:hAnsi="Consolas"/>
                <w:b w:val="0"/>
                <w:i w:val="0"/>
                <w:color w:val="1F4E57"/>
                <w:sz w:val="17"/>
              </w:rPr>
              <w:t>infra/</w:t>
            </w:r>
            <w:r>
              <w:rPr>
                <w:rFonts w:ascii="Calibri" w:hAnsi="Calibri"/>
                <w:b w:val="0"/>
                <w:i w:val="0"/>
                <w:color w:val="1A1F2B"/>
                <w:sz w:val="19"/>
              </w:rPr>
              <w:t xml:space="preserve"> grows enough that a plan output stops fitting comfortably in one glance.</w:t>
            </w:r>
          </w:p>
        </w:tc>
      </w:tr>
      <w:tr>
        <w:tc>
          <w:tcPr>
            <w:tcW w:type="dxa" w:w="2448"/>
          </w:tcPr>
          <w:p>
            <w:pPr>
              <w:spacing w:before="40" w:after="40"/>
            </w:pPr>
            <w:r/>
            <w:r>
              <w:rPr>
                <w:rFonts w:ascii="Calibri" w:hAnsi="Calibri"/>
                <w:b/>
                <w:i w:val="0"/>
                <w:color w:val="1A1F2B"/>
                <w:sz w:val="19"/>
              </w:rPr>
              <w:t>Single AWS account, single region, no environment split</w:t>
            </w:r>
          </w:p>
        </w:tc>
        <w:tc>
          <w:tcPr>
            <w:tcW w:type="dxa" w:w="3312"/>
          </w:tcPr>
          <w:p>
            <w:pPr>
              <w:spacing w:before="40" w:after="40"/>
            </w:pPr>
            <w:r/>
            <w:r>
              <w:rPr>
                <w:rFonts w:ascii="Calibri" w:hAnsi="Calibri"/>
                <w:b w:val="0"/>
                <w:i w:val="0"/>
                <w:color w:val="1A1F2B"/>
                <w:sz w:val="19"/>
              </w:rPr>
              <w:t xml:space="preserve">There is no dev/staging/prod separation - one account, </w:t>
            </w:r>
            <w:r>
              <w:rPr>
                <w:rFonts w:ascii="Consolas" w:hAnsi="Consolas"/>
                <w:b w:val="0"/>
                <w:i w:val="0"/>
                <w:color w:val="1F4E57"/>
                <w:sz w:val="17"/>
              </w:rPr>
              <w:t>us-east-1</w:t>
            </w:r>
            <w:r>
              <w:rPr>
                <w:rFonts w:ascii="Calibri" w:hAnsi="Calibri"/>
                <w:b w:val="0"/>
                <w:i w:val="0"/>
                <w:color w:val="1A1F2B"/>
                <w:sz w:val="19"/>
              </w:rPr>
              <w:t>, one of everything.</w:t>
            </w:r>
          </w:p>
        </w:tc>
        <w:tc>
          <w:tcPr>
            <w:tcW w:type="dxa" w:w="3744"/>
          </w:tcPr>
          <w:p>
            <w:pPr>
              <w:spacing w:before="40" w:after="40"/>
            </w:pPr>
            <w:r/>
            <w:r>
              <w:rPr>
                <w:rFonts w:ascii="Calibri" w:hAnsi="Calibri"/>
                <w:b w:val="0"/>
                <w:i w:val="0"/>
                <w:color w:val="1A1F2B"/>
                <w:sz w:val="19"/>
              </w:rPr>
              <w:t>Correct scope for this project's size. Revisit only if a genuine second environment need appears; adding the split speculatively now would be exactly the kind of premature structure this project's own conventions argue against.</w:t>
            </w:r>
          </w:p>
        </w:tc>
      </w:tr>
      <w:tr>
        <w:tc>
          <w:tcPr>
            <w:tcW w:type="dxa" w:w="2448"/>
            <w:shd w:val="clear" w:color="auto" w:fill="F2F6F7"/>
          </w:tcPr>
          <w:p>
            <w:pPr>
              <w:spacing w:before="40" w:after="40"/>
            </w:pPr>
            <w:r/>
            <w:r>
              <w:rPr>
                <w:rFonts w:ascii="Consolas" w:hAnsi="Consolas"/>
                <w:b/>
                <w:i w:val="0"/>
                <w:color w:val="1F4E57"/>
                <w:sz w:val="17"/>
              </w:rPr>
              <w:t>--kv-cache-memory-bytes</w:t>
            </w:r>
            <w:r>
              <w:rPr>
                <w:rFonts w:ascii="Calibri" w:hAnsi="Calibri"/>
                <w:b/>
                <w:i w:val="0"/>
                <w:color w:val="1A1F2B"/>
                <w:sz w:val="19"/>
              </w:rPr>
              <w:t xml:space="preserve"> is still chosen by feel, not formula</w:t>
            </w:r>
          </w:p>
        </w:tc>
        <w:tc>
          <w:tcPr>
            <w:tcW w:type="dxa" w:w="3312"/>
            <w:shd w:val="clear" w:color="auto" w:fill="F2F6F7"/>
          </w:tcPr>
          <w:p>
            <w:pPr>
              <w:spacing w:before="40" w:after="40"/>
            </w:pPr>
            <w:r/>
            <w:r>
              <w:rPr>
                <w:rFonts w:ascii="Calibri" w:hAnsi="Calibri"/>
                <w:b w:val="0"/>
                <w:i w:val="0"/>
                <w:color w:val="1A1F2B"/>
                <w:sz w:val="19"/>
              </w:rPr>
              <w:t>Carried over from M1, unchanged by this milestone.</w:t>
            </w:r>
          </w:p>
        </w:tc>
        <w:tc>
          <w:tcPr>
            <w:tcW w:type="dxa" w:w="3744"/>
            <w:shd w:val="clear" w:color="auto" w:fill="F2F6F7"/>
          </w:tcPr>
          <w:p>
            <w:pPr>
              <w:spacing w:before="40" w:after="40"/>
            </w:pPr>
            <w:r/>
            <w:r>
              <w:rPr>
                <w:rFonts w:ascii="Calibri" w:hAnsi="Calibri"/>
                <w:b w:val="0"/>
                <w:i w:val="0"/>
                <w:color w:val="1A1F2B"/>
                <w:sz w:val="19"/>
              </w:rPr>
              <w:t>Still true, still disclosed. Not touched here because M2 never needed to touch the model-serving path at all.</w:t>
            </w:r>
          </w:p>
        </w:tc>
      </w:tr>
    </w:tbl>
    <w:p>
      <w:pPr>
        <w:spacing w:after="60"/>
      </w:pPr>
    </w:p>
    <w:p>
      <w:r>
        <w:br w:type="page"/>
      </w:r>
    </w:p>
    <w:p>
      <w:pPr>
        <w:pStyle w:val="Heading1"/>
        <w:pBdr>
          <w:bottom w:val="single" w:sz="8" w:space="6" w:color="0F626B"/>
        </w:pBdr>
      </w:pPr>
      <w:r>
        <w:t>10. Mistakes Made, and What They Cost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672"/>
            <w:shd w:val="clear" w:color="auto" w:fill="0F626B"/>
          </w:tcPr>
          <w:p>
            <w:pPr>
              <w:spacing w:before="40" w:after="40"/>
            </w:pPr>
            <w:r/>
            <w:r>
              <w:rPr>
                <w:rFonts w:ascii="Calibri" w:hAnsi="Calibri"/>
                <w:b/>
                <w:color w:val="FFFFFF"/>
                <w:sz w:val="18"/>
              </w:rPr>
              <w:t>What went wrong</w:t>
            </w:r>
          </w:p>
        </w:tc>
        <w:tc>
          <w:tcPr>
            <w:tcW w:type="dxa" w:w="3096"/>
            <w:shd w:val="clear" w:color="auto" w:fill="0F626B"/>
          </w:tcPr>
          <w:p>
            <w:pPr>
              <w:spacing w:before="40" w:after="40"/>
            </w:pPr>
            <w:r/>
            <w:r>
              <w:rPr>
                <w:rFonts w:ascii="Calibri" w:hAnsi="Calibri"/>
                <w:b/>
                <w:color w:val="FFFFFF"/>
                <w:sz w:val="18"/>
              </w:rPr>
              <w:t>Cost</w:t>
            </w:r>
          </w:p>
        </w:tc>
        <w:tc>
          <w:tcPr>
            <w:tcW w:type="dxa" w:w="2736"/>
            <w:shd w:val="clear" w:color="auto" w:fill="0F626B"/>
          </w:tcPr>
          <w:p>
            <w:pPr>
              <w:spacing w:before="40" w:after="40"/>
            </w:pPr>
            <w:r/>
            <w:r>
              <w:rPr>
                <w:rFonts w:ascii="Calibri" w:hAnsi="Calibri"/>
                <w:b/>
                <w:color w:val="FFFFFF"/>
                <w:sz w:val="18"/>
              </w:rPr>
              <w:t>What prevents a repeat</w:t>
            </w:r>
          </w:p>
        </w:tc>
      </w:tr>
      <w:tr>
        <w:tc>
          <w:tcPr>
            <w:tcW w:type="dxa" w:w="3672"/>
          </w:tcPr>
          <w:p>
            <w:pPr>
              <w:spacing w:before="40" w:after="40"/>
            </w:pPr>
            <w:r/>
            <w:r>
              <w:rPr>
                <w:rFonts w:ascii="Calibri" w:hAnsi="Calibri"/>
                <w:b/>
                <w:i w:val="0"/>
                <w:color w:val="1A1F2B"/>
                <w:sz w:val="19"/>
              </w:rPr>
              <w:t xml:space="preserve">Wrote a placeholder step with a fake commit SHA while drafting </w:t>
            </w:r>
            <w:r>
              <w:rPr>
                <w:rFonts w:ascii="Consolas" w:hAnsi="Consolas"/>
                <w:b/>
                <w:i w:val="0"/>
                <w:color w:val="1F4E57"/>
                <w:sz w:val="17"/>
              </w:rPr>
              <w:t>ci.yml</w:t>
            </w:r>
            <w:r>
              <w:rPr>
                <w:rFonts w:ascii="Calibri" w:hAnsi="Calibri"/>
                <w:b w:val="0"/>
                <w:i w:val="0"/>
                <w:color w:val="1A1F2B"/>
                <w:sz w:val="19"/>
              </w:rPr>
              <w:t>, meaning to replace it before it was ever run</w:t>
            </w:r>
          </w:p>
        </w:tc>
        <w:tc>
          <w:tcPr>
            <w:tcW w:type="dxa" w:w="3096"/>
          </w:tcPr>
          <w:p>
            <w:pPr>
              <w:spacing w:before="40" w:after="40"/>
            </w:pPr>
            <w:r/>
            <w:r>
              <w:rPr>
                <w:rFonts w:ascii="Calibri" w:hAnsi="Calibri"/>
                <w:b w:val="0"/>
                <w:i w:val="0"/>
                <w:color w:val="1A1F2B"/>
                <w:sz w:val="19"/>
              </w:rPr>
              <w:t>Caught during self-review before the workflow was committed, not in CI - zero pipeline cost, but a close call worth naming</w:t>
            </w:r>
          </w:p>
        </w:tc>
        <w:tc>
          <w:tcPr>
            <w:tcW w:type="dxa" w:w="2736"/>
          </w:tcPr>
          <w:p>
            <w:pPr>
              <w:spacing w:before="40" w:after="40"/>
            </w:pPr>
            <w:r/>
            <w:r>
              <w:rPr>
                <w:rFonts w:ascii="Calibri" w:hAnsi="Calibri"/>
                <w:b w:val="0"/>
                <w:i w:val="0"/>
                <w:color w:val="1A1F2B"/>
                <w:sz w:val="19"/>
              </w:rPr>
              <w:t>Every action reference in both workflows was re-checked against a live API call immediately before the file was finalised, not trusted from memory or a first draft.</w:t>
            </w:r>
          </w:p>
        </w:tc>
      </w:tr>
      <w:tr>
        <w:tc>
          <w:tcPr>
            <w:tcW w:type="dxa" w:w="3672"/>
            <w:shd w:val="clear" w:color="auto" w:fill="F2F6F7"/>
          </w:tcPr>
          <w:p>
            <w:pPr>
              <w:spacing w:before="40" w:after="40"/>
            </w:pPr>
            <w:r/>
            <w:r>
              <w:rPr>
                <w:rFonts w:ascii="Calibri" w:hAnsi="Calibri"/>
                <w:b/>
                <w:i w:val="0"/>
                <w:color w:val="1A1F2B"/>
                <w:sz w:val="19"/>
              </w:rPr>
              <w:t xml:space="preserve">Assumed the classic </w:t>
            </w:r>
            <w:r>
              <w:rPr>
                <w:rFonts w:ascii="Consolas" w:hAnsi="Consolas"/>
                <w:b/>
                <w:i w:val="0"/>
                <w:color w:val="1F4E57"/>
                <w:sz w:val="17"/>
              </w:rPr>
              <w:t>repo:owner/repo</w:t>
            </w:r>
            <w:r>
              <w:rPr>
                <w:rFonts w:ascii="Calibri" w:hAnsi="Calibri"/>
                <w:b/>
                <w:i w:val="0"/>
                <w:color w:val="1A1F2B"/>
                <w:sz w:val="19"/>
              </w:rPr>
              <w:t xml:space="preserve"> OIDC subject format without checking this repository's actual settings first</w:t>
            </w:r>
          </w:p>
        </w:tc>
        <w:tc>
          <w:tcPr>
            <w:tcW w:type="dxa" w:w="3096"/>
            <w:shd w:val="clear" w:color="auto" w:fill="F2F6F7"/>
          </w:tcPr>
          <w:p>
            <w:pPr>
              <w:spacing w:before="40" w:after="40"/>
            </w:pPr>
            <w:r/>
            <w:r>
              <w:rPr>
                <w:rFonts w:ascii="Calibri" w:hAnsi="Calibri"/>
                <w:b w:val="0"/>
                <w:i w:val="0"/>
                <w:color w:val="1A1F2B"/>
                <w:sz w:val="19"/>
              </w:rPr>
              <w:t xml:space="preserve">One failed </w:t>
            </w:r>
            <w:r>
              <w:rPr>
                <w:rFonts w:ascii="Consolas" w:hAnsi="Consolas"/>
                <w:b w:val="0"/>
                <w:i w:val="0"/>
                <w:color w:val="1F4E57"/>
                <w:sz w:val="17"/>
              </w:rPr>
              <w:t>terraform plan</w:t>
            </w:r>
            <w:r>
              <w:rPr>
                <w:rFonts w:ascii="Calibri" w:hAnsi="Calibri"/>
                <w:b w:val="0"/>
                <w:i w:val="0"/>
                <w:color w:val="1A1F2B"/>
                <w:sz w:val="19"/>
              </w:rPr>
              <w:t xml:space="preserve"> on a real PR, plus the CloudTrail investigation to find the real cause - §6.1</w:t>
            </w:r>
          </w:p>
        </w:tc>
        <w:tc>
          <w:tcPr>
            <w:tcW w:type="dxa" w:w="2736"/>
            <w:shd w:val="clear" w:color="auto" w:fill="F2F6F7"/>
          </w:tcPr>
          <w:p>
            <w:pPr>
              <w:spacing w:before="40" w:after="40"/>
            </w:pPr>
            <w:r/>
            <w:r>
              <w:rPr>
                <w:rFonts w:ascii="Calibri" w:hAnsi="Calibri"/>
                <w:b w:val="0"/>
                <w:i w:val="0"/>
                <w:color w:val="1A1F2B"/>
                <w:sz w:val="19"/>
              </w:rPr>
              <w:t>The check that would have caught it in advance (</w:t>
            </w:r>
            <w:r>
              <w:rPr>
                <w:rFonts w:ascii="Consolas" w:hAnsi="Consolas"/>
                <w:b w:val="0"/>
                <w:i w:val="0"/>
                <w:color w:val="1F4E57"/>
                <w:sz w:val="17"/>
              </w:rPr>
              <w:t>gh api .../actions/oidc/customization/sub</w:t>
            </w:r>
            <w:r>
              <w:rPr>
                <w:rFonts w:ascii="Calibri" w:hAnsi="Calibri"/>
                <w:b w:val="0"/>
                <w:i w:val="0"/>
                <w:color w:val="1A1F2B"/>
                <w:sz w:val="19"/>
              </w:rPr>
              <w:t>) is now the first thing written into any future GitHub-to-AWS trust policy, per docs/CONVENTIONS.md.</w:t>
            </w:r>
          </w:p>
        </w:tc>
      </w:tr>
      <w:tr>
        <w:tc>
          <w:tcPr>
            <w:tcW w:type="dxa" w:w="3672"/>
          </w:tcPr>
          <w:p>
            <w:pPr>
              <w:spacing w:before="40" w:after="40"/>
            </w:pPr>
            <w:r/>
            <w:r>
              <w:rPr>
                <w:rFonts w:ascii="Calibri" w:hAnsi="Calibri"/>
                <w:b/>
                <w:i w:val="0"/>
                <w:color w:val="1A1F2B"/>
                <w:sz w:val="19"/>
              </w:rPr>
              <w:t>Enumerated specific S3 permissions instead of granting the read-only action families up front</w:t>
            </w:r>
          </w:p>
        </w:tc>
        <w:tc>
          <w:tcPr>
            <w:tcW w:type="dxa" w:w="3096"/>
          </w:tcPr>
          <w:p>
            <w:pPr>
              <w:spacing w:before="40" w:after="40"/>
            </w:pPr>
            <w:r/>
            <w:r>
              <w:rPr>
                <w:rFonts w:ascii="Calibri" w:hAnsi="Calibri"/>
                <w:b w:val="0"/>
                <w:i w:val="0"/>
                <w:color w:val="1A1F2B"/>
                <w:sz w:val="19"/>
              </w:rPr>
              <w:t xml:space="preserve">Two separate round-trips through a real </w:t>
            </w:r>
            <w:r>
              <w:rPr>
                <w:rFonts w:ascii="Consolas" w:hAnsi="Consolas"/>
                <w:b w:val="0"/>
                <w:i w:val="0"/>
                <w:color w:val="1F4E57"/>
                <w:sz w:val="17"/>
              </w:rPr>
              <w:t>terraform apply</w:t>
            </w:r>
            <w:r>
              <w:rPr>
                <w:rFonts w:ascii="Calibri" w:hAnsi="Calibri"/>
                <w:b w:val="0"/>
                <w:i w:val="0"/>
                <w:color w:val="1A1F2B"/>
                <w:sz w:val="19"/>
              </w:rPr>
              <w:t xml:space="preserve"> before the role had everything it needed - §6.2, §6.3</w:t>
            </w:r>
          </w:p>
        </w:tc>
        <w:tc>
          <w:tcPr>
            <w:tcW w:type="dxa" w:w="2736"/>
          </w:tcPr>
          <w:p>
            <w:pPr>
              <w:spacing w:before="40" w:after="40"/>
            </w:pPr>
            <w:r/>
            <w:r>
              <w:rPr>
                <w:rFonts w:ascii="Calibri" w:hAnsi="Calibri"/>
                <w:b w:val="0"/>
                <w:i w:val="0"/>
                <w:color w:val="1A1F2B"/>
                <w:sz w:val="19"/>
              </w:rPr>
              <w:t xml:space="preserve">Recorded as a named pattern: for </w:t>
            </w:r>
            <w:r>
              <w:rPr>
                <w:rFonts w:ascii="Consolas" w:hAnsi="Consolas"/>
                <w:b w:val="0"/>
                <w:i w:val="0"/>
                <w:color w:val="1F4E57"/>
                <w:sz w:val="17"/>
              </w:rPr>
              <w:t>aws_s3_bucket</w:t>
            </w:r>
            <w:r>
              <w:rPr>
                <w:rFonts w:ascii="Calibri" w:hAnsi="Calibri"/>
                <w:b w:val="0"/>
                <w:i w:val="0"/>
                <w:color w:val="1A1F2B"/>
                <w:sz w:val="19"/>
              </w:rPr>
              <w:t xml:space="preserve">, grant </w:t>
            </w:r>
            <w:r>
              <w:rPr>
                <w:rFonts w:ascii="Consolas" w:hAnsi="Consolas"/>
                <w:b w:val="0"/>
                <w:i w:val="0"/>
                <w:color w:val="1F4E57"/>
                <w:sz w:val="17"/>
              </w:rPr>
              <w:t>Get*</w:t>
            </w:r>
            <w:r>
              <w:rPr>
                <w:rFonts w:ascii="Calibri" w:hAnsi="Calibri"/>
                <w:b w:val="0"/>
                <w:i w:val="0"/>
                <w:color w:val="1A1F2B"/>
                <w:sz w:val="19"/>
              </w:rPr>
              <w:t>/</w:t>
            </w:r>
            <w:r>
              <w:rPr>
                <w:rFonts w:ascii="Consolas" w:hAnsi="Consolas"/>
                <w:b w:val="0"/>
                <w:i w:val="0"/>
                <w:color w:val="1F4E57"/>
                <w:sz w:val="17"/>
              </w:rPr>
              <w:t>List*</w:t>
            </w:r>
            <w:r>
              <w:rPr>
                <w:rFonts w:ascii="Calibri" w:hAnsi="Calibri"/>
                <w:b w:val="0"/>
                <w:i w:val="0"/>
                <w:color w:val="1A1F2B"/>
                <w:sz w:val="19"/>
              </w:rPr>
              <w:t xml:space="preserve"> up front and keep only mutations enumerated, rather than discovering the read surface one 403 at a time.</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PATTERN ACROSS ALL THREE</w:t>
            </w:r>
          </w:p>
          <w:p>
            <w:pPr>
              <w:spacing w:before="0" w:after="80"/>
            </w:pPr>
            <w:r>
              <w:rPr>
                <w:rFonts w:ascii="Calibri" w:hAnsi="Calibri"/>
                <w:b w:val="0"/>
                <w:i w:val="0"/>
                <w:color w:val="1A1F2B"/>
                <w:sz w:val="20"/>
              </w:rPr>
              <w:t xml:space="preserve">Each is a version of the same M0/M1 lesson at a different layer: </w:t>
            </w:r>
            <w:r>
              <w:rPr>
                <w:rFonts w:ascii="Calibri" w:hAnsi="Calibri"/>
                <w:b/>
                <w:i w:val="0"/>
                <w:color w:val="1A1F2B"/>
                <w:sz w:val="20"/>
              </w:rPr>
              <w:t>checking the real, current, external ground truth is cheaper than assuming it and finding out from a failure.</w:t>
            </w:r>
            <w:r>
              <w:rPr>
                <w:rFonts w:ascii="Calibri" w:hAnsi="Calibri"/>
                <w:b w:val="0"/>
                <w:i w:val="0"/>
                <w:color w:val="1A1F2B"/>
                <w:sz w:val="20"/>
              </w:rPr>
              <w:t xml:space="preserve"> A live API call, a CloudTrail event, and a documented AWS-provider read pattern were each the fact that mattered, once actually checked.</w:t>
            </w:r>
          </w:p>
        </w:tc>
      </w:tr>
    </w:tbl>
    <w:p>
      <w:pPr>
        <w:spacing w:after="40"/>
      </w:pPr>
    </w:p>
    <w:p>
      <w:r>
        <w:br w:type="page"/>
      </w:r>
    </w:p>
    <w:p>
      <w:pPr>
        <w:pStyle w:val="Heading1"/>
        <w:pBdr>
          <w:bottom w:val="single" w:sz="8" w:space="6" w:color="0F626B"/>
        </w:pBdr>
      </w:pPr>
      <w:r>
        <w:t>11. Design Rationale - Questions Answered</w:t>
      </w:r>
    </w:p>
    <w:p>
      <w:pPr>
        <w:keepNext/>
        <w:spacing w:before="180" w:after="40"/>
      </w:pPr>
      <w:r>
        <w:rPr>
          <w:rFonts w:ascii="Calibri" w:hAnsi="Calibri"/>
          <w:b/>
          <w:color w:val="0B4A52"/>
          <w:sz w:val="21"/>
        </w:rPr>
        <w:t>Why remove the old SSO profile instead of trying to sign into it?</w:t>
      </w:r>
    </w:p>
    <w:p>
      <w:pPr>
        <w:spacing w:after="60"/>
        <w:ind w:left="317"/>
      </w:pPr>
      <w:r>
        <w:rPr>
          <w:rFonts w:ascii="Calibri" w:hAnsi="Calibri"/>
          <w:b w:val="0"/>
          <w:i w:val="0"/>
          <w:color w:val="1A1F2B"/>
          <w:sz w:val="20"/>
        </w:rPr>
        <w:t>It belonged to a login nobody could recall - not something this project had ever used. Chasing access to an unrecoverable account costs more than starting clean, and starting clean produces an identity whose purpose and scope are actually documented from the moment it exists.</w:t>
      </w:r>
    </w:p>
    <w:p>
      <w:pPr>
        <w:keepNext/>
        <w:spacing w:before="180" w:after="40"/>
      </w:pPr>
      <w:r>
        <w:rPr>
          <w:rFonts w:ascii="Calibri" w:hAnsi="Calibri"/>
          <w:b/>
          <w:color w:val="0B4A52"/>
          <w:sz w:val="21"/>
        </w:rPr>
        <w:t>Why two IAM roles instead of one role with two trust conditions?</w:t>
      </w:r>
    </w:p>
    <w:p>
      <w:pPr>
        <w:spacing w:after="60"/>
        <w:ind w:left="317"/>
      </w:pPr>
      <w:r>
        <w:rPr>
          <w:rFonts w:ascii="Calibri" w:hAnsi="Calibri"/>
          <w:b w:val="0"/>
          <w:i w:val="0"/>
          <w:color w:val="1A1F2B"/>
          <w:sz w:val="20"/>
        </w:rPr>
        <w:t>A single role assumable from both a pull request and a push to main would let any open PR - reviewed or not - carry the same permissions as a merge. Two roles make the PR-vs-merge boundary an IAM fact, not just a workflow convention someone could bypass by triggering the wrong job.</w:t>
      </w:r>
    </w:p>
    <w:p>
      <w:pPr>
        <w:keepNext/>
        <w:spacing w:before="180" w:after="40"/>
      </w:pPr>
      <w:r>
        <w:rPr>
          <w:rFonts w:ascii="Calibri" w:hAnsi="Calibri"/>
          <w:b/>
          <w:color w:val="0B4A52"/>
          <w:sz w:val="21"/>
        </w:rPr>
        <w:t>How did you actually find the real OIDC subject claim GitHub was sending?</w:t>
      </w:r>
    </w:p>
    <w:p>
      <w:pPr>
        <w:spacing w:after="60"/>
        <w:ind w:left="317"/>
      </w:pPr>
      <w:r>
        <w:rPr>
          <w:rFonts w:ascii="Calibri" w:hAnsi="Calibri"/>
          <w:b w:val="0"/>
          <w:i w:val="0"/>
          <w:color w:val="1A1F2B"/>
          <w:sz w:val="20"/>
        </w:rPr>
        <w:t xml:space="preserve">CloudTrail. </w:t>
      </w:r>
      <w:r>
        <w:rPr>
          <w:rFonts w:ascii="Consolas" w:hAnsi="Consolas"/>
          <w:b w:val="0"/>
          <w:i w:val="0"/>
          <w:color w:val="1F4E57"/>
          <w:sz w:val="18"/>
        </w:rPr>
        <w:t>AssumeRoleWithWebIdentity</w:t>
      </w:r>
      <w:r>
        <w:rPr>
          <w:rFonts w:ascii="Calibri" w:hAnsi="Calibri"/>
          <w:b w:val="0"/>
          <w:i w:val="0"/>
          <w:color w:val="1A1F2B"/>
          <w:sz w:val="20"/>
        </w:rPr>
        <w:t xml:space="preserve">'s own denied-request events record the exact </w:t>
      </w:r>
      <w:r>
        <w:rPr>
          <w:rFonts w:ascii="Consolas" w:hAnsi="Consolas"/>
          <w:b w:val="0"/>
          <w:i w:val="0"/>
          <w:color w:val="1F4E57"/>
          <w:sz w:val="18"/>
        </w:rPr>
        <w:t>userIdentity.principalId</w:t>
      </w:r>
      <w:r>
        <w:rPr>
          <w:rFonts w:ascii="Calibri" w:hAnsi="Calibri"/>
          <w:b w:val="0"/>
          <w:i w:val="0"/>
          <w:color w:val="1A1F2B"/>
          <w:sz w:val="20"/>
        </w:rPr>
        <w:t xml:space="preserve"> GitHub presented, which is the ground truth - far more reliable than guessing from documentation that might describe an older default.</w:t>
      </w:r>
    </w:p>
    <w:p>
      <w:pPr>
        <w:keepNext/>
        <w:spacing w:before="180" w:after="40"/>
      </w:pPr>
      <w:r>
        <w:rPr>
          <w:rFonts w:ascii="Calibri" w:hAnsi="Calibri"/>
          <w:b/>
          <w:color w:val="0B4A52"/>
          <w:sz w:val="21"/>
        </w:rPr>
        <w:t>Why didn't you just grant broad S3 permissions from the start and skip two of the six bugs?</w:t>
      </w:r>
    </w:p>
    <w:p>
      <w:pPr>
        <w:spacing w:after="60"/>
        <w:ind w:left="317"/>
      </w:pPr>
      <w:r>
        <w:rPr>
          <w:rFonts w:ascii="Calibri" w:hAnsi="Calibri"/>
          <w:b w:val="0"/>
          <w:i w:val="0"/>
          <w:color w:val="1A1F2B"/>
          <w:sz w:val="20"/>
        </w:rPr>
        <w:t>Because the point of scoping IAM tightly is that the tight version is the one worth explaining in an interview, not the broad one. Discovering the real minimum through actual failures, then documenting exactly why each permission is there, is a stronger and more honest story than guessing generously and never finding out what was actually load-bearing.</w:t>
      </w:r>
    </w:p>
    <w:p>
      <w:pPr>
        <w:keepNext/>
        <w:spacing w:before="180" w:after="40"/>
      </w:pPr>
      <w:r>
        <w:rPr>
          <w:rFonts w:ascii="Calibri" w:hAnsi="Calibri"/>
          <w:b/>
          <w:color w:val="0B4A52"/>
          <w:sz w:val="21"/>
        </w:rPr>
        <w:t>The Trivy gate failed once on a real finding. Why is that in the document as a good thing?</w:t>
      </w:r>
    </w:p>
    <w:p>
      <w:pPr>
        <w:spacing w:after="60"/>
        <w:ind w:left="317"/>
      </w:pPr>
      <w:r>
        <w:rPr>
          <w:rFonts w:ascii="Calibri" w:hAnsi="Calibri"/>
          <w:b w:val="0"/>
          <w:i w:val="0"/>
          <w:color w:val="1A1F2B"/>
          <w:sz w:val="20"/>
        </w:rPr>
        <w:t>Because a gate that never fires is indistinguishable from a gate that doesn't work. It found a real CRITICAL with a real fix, and separately forced a genuine, individually-justified decision about eight CVEs with no fix yet - that's the gate doing its job, not a bug in the pipeline.</w:t>
      </w:r>
    </w:p>
    <w:p>
      <w:pPr>
        <w:keepNext/>
        <w:spacing w:before="180" w:after="40"/>
      </w:pPr>
      <w:r>
        <w:rPr>
          <w:rFonts w:ascii="Calibri" w:hAnsi="Calibri"/>
          <w:b/>
          <w:color w:val="0B4A52"/>
          <w:sz w:val="21"/>
        </w:rPr>
        <w:t>Why keyless signing instead of the simpler-sounding stored-key approach?</w:t>
      </w:r>
    </w:p>
    <w:p>
      <w:pPr>
        <w:spacing w:after="60"/>
        <w:ind w:left="317"/>
      </w:pPr>
      <w:r>
        <w:rPr>
          <w:rFonts w:ascii="Calibri" w:hAnsi="Calibri"/>
          <w:b w:val="0"/>
          <w:i w:val="0"/>
          <w:color w:val="1A1F2B"/>
          <w:sz w:val="20"/>
        </w:rPr>
        <w:t>A stored key is a secret with a lifecycle: generated once, needs rotating, needs protecting, and is a single thing that, if it leaked, could forge a signature indefinitely. Keyless signing ties each signature to a specific workflow run's short-lived identity instead - there is nothing long-lived to leak in the first place.</w:t>
      </w:r>
    </w:p>
    <w:p>
      <w:pPr>
        <w:keepNext/>
        <w:spacing w:before="180" w:after="40"/>
      </w:pPr>
      <w:r>
        <w:rPr>
          <w:rFonts w:ascii="Calibri" w:hAnsi="Calibri"/>
          <w:b/>
          <w:color w:val="0B4A52"/>
          <w:sz w:val="21"/>
        </w:rPr>
        <w:t>What would you do differently starting this milestone over?</w:t>
      </w:r>
    </w:p>
    <w:p>
      <w:pPr>
        <w:spacing w:after="60"/>
        <w:ind w:left="317"/>
      </w:pPr>
      <w:r>
        <w:rPr>
          <w:rFonts w:ascii="Calibri" w:hAnsi="Calibri"/>
          <w:b w:val="0"/>
          <w:i w:val="0"/>
          <w:color w:val="1A1F2B"/>
          <w:sz w:val="20"/>
        </w:rPr>
        <w:t xml:space="preserve">Check </w:t>
      </w:r>
      <w:r>
        <w:rPr>
          <w:rFonts w:ascii="Consolas" w:hAnsi="Consolas"/>
          <w:b w:val="0"/>
          <w:i w:val="0"/>
          <w:color w:val="1F4E57"/>
          <w:sz w:val="18"/>
        </w:rPr>
        <w:t>gh api .../actions/oidc/customization/sub</w:t>
      </w:r>
      <w:r>
        <w:rPr>
          <w:rFonts w:ascii="Calibri" w:hAnsi="Calibri"/>
          <w:b w:val="0"/>
          <w:i w:val="0"/>
          <w:color w:val="1A1F2B"/>
          <w:sz w:val="20"/>
        </w:rPr>
        <w:t xml:space="preserve"> and grant </w:t>
      </w:r>
      <w:r>
        <w:rPr>
          <w:rFonts w:ascii="Consolas" w:hAnsi="Consolas"/>
          <w:b w:val="0"/>
          <w:i w:val="0"/>
          <w:color w:val="1F4E57"/>
          <w:sz w:val="18"/>
        </w:rPr>
        <w:t>s3:Get*</w:t>
      </w:r>
      <w:r>
        <w:rPr>
          <w:rFonts w:ascii="Calibri" w:hAnsi="Calibri"/>
          <w:b w:val="0"/>
          <w:i w:val="0"/>
          <w:color w:val="1A1F2B"/>
          <w:sz w:val="20"/>
        </w:rPr>
        <w:t>/</w:t>
      </w:r>
      <w:r>
        <w:rPr>
          <w:rFonts w:ascii="Consolas" w:hAnsi="Consolas"/>
          <w:b w:val="0"/>
          <w:i w:val="0"/>
          <w:color w:val="1F4E57"/>
          <w:sz w:val="18"/>
        </w:rPr>
        <w:t>s3:List*</w:t>
      </w:r>
      <w:r>
        <w:rPr>
          <w:rFonts w:ascii="Calibri" w:hAnsi="Calibri"/>
          <w:b w:val="0"/>
          <w:i w:val="0"/>
          <w:color w:val="1A1F2B"/>
          <w:sz w:val="20"/>
        </w:rPr>
        <w:t xml:space="preserve"> from the start, instead of discovering both the hard way. Everything else - the identity split, the two-role design, the local-state-then-migrate bootstrap - held up exactly as designed under real load.</w:t>
      </w:r>
    </w:p>
    <w:p>
      <w:r>
        <w:br w:type="page"/>
      </w:r>
    </w:p>
    <w:p>
      <w:pPr>
        <w:pStyle w:val="Heading1"/>
        <w:pBdr>
          <w:bottom w:val="single" w:sz="8" w:space="6" w:color="0F626B"/>
        </w:pBdr>
      </w:pPr>
      <w:r>
        <w:t>12. Glossary - Terms Introduced in M2</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160"/>
            <w:shd w:val="clear" w:color="auto" w:fill="0F626B"/>
          </w:tcPr>
          <w:p>
            <w:pPr>
              <w:spacing w:before="40" w:after="40"/>
            </w:pPr>
            <w:r/>
            <w:r>
              <w:rPr>
                <w:rFonts w:ascii="Calibri" w:hAnsi="Calibri"/>
                <w:b/>
                <w:color w:val="FFFFFF"/>
                <w:sz w:val="18"/>
              </w:rPr>
              <w:t>Term</w:t>
            </w:r>
          </w:p>
        </w:tc>
        <w:tc>
          <w:tcPr>
            <w:tcW w:type="dxa" w:w="7344"/>
            <w:shd w:val="clear" w:color="auto" w:fill="0F626B"/>
          </w:tcPr>
          <w:p>
            <w:pPr>
              <w:spacing w:before="40" w:after="40"/>
            </w:pPr>
            <w:r/>
            <w:r>
              <w:rPr>
                <w:rFonts w:ascii="Calibri" w:hAnsi="Calibri"/>
                <w:b/>
                <w:color w:val="FFFFFF"/>
                <w:sz w:val="18"/>
              </w:rPr>
              <w:t>Plain meaning</w:t>
            </w:r>
          </w:p>
        </w:tc>
      </w:tr>
      <w:tr>
        <w:tc>
          <w:tcPr>
            <w:tcW w:type="dxa" w:w="2160"/>
          </w:tcPr>
          <w:p>
            <w:pPr>
              <w:spacing w:before="40" w:after="40"/>
            </w:pPr>
            <w:r/>
            <w:r>
              <w:rPr>
                <w:rFonts w:ascii="Calibri" w:hAnsi="Calibri"/>
                <w:b/>
                <w:i w:val="0"/>
                <w:color w:val="1A1F2B"/>
                <w:sz w:val="18"/>
              </w:rPr>
              <w:t>OIDC (OpenID Connect)</w:t>
            </w:r>
          </w:p>
        </w:tc>
        <w:tc>
          <w:tcPr>
            <w:tcW w:type="dxa" w:w="7344"/>
          </w:tcPr>
          <w:p>
            <w:pPr>
              <w:spacing w:before="40" w:after="40"/>
            </w:pPr>
            <w:r/>
            <w:r>
              <w:rPr>
                <w:rFonts w:ascii="Calibri" w:hAnsi="Calibri"/>
                <w:b w:val="0"/>
                <w:i w:val="0"/>
                <w:color w:val="1A1F2B"/>
                <w:sz w:val="18"/>
              </w:rPr>
              <w:t>A standard way for one system (GitHub Actions) to prove its identity to another (AWS) using a short-lived, cryptographically signed token instead of a long-lived password or key.</w:t>
            </w:r>
          </w:p>
        </w:tc>
      </w:tr>
      <w:tr>
        <w:tc>
          <w:tcPr>
            <w:tcW w:type="dxa" w:w="2160"/>
            <w:shd w:val="clear" w:color="auto" w:fill="F2F6F7"/>
          </w:tcPr>
          <w:p>
            <w:pPr>
              <w:spacing w:before="40" w:after="40"/>
            </w:pPr>
            <w:r/>
            <w:r>
              <w:rPr>
                <w:rFonts w:ascii="Calibri" w:hAnsi="Calibri"/>
                <w:b/>
                <w:i w:val="0"/>
                <w:color w:val="1A1F2B"/>
                <w:sz w:val="18"/>
              </w:rPr>
              <w:t>Keyless signing</w:t>
            </w:r>
          </w:p>
        </w:tc>
        <w:tc>
          <w:tcPr>
            <w:tcW w:type="dxa" w:w="7344"/>
            <w:shd w:val="clear" w:color="auto" w:fill="F2F6F7"/>
          </w:tcPr>
          <w:p>
            <w:pPr>
              <w:spacing w:before="40" w:after="40"/>
            </w:pPr>
            <w:r/>
            <w:r>
              <w:rPr>
                <w:rFonts w:ascii="Calibri" w:hAnsi="Calibri"/>
                <w:b w:val="0"/>
                <w:i w:val="0"/>
                <w:color w:val="1A1F2B"/>
                <w:sz w:val="18"/>
              </w:rPr>
              <w:t>Signing something without a stored private key, by using a short-lived certificate issued for one specific, verifiable identity (here, a GitHub workflow run) instead.</w:t>
            </w:r>
          </w:p>
        </w:tc>
      </w:tr>
      <w:tr>
        <w:tc>
          <w:tcPr>
            <w:tcW w:type="dxa" w:w="2160"/>
          </w:tcPr>
          <w:p>
            <w:pPr>
              <w:spacing w:before="40" w:after="40"/>
            </w:pPr>
            <w:r/>
            <w:r>
              <w:rPr>
                <w:rFonts w:ascii="Calibri" w:hAnsi="Calibri"/>
                <w:b/>
                <w:i w:val="0"/>
                <w:color w:val="1A1F2B"/>
                <w:sz w:val="18"/>
              </w:rPr>
              <w:t>Fulcio / Rekor</w:t>
            </w:r>
          </w:p>
        </w:tc>
        <w:tc>
          <w:tcPr>
            <w:tcW w:type="dxa" w:w="7344"/>
          </w:tcPr>
          <w:p>
            <w:pPr>
              <w:spacing w:before="40" w:after="40"/>
            </w:pPr>
            <w:r/>
            <w:r>
              <w:rPr>
                <w:rFonts w:ascii="Calibri" w:hAnsi="Calibri"/>
                <w:b w:val="0"/>
                <w:i w:val="0"/>
                <w:color w:val="1A1F2B"/>
                <w:sz w:val="18"/>
              </w:rPr>
              <w:t>Sigstore's certificate authority (issues the short-lived signing certificate) and public transparency log (permanently, publicly records that a signature was made) - the two services keyless cosign signing relies on.</w:t>
            </w:r>
          </w:p>
        </w:tc>
      </w:tr>
      <w:tr>
        <w:tc>
          <w:tcPr>
            <w:tcW w:type="dxa" w:w="2160"/>
            <w:shd w:val="clear" w:color="auto" w:fill="F2F6F7"/>
          </w:tcPr>
          <w:p>
            <w:pPr>
              <w:spacing w:before="40" w:after="40"/>
            </w:pPr>
            <w:r/>
            <w:r>
              <w:rPr>
                <w:rFonts w:ascii="Calibri" w:hAnsi="Calibri"/>
                <w:b/>
                <w:i w:val="0"/>
                <w:color w:val="1A1F2B"/>
                <w:sz w:val="18"/>
              </w:rPr>
              <w:t>SBOM (Software Bill of Materials)</w:t>
            </w:r>
          </w:p>
        </w:tc>
        <w:tc>
          <w:tcPr>
            <w:tcW w:type="dxa" w:w="7344"/>
            <w:shd w:val="clear" w:color="auto" w:fill="F2F6F7"/>
          </w:tcPr>
          <w:p>
            <w:pPr>
              <w:spacing w:before="40" w:after="40"/>
            </w:pPr>
            <w:r/>
            <w:r>
              <w:rPr>
                <w:rFonts w:ascii="Calibri" w:hAnsi="Calibri"/>
                <w:b w:val="0"/>
                <w:i w:val="0"/>
                <w:color w:val="1A1F2B"/>
                <w:sz w:val="18"/>
              </w:rPr>
              <w:t>A structured, machine-readable list of every package inside a built artefact - here, an SPDX-2.3 document listing all 127 packages in the gateway image.</w:t>
            </w:r>
          </w:p>
        </w:tc>
      </w:tr>
      <w:tr>
        <w:tc>
          <w:tcPr>
            <w:tcW w:type="dxa" w:w="2160"/>
          </w:tcPr>
          <w:p>
            <w:pPr>
              <w:spacing w:before="40" w:after="40"/>
            </w:pPr>
            <w:r/>
            <w:r>
              <w:rPr>
                <w:rFonts w:ascii="Calibri" w:hAnsi="Calibri"/>
                <w:b/>
                <w:i w:val="0"/>
                <w:color w:val="1A1F2B"/>
                <w:sz w:val="18"/>
              </w:rPr>
              <w:t>Immutable OIDC subject claim</w:t>
            </w:r>
          </w:p>
        </w:tc>
        <w:tc>
          <w:tcPr>
            <w:tcW w:type="dxa" w:w="7344"/>
          </w:tcPr>
          <w:p>
            <w:pPr>
              <w:spacing w:before="40" w:after="40"/>
            </w:pPr>
            <w:r/>
            <w:r>
              <w:rPr>
                <w:rFonts w:ascii="Calibri" w:hAnsi="Calibri"/>
                <w:b w:val="0"/>
                <w:i w:val="0"/>
                <w:color w:val="1A1F2B"/>
                <w:sz w:val="18"/>
              </w:rPr>
              <w:t>GitHub's newer identity-token format, embedding each repository and owner's permanent numeric ID alongside their name, so a renamed or recreated repository can't inherit an old trust relationship's identity.</w:t>
            </w:r>
          </w:p>
        </w:tc>
      </w:tr>
      <w:tr>
        <w:tc>
          <w:tcPr>
            <w:tcW w:type="dxa" w:w="2160"/>
            <w:shd w:val="clear" w:color="auto" w:fill="F2F6F7"/>
          </w:tcPr>
          <w:p>
            <w:pPr>
              <w:spacing w:before="40" w:after="40"/>
            </w:pPr>
            <w:r/>
            <w:r>
              <w:rPr>
                <w:rFonts w:ascii="Calibri" w:hAnsi="Calibri"/>
                <w:b/>
                <w:i w:val="0"/>
                <w:color w:val="1A1F2B"/>
                <w:sz w:val="18"/>
              </w:rPr>
              <w:t>S3-native locking</w:t>
            </w:r>
          </w:p>
        </w:tc>
        <w:tc>
          <w:tcPr>
            <w:tcW w:type="dxa" w:w="7344"/>
            <w:shd w:val="clear" w:color="auto" w:fill="F2F6F7"/>
          </w:tcPr>
          <w:p>
            <w:pPr>
              <w:spacing w:before="40" w:after="40"/>
            </w:pPr>
            <w:r/>
            <w:r>
              <w:rPr>
                <w:rFonts w:ascii="Calibri" w:hAnsi="Calibri"/>
                <w:b w:val="0"/>
                <w:i w:val="0"/>
                <w:color w:val="1A1F2B"/>
                <w:sz w:val="18"/>
              </w:rPr>
              <w:t>S3's own conditional-write mechanism used directly as a Terraform state lock, replacing the older pattern of a separate DynamoDB table for the same purpose.</w:t>
            </w:r>
          </w:p>
        </w:tc>
      </w:tr>
      <w:tr>
        <w:tc>
          <w:tcPr>
            <w:tcW w:type="dxa" w:w="2160"/>
          </w:tcPr>
          <w:p>
            <w:pPr>
              <w:spacing w:before="40" w:after="40"/>
            </w:pPr>
            <w:r/>
            <w:r>
              <w:rPr>
                <w:rFonts w:ascii="Calibri" w:hAnsi="Calibri"/>
                <w:b/>
                <w:i w:val="0"/>
                <w:color w:val="1A1F2B"/>
                <w:sz w:val="18"/>
              </w:rPr>
              <w:t>Trust policy</w:t>
            </w:r>
          </w:p>
        </w:tc>
        <w:tc>
          <w:tcPr>
            <w:tcW w:type="dxa" w:w="7344"/>
          </w:tcPr>
          <w:p>
            <w:pPr>
              <w:spacing w:before="40" w:after="40"/>
            </w:pPr>
            <w:r/>
            <w:r>
              <w:rPr>
                <w:rFonts w:ascii="Calibri" w:hAnsi="Calibri"/>
                <w:b w:val="0"/>
                <w:i w:val="0"/>
                <w:color w:val="1A1F2B"/>
                <w:sz w:val="18"/>
              </w:rPr>
              <w:t xml:space="preserve">The IAM document on a role that decides </w:t>
            </w:r>
            <w:r>
              <w:rPr>
                <w:rFonts w:ascii="Calibri" w:hAnsi="Calibri"/>
                <w:b w:val="0"/>
                <w:i/>
                <w:color w:val="1A1F2B"/>
                <w:sz w:val="18"/>
              </w:rPr>
              <w:t>who</w:t>
            </w:r>
            <w:r>
              <w:rPr>
                <w:rFonts w:ascii="Calibri" w:hAnsi="Calibri"/>
                <w:b w:val="0"/>
                <w:i w:val="0"/>
                <w:color w:val="1A1F2B"/>
                <w:sz w:val="18"/>
              </w:rPr>
              <w:t xml:space="preserve"> is allowed to assume it - distinct from the role's permission policy, which decides what it can </w:t>
            </w:r>
            <w:r>
              <w:rPr>
                <w:rFonts w:ascii="Calibri" w:hAnsi="Calibri"/>
                <w:b w:val="0"/>
                <w:i/>
                <w:color w:val="1A1F2B"/>
                <w:sz w:val="18"/>
              </w:rPr>
              <w:t>do</w:t>
            </w:r>
            <w:r>
              <w:rPr>
                <w:rFonts w:ascii="Calibri" w:hAnsi="Calibri"/>
                <w:b w:val="0"/>
                <w:i w:val="0"/>
                <w:color w:val="1A1F2B"/>
                <w:sz w:val="18"/>
              </w:rPr>
              <w:t xml:space="preserve"> once assumed.</w:t>
            </w:r>
          </w:p>
        </w:tc>
      </w:tr>
      <w:tr>
        <w:tc>
          <w:tcPr>
            <w:tcW w:type="dxa" w:w="2160"/>
            <w:shd w:val="clear" w:color="auto" w:fill="F2F6F7"/>
          </w:tcPr>
          <w:p>
            <w:pPr>
              <w:spacing w:before="40" w:after="40"/>
            </w:pPr>
            <w:r/>
            <w:r>
              <w:rPr>
                <w:rFonts w:ascii="Calibri" w:hAnsi="Calibri"/>
                <w:b/>
                <w:i w:val="0"/>
                <w:color w:val="1A1F2B"/>
                <w:sz w:val="18"/>
              </w:rPr>
              <w:t>Accepted-risk exception</w:t>
            </w:r>
          </w:p>
        </w:tc>
        <w:tc>
          <w:tcPr>
            <w:tcW w:type="dxa" w:w="7344"/>
            <w:shd w:val="clear" w:color="auto" w:fill="F2F6F7"/>
          </w:tcPr>
          <w:p>
            <w:pPr>
              <w:spacing w:before="40" w:after="40"/>
            </w:pPr>
            <w:r/>
            <w:r>
              <w:rPr>
                <w:rFonts w:ascii="Calibri" w:hAnsi="Calibri"/>
                <w:b w:val="0"/>
                <w:i w:val="0"/>
                <w:color w:val="1A1F2B"/>
                <w:sz w:val="18"/>
              </w:rPr>
              <w:t>A deliberately documented, reviewed decision to allow a known finding (here, a CVE with no upstream fix) rather than block on something nobody can currently fix - the opposite of silently lowering a gate's threshold.</w:t>
            </w:r>
          </w:p>
        </w:tc>
      </w:tr>
    </w:tbl>
    <w:p>
      <w:pPr>
        <w:spacing w:after="60"/>
      </w:pPr>
    </w:p>
    <w:p>
      <w:r>
        <w:br w:type="page"/>
      </w:r>
    </w:p>
    <w:p>
      <w:pPr>
        <w:pStyle w:val="Heading1"/>
        <w:pBdr>
          <w:bottom w:val="single" w:sz="8" w:space="6" w:color="0F626B"/>
        </w:pBdr>
      </w:pPr>
      <w:r>
        <w:t>13. Open Items Going Into M3</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024"/>
            <w:shd w:val="clear" w:color="auto" w:fill="0F626B"/>
          </w:tcPr>
          <w:p>
            <w:pPr>
              <w:spacing w:before="40" w:after="40"/>
            </w:pPr>
            <w:r/>
            <w:r>
              <w:rPr>
                <w:rFonts w:ascii="Calibri" w:hAnsi="Calibri"/>
                <w:b/>
                <w:color w:val="FFFFFF"/>
                <w:sz w:val="18"/>
              </w:rPr>
              <w:t>Item</w:t>
            </w:r>
          </w:p>
        </w:tc>
        <w:tc>
          <w:tcPr>
            <w:tcW w:type="dxa" w:w="2664"/>
            <w:shd w:val="clear" w:color="auto" w:fill="0F626B"/>
          </w:tcPr>
          <w:p>
            <w:pPr>
              <w:spacing w:before="40" w:after="40"/>
            </w:pPr>
            <w:r/>
            <w:r>
              <w:rPr>
                <w:rFonts w:ascii="Calibri" w:hAnsi="Calibri"/>
                <w:b/>
                <w:color w:val="FFFFFF"/>
                <w:sz w:val="18"/>
              </w:rPr>
              <w:t>Status</w:t>
            </w:r>
          </w:p>
        </w:tc>
        <w:tc>
          <w:tcPr>
            <w:tcW w:type="dxa" w:w="3672"/>
            <w:shd w:val="clear" w:color="auto" w:fill="0F626B"/>
          </w:tcPr>
          <w:p>
            <w:pPr>
              <w:spacing w:before="40" w:after="40"/>
            </w:pPr>
            <w:r/>
            <w:r>
              <w:rPr>
                <w:rFonts w:ascii="Calibri" w:hAnsi="Calibri"/>
                <w:b/>
                <w:color w:val="FFFFFF"/>
                <w:sz w:val="18"/>
              </w:rPr>
              <w:t>Action</w:t>
            </w:r>
          </w:p>
        </w:tc>
      </w:tr>
      <w:tr>
        <w:tc>
          <w:tcPr>
            <w:tcW w:type="dxa" w:w="3024"/>
          </w:tcPr>
          <w:p>
            <w:pPr>
              <w:spacing w:before="40" w:after="40"/>
            </w:pPr>
            <w:r/>
            <w:r>
              <w:rPr>
                <w:rFonts w:ascii="Calibri" w:hAnsi="Calibri"/>
                <w:b w:val="0"/>
                <w:i w:val="0"/>
                <w:color w:val="1A1F2B"/>
                <w:sz w:val="19"/>
              </w:rPr>
              <w:t>Signed images aren't verified or enforced at deploy time yet</w:t>
            </w:r>
          </w:p>
        </w:tc>
        <w:tc>
          <w:tcPr>
            <w:tcW w:type="dxa" w:w="2664"/>
          </w:tcPr>
          <w:p>
            <w:pPr>
              <w:spacing w:before="40" w:after="40"/>
            </w:pPr>
            <w:r/>
            <w:r>
              <w:rPr>
                <w:rFonts w:ascii="Calibri" w:hAnsi="Calibri"/>
                <w:b w:val="0"/>
                <w:i w:val="0"/>
                <w:color w:val="1A1F2B"/>
                <w:sz w:val="19"/>
              </w:rPr>
              <w:t>M2 signs; nothing checks the signature before running an image</w:t>
            </w:r>
          </w:p>
        </w:tc>
        <w:tc>
          <w:tcPr>
            <w:tcW w:type="dxa" w:w="3672"/>
          </w:tcPr>
          <w:p>
            <w:pPr>
              <w:spacing w:before="40" w:after="40"/>
            </w:pPr>
            <w:r/>
            <w:r>
              <w:rPr>
                <w:rFonts w:ascii="Calibri" w:hAnsi="Calibri"/>
                <w:b w:val="0"/>
                <w:i w:val="0"/>
                <w:color w:val="1A1F2B"/>
                <w:sz w:val="19"/>
              </w:rPr>
              <w:t>M3: a Kyverno policy verifies the cosign signature at admission and blocks anything unsigned or from the wrong identity.</w:t>
            </w:r>
          </w:p>
        </w:tc>
      </w:tr>
      <w:tr>
        <w:tc>
          <w:tcPr>
            <w:tcW w:type="dxa" w:w="3024"/>
            <w:shd w:val="clear" w:color="auto" w:fill="F2F6F7"/>
          </w:tcPr>
          <w:p>
            <w:pPr>
              <w:spacing w:before="40" w:after="40"/>
            </w:pPr>
            <w:r/>
            <w:r>
              <w:rPr>
                <w:rFonts w:ascii="Calibri" w:hAnsi="Calibri"/>
                <w:b w:val="0"/>
                <w:i w:val="0"/>
                <w:color w:val="1A1F2B"/>
                <w:sz w:val="19"/>
              </w:rPr>
              <w:t>Secrets still live in plain environment variables</w:t>
            </w:r>
          </w:p>
        </w:tc>
        <w:tc>
          <w:tcPr>
            <w:tcW w:type="dxa" w:w="2664"/>
            <w:shd w:val="clear" w:color="auto" w:fill="F2F6F7"/>
          </w:tcPr>
          <w:p>
            <w:pPr>
              <w:spacing w:before="40" w:after="40"/>
            </w:pPr>
            <w:r/>
            <w:r>
              <w:rPr>
                <w:rFonts w:ascii="Calibri" w:hAnsi="Calibri"/>
                <w:b w:val="0"/>
                <w:i w:val="0"/>
                <w:color w:val="1A1F2B"/>
                <w:sz w:val="19"/>
              </w:rPr>
              <w:t>Fine for one operator, not a real secret-management story</w:t>
            </w:r>
          </w:p>
        </w:tc>
        <w:tc>
          <w:tcPr>
            <w:tcW w:type="dxa" w:w="3672"/>
            <w:shd w:val="clear" w:color="auto" w:fill="F2F6F7"/>
          </w:tcPr>
          <w:p>
            <w:pPr>
              <w:spacing w:before="40" w:after="40"/>
            </w:pPr>
            <w:r/>
            <w:r>
              <w:rPr>
                <w:rFonts w:ascii="Calibri" w:hAnsi="Calibri"/>
                <w:b w:val="0"/>
                <w:i w:val="0"/>
                <w:color w:val="1A1F2B"/>
                <w:sz w:val="19"/>
              </w:rPr>
              <w:t xml:space="preserve">M3 introduces SOPS + age for encrypted secrets in git, per the layout already reserved in </w:t>
            </w:r>
            <w:r>
              <w:rPr>
                <w:rFonts w:ascii="Consolas" w:hAnsi="Consolas"/>
                <w:b w:val="0"/>
                <w:i w:val="0"/>
                <w:color w:val="1F4E57"/>
                <w:sz w:val="17"/>
              </w:rPr>
              <w:t>deploy/secrets/</w:t>
            </w:r>
            <w:r>
              <w:rPr>
                <w:rFonts w:ascii="Calibri" w:hAnsi="Calibri"/>
                <w:b w:val="0"/>
                <w:i w:val="0"/>
                <w:color w:val="1A1F2B"/>
                <w:sz w:val="19"/>
              </w:rPr>
              <w:t>.</w:t>
            </w:r>
          </w:p>
        </w:tc>
      </w:tr>
      <w:tr>
        <w:tc>
          <w:tcPr>
            <w:tcW w:type="dxa" w:w="3024"/>
          </w:tcPr>
          <w:p>
            <w:pPr>
              <w:spacing w:before="40" w:after="40"/>
            </w:pPr>
            <w:r/>
            <w:r>
              <w:rPr>
                <w:rFonts w:ascii="Calibri" w:hAnsi="Calibri"/>
                <w:b w:val="0"/>
                <w:i w:val="0"/>
                <w:color w:val="1A1F2B"/>
                <w:sz w:val="19"/>
              </w:rPr>
              <w:t>The bootstrap identity is a static local credential</w:t>
            </w:r>
          </w:p>
        </w:tc>
        <w:tc>
          <w:tcPr>
            <w:tcW w:type="dxa" w:w="2664"/>
          </w:tcPr>
          <w:p>
            <w:pPr>
              <w:spacing w:before="40" w:after="40"/>
            </w:pPr>
            <w:r/>
            <w:r>
              <w:rPr>
                <w:rFonts w:ascii="Calibri" w:hAnsi="Calibri"/>
                <w:b w:val="0"/>
                <w:i w:val="0"/>
                <w:color w:val="1A1F2B"/>
                <w:sz w:val="19"/>
              </w:rPr>
              <w:t>Disclosed in §9, unchanged this milestone</w:t>
            </w:r>
          </w:p>
        </w:tc>
        <w:tc>
          <w:tcPr>
            <w:tcW w:type="dxa" w:w="3672"/>
          </w:tcPr>
          <w:p>
            <w:pPr>
              <w:spacing w:before="40" w:after="40"/>
            </w:pPr>
            <w:r/>
            <w:r>
              <w:rPr>
                <w:rFonts w:ascii="Calibri" w:hAnsi="Calibri"/>
                <w:b w:val="0"/>
                <w:i w:val="0"/>
                <w:color w:val="1A1F2B"/>
                <w:sz w:val="19"/>
              </w:rPr>
              <w:t>Acceptable for a hand-applied root; revisit only if the bootstrap process itself needs to be shared beyond one operator.</w:t>
            </w:r>
          </w:p>
        </w:tc>
      </w:tr>
      <w:tr>
        <w:tc>
          <w:tcPr>
            <w:tcW w:type="dxa" w:w="3024"/>
            <w:shd w:val="clear" w:color="auto" w:fill="F2F6F7"/>
          </w:tcPr>
          <w:p>
            <w:pPr>
              <w:spacing w:before="40" w:after="40"/>
            </w:pPr>
            <w:r/>
            <w:r>
              <w:rPr>
                <w:rFonts w:ascii="Consolas" w:hAnsi="Consolas"/>
                <w:b w:val="0"/>
                <w:i w:val="0"/>
                <w:color w:val="1F4E57"/>
                <w:sz w:val="17"/>
              </w:rPr>
              <w:t>.trivyignore</w:t>
            </w:r>
            <w:r>
              <w:rPr>
                <w:rFonts w:ascii="Calibri" w:hAnsi="Calibri"/>
                <w:b w:val="0"/>
                <w:i w:val="0"/>
                <w:color w:val="1A1F2B"/>
                <w:sz w:val="19"/>
              </w:rPr>
              <w:t xml:space="preserve"> has eight live entries</w:t>
            </w:r>
          </w:p>
        </w:tc>
        <w:tc>
          <w:tcPr>
            <w:tcW w:type="dxa" w:w="2664"/>
            <w:shd w:val="clear" w:color="auto" w:fill="F2F6F7"/>
          </w:tcPr>
          <w:p>
            <w:pPr>
              <w:spacing w:before="40" w:after="40"/>
            </w:pPr>
            <w:r/>
            <w:r>
              <w:rPr>
                <w:rFonts w:ascii="Calibri" w:hAnsi="Calibri"/>
                <w:b w:val="0"/>
                <w:i w:val="0"/>
                <w:color w:val="1A1F2B"/>
                <w:sz w:val="19"/>
              </w:rPr>
              <w:t>Justified today, not permanent</w:t>
            </w:r>
          </w:p>
        </w:tc>
        <w:tc>
          <w:tcPr>
            <w:tcW w:type="dxa" w:w="3672"/>
            <w:shd w:val="clear" w:color="auto" w:fill="F2F6F7"/>
          </w:tcPr>
          <w:p>
            <w:pPr>
              <w:spacing w:before="40" w:after="40"/>
            </w:pPr>
            <w:r/>
            <w:r>
              <w:rPr>
                <w:rFonts w:ascii="Calibri" w:hAnsi="Calibri"/>
                <w:b w:val="0"/>
                <w:i w:val="0"/>
                <w:color w:val="1A1F2B"/>
                <w:sz w:val="19"/>
              </w:rPr>
              <w:t>Re-check on any future touch of the Dockerfile or base image - remove entries Debian has since patched.</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WHERE M3 GOES</w:t>
            </w:r>
          </w:p>
          <w:p>
            <w:pPr>
              <w:spacing w:before="0" w:after="80"/>
            </w:pPr>
            <w:r>
              <w:rPr>
                <w:rFonts w:ascii="Calibri" w:hAnsi="Calibri"/>
                <w:b/>
                <w:i w:val="0"/>
                <w:color w:val="1A1F2B"/>
                <w:sz w:val="20"/>
              </w:rPr>
              <w:t>M3 - Kubernetes, GitOps &amp; Policy.</w:t>
            </w:r>
            <w:r>
              <w:rPr>
                <w:rFonts w:ascii="Calibri" w:hAnsi="Calibri"/>
                <w:b w:val="0"/>
                <w:i w:val="0"/>
                <w:color w:val="1A1F2B"/>
                <w:sz w:val="20"/>
              </w:rPr>
              <w:t xml:space="preserve"> Argo CD delivering what M2's pipeline signs, Kyverno enforcing that nothing unsigned or non-compliant is ever admitted, and SOPS/age replacing plain environment variables for anything secret - turning a pipeline that signs its output into a cluster that refuses to run anything it can't verify.</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Engineering Log - M2 Supply Chain &amp; CI/CD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Engineering Log - M2 Supply Chain &amp; CI/CD</dc:title>
  <dc:subject>Palisade - a secure, self-hosted LLM inference platform</dc:subject>
  <dc:creator>Saim Zaib</dc:creator>
  <cp:keywords>DevOps, DevSecOps, Kubernetes, GPU, engineering log</cp:keywords>
  <dc:description>generated by python-docx</dc:description>
  <cp:lastModifiedBy/>
  <cp:revision>1</cp:revision>
  <dcterms:created xsi:type="dcterms:W3CDTF">2013-12-23T23:15:00Z</dcterms:created>
  <dcterms:modified xsi:type="dcterms:W3CDTF">2013-12-23T23:15:00Z</dcterms:modified>
  <cp:category/>
</cp:coreProperties>
</file>