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INSTRUCTIONS / USER MANUAL</w:t>
      </w:r>
    </w:p>
    <w:p>
      <w:r>
        <w:rPr>
          <w:b/>
        </w:rPr>
        <w:t>Machine:</w:t>
      </w:r>
      <w:r>
        <w:t xml:space="preserve"> &lt;MACHINE_DESIGNATION&gt;  </w:t>
      </w:r>
    </w:p>
    <w:p>
      <w:r>
        <w:rPr>
          <w:b/>
        </w:rPr>
        <w:t>Model/Type:</w:t>
      </w:r>
      <w:r>
        <w:t xml:space="preserve"> &lt;MODEL_TYPE&gt;  </w:t>
      </w:r>
    </w:p>
    <w:p>
      <w:r>
        <w:rPr>
          <w:b/>
        </w:rPr>
        <w:t>Serial range:</w:t>
      </w:r>
      <w:r>
        <w:t xml:space="preserve"> &lt;SERIAL_RANGE&gt;  </w:t>
      </w:r>
    </w:p>
    <w:p>
      <w:r>
        <w:rPr>
          <w:b/>
        </w:rPr>
        <w:t>Document ID:</w:t>
      </w:r>
      <w:r>
        <w:t xml:space="preserve"> &lt;DOCUMENT_ID&gt;  </w:t>
      </w:r>
    </w:p>
    <w:p>
      <w:r>
        <w:rPr>
          <w:b/>
        </w:rPr>
        <w:t>Revision:</w:t>
      </w:r>
      <w:r>
        <w:t xml:space="preserve"> &lt;REVISION&gt;  </w:t>
      </w:r>
    </w:p>
    <w:p>
      <w:r>
        <w:rPr>
          <w:b/>
        </w:rPr>
        <w:t>Release date:</w:t>
      </w:r>
      <w:r>
        <w:t xml:space="preserve"> &lt;RELEASE_DATE&gt;  </w:t>
      </w:r>
    </w:p>
    <w:p>
      <w:r>
        <w:rPr>
          <w:b/>
        </w:rPr>
        <w:t>Language:</w:t>
      </w:r>
      <w:r>
        <w:t xml:space="preserve"> &lt;LANGUAGE&gt;  </w:t>
      </w:r>
    </w:p>
    <w:p/>
    <w:p>
      <w:pPr>
        <w:pStyle w:val="Heading2"/>
      </w:pPr>
      <w:r>
        <w:t>Legal status of this document</w:t>
      </w:r>
    </w:p>
    <w:p>
      <w:pPr>
        <w:pStyle w:val="ListBullet"/>
      </w:pPr>
      <w:r>
        <w:t xml:space="preserve">This document is provided as </w:t>
      </w:r>
      <w:r>
        <w:rPr>
          <w:b/>
        </w:rPr>
        <w:t>Original instructions</w:t>
      </w:r>
      <w:r>
        <w:t xml:space="preserve"> or as a </w:t>
      </w:r>
      <w:r>
        <w:rPr>
          <w:b/>
        </w:rPr>
        <w:t>Translation of the original instructions</w:t>
      </w:r>
      <w:r>
        <w:t xml:space="preserve"> (select one and comply with the applicable rules).</w:t>
      </w:r>
    </w:p>
    <w:p>
      <w:pPr>
        <w:pStyle w:val="ListBullet"/>
      </w:pPr>
      <w:r>
        <w:t>If this is a translation, it must be accompanied by the original instructions (where required by the applicable regime).</w:t>
      </w:r>
    </w:p>
    <w:p/>
    <w:p>
      <w:pPr>
        <w:pStyle w:val="Heading2"/>
      </w:pPr>
      <w:r>
        <w:t>Manufacturer and authorised representative</w:t>
      </w:r>
    </w:p>
    <w:p>
      <w:r>
        <w:rPr>
          <w:b/>
        </w:rPr>
        <w:t>Manufacturer:</w:t>
      </w:r>
      <w:r>
        <w:t xml:space="preserve"> &lt;MANUFACTURER_NAME&gt;  </w:t>
      </w:r>
    </w:p>
    <w:p>
      <w:r>
        <w:rPr>
          <w:b/>
        </w:rPr>
        <w:t>Address:</w:t>
      </w:r>
      <w:r>
        <w:t xml:space="preserve"> &lt;MANUFACTURER_ADDRESS&gt;  </w:t>
      </w:r>
    </w:p>
    <w:p>
      <w:r>
        <w:rPr>
          <w:b/>
        </w:rPr>
        <w:t>Authorised representative (if applicable):</w:t>
      </w:r>
      <w:r>
        <w:t xml:space="preserve"> &lt;AUTH_REP_NAME_AND_ADDRESS&gt;  </w:t>
      </w:r>
    </w:p>
    <w:p/>
    <w:p>
      <w:pPr>
        <w:pStyle w:val="Heading2"/>
      </w:pPr>
      <w:r>
        <w:t>EU Declaration of Conformity</w:t>
      </w:r>
    </w:p>
    <w:p>
      <w:r>
        <w:t>Provide one of the following:</w:t>
      </w:r>
    </w:p>
    <w:p>
      <w:pPr>
        <w:pStyle w:val="ListBullet"/>
      </w:pPr>
      <w:r>
        <w:t>Attached EU Declaration of Conformity (Annex), OR</w:t>
      </w:r>
    </w:p>
    <w:p>
      <w:pPr>
        <w:pStyle w:val="ListBullet"/>
      </w:pPr>
      <w:r>
        <w:t>Accessible at: &lt;EU_DECLARATION_URL_OR_QR&gt;</w:t>
      </w:r>
    </w:p>
    <w:p/>
    <w:p>
      <w:r>
        <w:t>---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Safety information</w:t>
      </w:r>
    </w:p>
    <w:p>
      <w:pPr>
        <w:pStyle w:val="ListNumber"/>
      </w:pPr>
      <w:r>
        <w:t>Intended use and foreseeable misuse</w:t>
      </w:r>
    </w:p>
    <w:p>
      <w:pPr>
        <w:pStyle w:val="ListNumber"/>
      </w:pPr>
      <w:r>
        <w:t>Machine description and technical data</w:t>
      </w:r>
    </w:p>
    <w:p>
      <w:pPr>
        <w:pStyle w:val="ListNumber"/>
      </w:pPr>
      <w:r>
        <w:t>Transport, handling and storage</w:t>
      </w:r>
    </w:p>
    <w:p>
      <w:pPr>
        <w:pStyle w:val="ListNumber"/>
      </w:pPr>
      <w:r>
        <w:t>Installation / assembly / commissioning</w:t>
      </w:r>
    </w:p>
    <w:p>
      <w:pPr>
        <w:pStyle w:val="ListNumber"/>
      </w:pPr>
      <w:r>
        <w:t>Operation</w:t>
      </w:r>
    </w:p>
    <w:p>
      <w:pPr>
        <w:pStyle w:val="ListNumber"/>
      </w:pPr>
      <w:r>
        <w:t>Cleaning and maintenance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Spare parts and consumables</w:t>
      </w:r>
    </w:p>
    <w:p>
      <w:pPr>
        <w:pStyle w:val="ListNumber"/>
      </w:pPr>
      <w:r>
        <w:t>Decommissioning and disposal</w:t>
      </w:r>
    </w:p>
    <w:p>
      <w:pPr>
        <w:pStyle w:val="ListNumber"/>
      </w:pPr>
      <w:r>
        <w:t>Annexes (DoC, drawings, diagrams, wiring, etc.)</w:t>
      </w:r>
    </w:p>
    <w:p>
      <w:pPr>
        <w:pStyle w:val="ListNumber"/>
      </w:pPr>
      <w:r>
        <w:t>Revision history</w:t>
      </w:r>
    </w:p>
    <w:p/>
    <w:p>
      <w:r>
        <w:t>---</w:t>
      </w:r>
    </w:p>
    <w:p/>
    <w:p>
      <w:pPr>
        <w:pStyle w:val="Heading1"/>
      </w:pPr>
      <w:r>
        <w:t>1. Safety information</w:t>
      </w:r>
    </w:p>
    <w:p/>
    <w:p>
      <w:pPr>
        <w:pStyle w:val="Heading2"/>
      </w:pPr>
      <w:r>
        <w:t>1.1 Safety alert levels</w:t>
      </w:r>
    </w:p>
    <w:p>
      <w:r>
        <w:t>Define and use consistently:</w:t>
      </w:r>
    </w:p>
    <w:p>
      <w:pPr>
        <w:pStyle w:val="ListBullet"/>
      </w:pPr>
      <w:r>
        <w:rPr>
          <w:b/>
        </w:rPr>
        <w:t>DANGER</w:t>
      </w:r>
      <w:r>
        <w:t>: will result in serious injury/death</w:t>
      </w:r>
    </w:p>
    <w:p>
      <w:pPr>
        <w:pStyle w:val="ListBullet"/>
      </w:pPr>
      <w:r>
        <w:rPr>
          <w:b/>
        </w:rPr>
        <w:t>WARNING</w:t>
      </w:r>
      <w:r>
        <w:t>: could result in serious injury/death</w:t>
      </w:r>
    </w:p>
    <w:p>
      <w:pPr>
        <w:pStyle w:val="ListBullet"/>
      </w:pPr>
      <w:r>
        <w:rPr>
          <w:b/>
        </w:rPr>
        <w:t>CAUTION</w:t>
      </w:r>
      <w:r>
        <w:t>: could result in minor/moderate injury</w:t>
      </w:r>
    </w:p>
    <w:p>
      <w:pPr>
        <w:pStyle w:val="ListBullet"/>
      </w:pPr>
      <w:r>
        <w:rPr>
          <w:b/>
        </w:rPr>
        <w:t>NOTICE</w:t>
      </w:r>
      <w:r>
        <w:t>: could result in property damage / quality loss</w:t>
      </w:r>
    </w:p>
    <w:p/>
    <w:p>
      <w:pPr>
        <w:pStyle w:val="Heading2"/>
      </w:pPr>
      <w:r>
        <w:t>1.2 Residual risks and required user measures</w:t>
      </w:r>
    </w:p>
    <w:p>
      <w:r>
        <w:t>List residual risks that remain after design/protective measures.</w:t>
      </w:r>
    </w:p>
    <w:p>
      <w:r>
        <w:t>For each residual risk:</w:t>
      </w:r>
    </w:p>
    <w:p>
      <w:pPr>
        <w:pStyle w:val="ListBullet"/>
      </w:pPr>
      <w:r>
        <w:t>Hazard description</w:t>
      </w:r>
    </w:p>
    <w:p>
      <w:pPr>
        <w:pStyle w:val="ListBullet"/>
      </w:pPr>
      <w:r>
        <w:t>Where/when it occurs</w:t>
      </w:r>
    </w:p>
    <w:p>
      <w:pPr>
        <w:pStyle w:val="ListBullet"/>
      </w:pPr>
      <w:r>
        <w:t>Consequence</w:t>
      </w:r>
    </w:p>
    <w:p>
      <w:pPr>
        <w:pStyle w:val="ListBullet"/>
      </w:pPr>
      <w:r>
        <w:t>Required PPE and behaviour</w:t>
      </w:r>
    </w:p>
    <w:p>
      <w:pPr>
        <w:pStyle w:val="ListBullet"/>
      </w:pPr>
      <w:r>
        <w:t>Evidence link (risk assessment item)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Residual risk</w:t>
            </w:r>
          </w:p>
        </w:tc>
        <w:tc>
          <w:tcPr>
            <w:tcW w:type="dxa" w:w="1728"/>
          </w:tcPr>
          <w:p>
            <w:r>
              <w:t>When/where</w:t>
            </w:r>
          </w:p>
        </w:tc>
        <w:tc>
          <w:tcPr>
            <w:tcW w:type="dxa" w:w="1728"/>
          </w:tcPr>
          <w:p>
            <w:r>
              <w:t>Consequence</w:t>
            </w:r>
          </w:p>
        </w:tc>
        <w:tc>
          <w:tcPr>
            <w:tcW w:type="dxa" w:w="1728"/>
          </w:tcPr>
          <w:p>
            <w:r>
              <w:t>User measure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&lt;RISK_1&gt;</w:t>
            </w:r>
          </w:p>
        </w:tc>
        <w:tc>
          <w:tcPr>
            <w:tcW w:type="dxa" w:w="1728"/>
          </w:tcPr>
          <w:p>
            <w:r>
              <w:t>&lt;WHEN_WHERE&gt;</w:t>
            </w:r>
          </w:p>
        </w:tc>
        <w:tc>
          <w:tcPr>
            <w:tcW w:type="dxa" w:w="1728"/>
          </w:tcPr>
          <w:p>
            <w:r>
              <w:t>&lt;CONSEQUENCE&gt;</w:t>
            </w:r>
          </w:p>
        </w:tc>
        <w:tc>
          <w:tcPr>
            <w:tcW w:type="dxa" w:w="1728"/>
          </w:tcPr>
          <w:p>
            <w:r>
              <w:t>&lt;MEASURE&gt;</w:t>
            </w:r>
          </w:p>
        </w:tc>
        <w:tc>
          <w:tcPr>
            <w:tcW w:type="dxa" w:w="1728"/>
          </w:tcPr>
          <w:p>
            <w:r>
              <w:t>EVID-0001</w:t>
            </w:r>
          </w:p>
        </w:tc>
      </w:tr>
      <w:tr>
        <w:tc>
          <w:tcPr>
            <w:tcW w:type="dxa" w:w="1728"/>
          </w:tcPr>
          <w:p>
            <w:r>
              <w:t>&lt;RISK_2&gt;</w:t>
            </w:r>
          </w:p>
        </w:tc>
        <w:tc>
          <w:tcPr>
            <w:tcW w:type="dxa" w:w="1728"/>
          </w:tcPr>
          <w:p>
            <w:r>
              <w:t>&lt;WHEN_WHERE&gt;</w:t>
            </w:r>
          </w:p>
        </w:tc>
        <w:tc>
          <w:tcPr>
            <w:tcW w:type="dxa" w:w="1728"/>
          </w:tcPr>
          <w:p>
            <w:r>
              <w:t>&lt;CONSEQUENCE&gt;</w:t>
            </w:r>
          </w:p>
        </w:tc>
        <w:tc>
          <w:tcPr>
            <w:tcW w:type="dxa" w:w="1728"/>
          </w:tcPr>
          <w:p>
            <w:r>
              <w:t>&lt;MEASURE&gt;</w:t>
            </w:r>
          </w:p>
        </w:tc>
        <w:tc>
          <w:tcPr>
            <w:tcW w:type="dxa" w:w="1728"/>
          </w:tcPr>
          <w:p>
            <w:r>
              <w:t>EVID-0002</w:t>
            </w:r>
          </w:p>
        </w:tc>
      </w:tr>
    </w:tbl>
    <w:p/>
    <w:p>
      <w:pPr>
        <w:pStyle w:val="Heading2"/>
      </w:pPr>
      <w:r>
        <w:t>1.3 Safety signs, pictograms, labels</w:t>
      </w:r>
    </w:p>
    <w:p>
      <w:r>
        <w:t>Inventory of labels on the machine:</w:t>
      </w:r>
    </w:p>
    <w:p>
      <w:pPr>
        <w:pStyle w:val="ListBullet"/>
      </w:pPr>
      <w:r>
        <w:t>Location</w:t>
      </w:r>
    </w:p>
    <w:p>
      <w:pPr>
        <w:pStyle w:val="ListBullet"/>
      </w:pPr>
      <w:r>
        <w:t>Meaning</w:t>
      </w:r>
    </w:p>
    <w:p>
      <w:pPr>
        <w:pStyle w:val="ListBullet"/>
      </w:pPr>
      <w:r>
        <w:t>Replacement/maintenance rule</w:t>
      </w:r>
    </w:p>
    <w:p>
      <w:pPr>
        <w:pStyle w:val="ListBullet"/>
      </w:pPr>
      <w:r>
        <w:t>Evidence: label artwork + placement drawing</w:t>
      </w:r>
    </w:p>
    <w:p/>
    <w:p>
      <w:r>
        <w:t>---</w:t>
      </w:r>
    </w:p>
    <w:p/>
    <w:p>
      <w:pPr>
        <w:pStyle w:val="Heading1"/>
      </w:pPr>
      <w:r>
        <w:t>2. Intended use and foreseeable misuse</w:t>
      </w:r>
    </w:p>
    <w:p/>
    <w:p>
      <w:pPr>
        <w:pStyle w:val="Heading2"/>
      </w:pPr>
      <w:r>
        <w:t>2.1 Intended use</w:t>
      </w:r>
    </w:p>
    <w:p>
      <w:r>
        <w:t>Describe exactly:</w:t>
      </w:r>
    </w:p>
    <w:p>
      <w:pPr>
        <w:pStyle w:val="ListBullet"/>
      </w:pPr>
      <w:r>
        <w:t>The process/task the machine is designed for</w:t>
      </w:r>
    </w:p>
    <w:p>
      <w:pPr>
        <w:pStyle w:val="ListBullet"/>
      </w:pPr>
      <w:r>
        <w:t>Allowed materials/inputs</w:t>
      </w:r>
    </w:p>
    <w:p>
      <w:pPr>
        <w:pStyle w:val="ListBullet"/>
      </w:pPr>
      <w:r>
        <w:t>Environment constraints (temperature, humidity, explosive atmosphere if relevant)</w:t>
      </w:r>
    </w:p>
    <w:p>
      <w:pPr>
        <w:pStyle w:val="ListBullet"/>
      </w:pPr>
      <w:r>
        <w:t>User profile (professional/non-professional)</w:t>
      </w:r>
    </w:p>
    <w:p/>
    <w:p>
      <w:pPr>
        <w:pStyle w:val="Heading2"/>
      </w:pPr>
      <w:r>
        <w:t>2.2 Foreseeable misuse (must be addressed)</w:t>
      </w:r>
    </w:p>
    <w:p>
      <w:r>
        <w:t>List misuse patterns that can reasonably occur and explicitly forbid them.</w:t>
      </w:r>
    </w:p>
    <w:p>
      <w:r>
        <w:t>Explain consequences and prevention.</w:t>
      </w:r>
    </w:p>
    <w:p/>
    <w:p>
      <w:r>
        <w:t>---</w:t>
      </w:r>
    </w:p>
    <w:p/>
    <w:p>
      <w:pPr>
        <w:pStyle w:val="Heading1"/>
      </w:pPr>
      <w:r>
        <w:t>3. Machine description and technical data</w:t>
      </w:r>
    </w:p>
    <w:p/>
    <w:p>
      <w:pPr>
        <w:pStyle w:val="Heading2"/>
      </w:pPr>
      <w:r>
        <w:t>3.1 Overview</w:t>
      </w:r>
    </w:p>
    <w:p>
      <w:r>
        <w:t>Provide:</w:t>
      </w:r>
    </w:p>
    <w:p>
      <w:pPr>
        <w:pStyle w:val="ListBullet"/>
      </w:pPr>
      <w:r>
        <w:t>General description</w:t>
      </w:r>
    </w:p>
    <w:p>
      <w:pPr>
        <w:pStyle w:val="ListBullet"/>
      </w:pPr>
      <w:r>
        <w:t>Main assemblies</w:t>
      </w:r>
    </w:p>
    <w:p>
      <w:pPr>
        <w:pStyle w:val="ListBullet"/>
      </w:pPr>
      <w:r>
        <w:t>Principle of operation</w:t>
      </w:r>
    </w:p>
    <w:p>
      <w:pPr>
        <w:pStyle w:val="ListBullet"/>
      </w:pPr>
      <w:r>
        <w:t>Workstations likely to be occupied by operators (describe positions)</w:t>
      </w:r>
    </w:p>
    <w:p/>
    <w:p>
      <w:pPr>
        <w:pStyle w:val="Heading2"/>
      </w:pPr>
      <w:r>
        <w:t>3.2 Technical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Notes / Evidence</w:t>
            </w:r>
          </w:p>
        </w:tc>
      </w:tr>
      <w:tr>
        <w:tc>
          <w:tcPr>
            <w:tcW w:type="dxa" w:w="2160"/>
          </w:tcPr>
          <w:p>
            <w:r>
              <w:t>Power supply</w:t>
            </w:r>
          </w:p>
        </w:tc>
        <w:tc>
          <w:tcPr>
            <w:tcW w:type="dxa" w:w="2160"/>
          </w:tcPr>
          <w:p>
            <w:r>
              <w:t>&lt;VALUE&gt;</w:t>
            </w:r>
          </w:p>
        </w:tc>
        <w:tc>
          <w:tcPr>
            <w:tcW w:type="dxa" w:w="2160"/>
          </w:tcPr>
          <w:p>
            <w:r>
              <w:t>&lt;UNIT&gt;</w:t>
            </w:r>
          </w:p>
        </w:tc>
        <w:tc>
          <w:tcPr>
            <w:tcW w:type="dxa" w:w="2160"/>
          </w:tcPr>
          <w:p>
            <w:r>
              <w:t>EVID-0101</w:t>
            </w:r>
          </w:p>
        </w:tc>
      </w:tr>
      <w:tr>
        <w:tc>
          <w:tcPr>
            <w:tcW w:type="dxa" w:w="2160"/>
          </w:tcPr>
          <w:p>
            <w:r>
              <w:t>Rated power</w:t>
            </w:r>
          </w:p>
        </w:tc>
        <w:tc>
          <w:tcPr>
            <w:tcW w:type="dxa" w:w="2160"/>
          </w:tcPr>
          <w:p>
            <w:r>
              <w:t>&lt;VALUE&gt;</w:t>
            </w:r>
          </w:p>
        </w:tc>
        <w:tc>
          <w:tcPr>
            <w:tcW w:type="dxa" w:w="2160"/>
          </w:tcPr>
          <w:p>
            <w:r>
              <w:t>&lt;UNIT&gt;</w:t>
            </w:r>
          </w:p>
        </w:tc>
        <w:tc>
          <w:tcPr>
            <w:tcW w:type="dxa" w:w="2160"/>
          </w:tcPr>
          <w:p>
            <w:r>
              <w:t>EVID-0102</w:t>
            </w:r>
          </w:p>
        </w:tc>
      </w:tr>
      <w:tr>
        <w:tc>
          <w:tcPr>
            <w:tcW w:type="dxa" w:w="2160"/>
          </w:tcPr>
          <w:p>
            <w:r>
              <w:t>Noise emission</w:t>
            </w:r>
          </w:p>
        </w:tc>
        <w:tc>
          <w:tcPr>
            <w:tcW w:type="dxa" w:w="2160"/>
          </w:tcPr>
          <w:p>
            <w:r>
              <w:t>&lt;VALUE&gt;</w:t>
            </w:r>
          </w:p>
        </w:tc>
        <w:tc>
          <w:tcPr>
            <w:tcW w:type="dxa" w:w="2160"/>
          </w:tcPr>
          <w:p>
            <w:r>
              <w:t>dB(A)</w:t>
            </w:r>
          </w:p>
        </w:tc>
        <w:tc>
          <w:tcPr>
            <w:tcW w:type="dxa" w:w="2160"/>
          </w:tcPr>
          <w:p>
            <w:r>
              <w:t>EVID-0103</w:t>
            </w:r>
          </w:p>
        </w:tc>
      </w:tr>
      <w:tr>
        <w:tc>
          <w:tcPr>
            <w:tcW w:type="dxa" w:w="2160"/>
          </w:tcPr>
          <w:p>
            <w:r>
              <w:t>Mass</w:t>
            </w:r>
          </w:p>
        </w:tc>
        <w:tc>
          <w:tcPr>
            <w:tcW w:type="dxa" w:w="2160"/>
          </w:tcPr>
          <w:p>
            <w:r>
              <w:t>&lt;VALUE&gt;</w:t>
            </w:r>
          </w:p>
        </w:tc>
        <w:tc>
          <w:tcPr>
            <w:tcW w:type="dxa" w:w="2160"/>
          </w:tcPr>
          <w:p>
            <w:r>
              <w:t>kg</w:t>
            </w:r>
          </w:p>
        </w:tc>
        <w:tc>
          <w:tcPr>
            <w:tcW w:type="dxa" w:w="2160"/>
          </w:tcPr>
          <w:p>
            <w:r>
              <w:t>EVID-0104</w:t>
            </w:r>
          </w:p>
        </w:tc>
      </w:tr>
    </w:tbl>
    <w:p/>
    <w:p>
      <w:r>
        <w:t>---</w:t>
      </w:r>
    </w:p>
    <w:p/>
    <w:p>
      <w:pPr>
        <w:pStyle w:val="Heading1"/>
      </w:pPr>
      <w:r>
        <w:t>4. Transport, handling and storage</w:t>
      </w:r>
    </w:p>
    <w:p>
      <w:pPr>
        <w:pStyle w:val="Heading2"/>
      </w:pPr>
      <w:r>
        <w:t>4.1 Packaging and lifting points</w:t>
      </w:r>
    </w:p>
    <w:p>
      <w:r>
        <w:t>Include drawings/diagrams for lifting and securing.</w:t>
      </w:r>
    </w:p>
    <w:p>
      <w:pPr>
        <w:pStyle w:val="Heading2"/>
      </w:pPr>
      <w:r>
        <w:t>4.2 Storage conditions</w:t>
      </w:r>
    </w:p>
    <w:p>
      <w:r>
        <w:t>Define acceptable ranges and consequences.</w:t>
      </w:r>
    </w:p>
    <w:p/>
    <w:p>
      <w:r>
        <w:t>---</w:t>
      </w:r>
    </w:p>
    <w:p/>
    <w:p>
      <w:pPr>
        <w:pStyle w:val="Heading1"/>
      </w:pPr>
      <w:r>
        <w:t>5. Installation / assembly / commissioning</w:t>
      </w:r>
    </w:p>
    <w:p>
      <w:pPr>
        <w:pStyle w:val="Heading2"/>
      </w:pPr>
      <w:r>
        <w:t>5.1 Site requirements</w:t>
      </w:r>
    </w:p>
    <w:p>
      <w:pPr>
        <w:pStyle w:val="ListBullet"/>
      </w:pPr>
      <w:r>
        <w:t>Floor load, clearance, ventilation</w:t>
      </w:r>
    </w:p>
    <w:p>
      <w:pPr>
        <w:pStyle w:val="ListBullet"/>
      </w:pPr>
      <w:r>
        <w:t>Safety distances and access control</w:t>
      </w:r>
    </w:p>
    <w:p>
      <w:pPr>
        <w:pStyle w:val="Heading2"/>
      </w:pPr>
      <w:r>
        <w:t>5.2 Mechanical installation</w:t>
      </w:r>
    </w:p>
    <w:p>
      <w:r>
        <w:t>Step-by-step procedure with torque values, fasteners, alignment checks.</w:t>
      </w:r>
    </w:p>
    <w:p>
      <w:pPr>
        <w:pStyle w:val="Heading2"/>
      </w:pPr>
      <w:r>
        <w:t>5.3 Electrical/pneumatic/hydraulic connections</w:t>
      </w:r>
    </w:p>
    <w:p>
      <w:pPr>
        <w:pStyle w:val="ListBullet"/>
      </w:pPr>
      <w:r>
        <w:t>Connection diagrams</w:t>
      </w:r>
    </w:p>
    <w:p>
      <w:pPr>
        <w:pStyle w:val="ListBullet"/>
      </w:pPr>
      <w:r>
        <w:t>Earthing/grounding instruction</w:t>
      </w:r>
    </w:p>
    <w:p>
      <w:pPr>
        <w:pStyle w:val="ListBullet"/>
      </w:pPr>
      <w:r>
        <w:t>Verification checks before energising</w:t>
      </w:r>
    </w:p>
    <w:p>
      <w:pPr>
        <w:pStyle w:val="Heading2"/>
      </w:pPr>
      <w:r>
        <w:t>5.4 First start / commissioning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Guards installed</w:t>
            </w:r>
          </w:p>
        </w:tc>
        <w:tc>
          <w:tcPr>
            <w:tcW w:type="dxa" w:w="2160"/>
          </w:tcPr>
          <w:p>
            <w:r>
              <w:t>Yes/No</w:t>
            </w:r>
          </w:p>
        </w:tc>
        <w:tc>
          <w:tcPr>
            <w:tcW w:type="dxa" w:w="2160"/>
          </w:tcPr>
          <w:p>
            <w:r>
              <w:t>&lt;RESULT&gt;</w:t>
            </w:r>
          </w:p>
        </w:tc>
        <w:tc>
          <w:tcPr>
            <w:tcW w:type="dxa" w:w="2160"/>
          </w:tcPr>
          <w:p>
            <w:r>
              <w:t>EVID-0201</w:t>
            </w:r>
          </w:p>
        </w:tc>
      </w:tr>
      <w:tr>
        <w:tc>
          <w:tcPr>
            <w:tcW w:type="dxa" w:w="2160"/>
          </w:tcPr>
          <w:p>
            <w:r>
              <w:t>Emergency stop works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&lt;RESULT&gt;</w:t>
            </w:r>
          </w:p>
        </w:tc>
        <w:tc>
          <w:tcPr>
            <w:tcW w:type="dxa" w:w="2160"/>
          </w:tcPr>
          <w:p>
            <w:r>
              <w:t>EVID-0202</w:t>
            </w:r>
          </w:p>
        </w:tc>
      </w:tr>
    </w:tbl>
    <w:p/>
    <w:p>
      <w:r>
        <w:t>---</w:t>
      </w:r>
    </w:p>
    <w:p/>
    <w:p>
      <w:pPr>
        <w:pStyle w:val="Heading1"/>
      </w:pPr>
      <w:r>
        <w:t>6. Operation</w:t>
      </w:r>
    </w:p>
    <w:p>
      <w:pPr>
        <w:pStyle w:val="Heading2"/>
      </w:pPr>
      <w:r>
        <w:t>6.1 Controls and indicators</w:t>
      </w:r>
    </w:p>
    <w:p>
      <w:r>
        <w:t>Explain all control devices, modes, and indicators.</w:t>
      </w:r>
    </w:p>
    <w:p>
      <w:pPr>
        <w:pStyle w:val="Heading2"/>
      </w:pPr>
      <w:r>
        <w:t>6.2 Normal operation</w:t>
      </w:r>
    </w:p>
    <w:p>
      <w:r>
        <w:t>Step-by-step, including safe start-up and shutdown.</w:t>
      </w:r>
    </w:p>
    <w:p>
      <w:pPr>
        <w:pStyle w:val="Heading2"/>
      </w:pPr>
      <w:r>
        <w:t>6.3 Abnormal situations</w:t>
      </w:r>
    </w:p>
    <w:p>
      <w:pPr>
        <w:pStyle w:val="ListBullet"/>
      </w:pPr>
      <w:r>
        <w:t>Jam clearing</w:t>
      </w:r>
    </w:p>
    <w:p>
      <w:pPr>
        <w:pStyle w:val="ListBullet"/>
      </w:pPr>
      <w:r>
        <w:t>Power loss</w:t>
      </w:r>
    </w:p>
    <w:p>
      <w:pPr>
        <w:pStyle w:val="ListBullet"/>
      </w:pPr>
      <w:r>
        <w:t>Emergency stop reset procedure</w:t>
      </w:r>
    </w:p>
    <w:p>
      <w:pPr>
        <w:pStyle w:val="Heading2"/>
      </w:pPr>
      <w:r>
        <w:t>6.4 Prohibited operations</w:t>
      </w:r>
    </w:p>
    <w:p>
      <w:r>
        <w:t>Explicit list.</w:t>
      </w:r>
    </w:p>
    <w:p/>
    <w:p>
      <w:r>
        <w:t>---</w:t>
      </w:r>
    </w:p>
    <w:p/>
    <w:p>
      <w:pPr>
        <w:pStyle w:val="Heading1"/>
      </w:pPr>
      <w:r>
        <w:t>7. Cleaning and maintenance</w:t>
      </w:r>
    </w:p>
    <w:p>
      <w:pPr>
        <w:pStyle w:val="Heading2"/>
      </w:pPr>
      <w:r>
        <w:t>7.1 Maintenance safety</w:t>
      </w:r>
    </w:p>
    <w:p>
      <w:r>
        <w:t>Lockout/tagout, isolation, cooling-down, stored energy.</w:t>
      </w:r>
    </w:p>
    <w:p>
      <w:pPr>
        <w:pStyle w:val="Heading2"/>
      </w:pPr>
      <w:r>
        <w:t>7.2 Maintenance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Interval</w:t>
            </w:r>
          </w:p>
        </w:tc>
        <w:tc>
          <w:tcPr>
            <w:tcW w:type="dxa" w:w="1728"/>
          </w:tcPr>
          <w:p>
            <w:r>
              <w:t>Tools</w:t>
            </w:r>
          </w:p>
        </w:tc>
        <w:tc>
          <w:tcPr>
            <w:tcW w:type="dxa" w:w="1728"/>
          </w:tcPr>
          <w:p>
            <w:r>
              <w:t>Consumables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&lt;TASK&gt;</w:t>
            </w:r>
          </w:p>
        </w:tc>
        <w:tc>
          <w:tcPr>
            <w:tcW w:type="dxa" w:w="1728"/>
          </w:tcPr>
          <w:p>
            <w:r>
              <w:t>&lt;INTERVAL&gt;</w:t>
            </w:r>
          </w:p>
        </w:tc>
        <w:tc>
          <w:tcPr>
            <w:tcW w:type="dxa" w:w="1728"/>
          </w:tcPr>
          <w:p>
            <w:r>
              <w:t>&lt;TOOLS&gt;</w:t>
            </w:r>
          </w:p>
        </w:tc>
        <w:tc>
          <w:tcPr>
            <w:tcW w:type="dxa" w:w="1728"/>
          </w:tcPr>
          <w:p>
            <w:r>
              <w:t>&lt;CONS&gt;</w:t>
            </w:r>
          </w:p>
        </w:tc>
        <w:tc>
          <w:tcPr>
            <w:tcW w:type="dxa" w:w="1728"/>
          </w:tcPr>
          <w:p>
            <w:r>
              <w:t>EVID-0301</w:t>
            </w:r>
          </w:p>
        </w:tc>
      </w:tr>
    </w:tbl>
    <w:p/>
    <w:p>
      <w:pPr>
        <w:pStyle w:val="Heading2"/>
      </w:pPr>
      <w:r>
        <w:t>7.3 Repairs and part replacement</w:t>
      </w:r>
    </w:p>
    <w:p>
      <w:r>
        <w:t>Include diagrams and acceptance checks.</w:t>
      </w:r>
    </w:p>
    <w:p/>
    <w:p>
      <w:r>
        <w:t>---</w:t>
      </w:r>
    </w:p>
    <w:p/>
    <w:p>
      <w:pPr>
        <w:pStyle w:val="Heading1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Symptom</w:t>
            </w:r>
          </w:p>
        </w:tc>
        <w:tc>
          <w:tcPr>
            <w:tcW w:type="dxa" w:w="2160"/>
          </w:tcPr>
          <w:p>
            <w:r>
              <w:t>Possible cause</w:t>
            </w:r>
          </w:p>
        </w:tc>
        <w:tc>
          <w:tcPr>
            <w:tcW w:type="dxa" w:w="2160"/>
          </w:tcPr>
          <w:p>
            <w:r>
              <w:t>Remedy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&lt;SYMPTOM&gt;</w:t>
            </w:r>
          </w:p>
        </w:tc>
        <w:tc>
          <w:tcPr>
            <w:tcW w:type="dxa" w:w="2160"/>
          </w:tcPr>
          <w:p>
            <w:r>
              <w:t>&lt;CAUSE&gt;</w:t>
            </w:r>
          </w:p>
        </w:tc>
        <w:tc>
          <w:tcPr>
            <w:tcW w:type="dxa" w:w="2160"/>
          </w:tcPr>
          <w:p>
            <w:r>
              <w:t>&lt;REMEDY&gt;</w:t>
            </w:r>
          </w:p>
        </w:tc>
        <w:tc>
          <w:tcPr>
            <w:tcW w:type="dxa" w:w="2160"/>
          </w:tcPr>
          <w:p>
            <w:r>
              <w:t>EVID-0401</w:t>
            </w:r>
          </w:p>
        </w:tc>
      </w:tr>
    </w:tbl>
    <w:p/>
    <w:p>
      <w:r>
        <w:t>---</w:t>
      </w:r>
    </w:p>
    <w:p/>
    <w:p>
      <w:pPr>
        <w:pStyle w:val="Heading1"/>
      </w:pPr>
      <w:r>
        <w:t>9. Spare parts and consumables</w:t>
      </w:r>
    </w:p>
    <w:p>
      <w:r>
        <w:t>Provide part numbers, compatibility notes, and ordering info.</w:t>
      </w:r>
    </w:p>
    <w:p/>
    <w:p>
      <w:r>
        <w:t>---</w:t>
      </w:r>
    </w:p>
    <w:p/>
    <w:p>
      <w:pPr>
        <w:pStyle w:val="Heading1"/>
      </w:pPr>
      <w:r>
        <w:t>10. Decommissioning and disposal</w:t>
      </w:r>
    </w:p>
    <w:p>
      <w:pPr>
        <w:pStyle w:val="ListBullet"/>
      </w:pPr>
      <w:r>
        <w:t>Safe disassembly</w:t>
      </w:r>
    </w:p>
    <w:p>
      <w:pPr>
        <w:pStyle w:val="ListBullet"/>
      </w:pPr>
      <w:r>
        <w:t>Waste streams</w:t>
      </w:r>
    </w:p>
    <w:p>
      <w:pPr>
        <w:pStyle w:val="ListBullet"/>
      </w:pPr>
      <w:r>
        <w:t>Environmental notes</w:t>
      </w:r>
    </w:p>
    <w:p/>
    <w:p>
      <w:r>
        <w:t>---</w:t>
      </w:r>
    </w:p>
    <w:p/>
    <w:p>
      <w:pPr>
        <w:pStyle w:val="Heading1"/>
      </w:pPr>
      <w:r>
        <w:t>11. Annexes</w:t>
      </w:r>
    </w:p>
    <w:p>
      <w:r>
        <w:t>A. EU Declaration of Conformity (or URL/QR)</w:t>
      </w:r>
    </w:p>
    <w:p>
      <w:r>
        <w:t>B. Drawings and diagrams</w:t>
      </w:r>
    </w:p>
    <w:p>
      <w:r>
        <w:t>C. Wiring diagrams</w:t>
      </w:r>
    </w:p>
    <w:p>
      <w:r>
        <w:t>D. Label artwork</w:t>
      </w:r>
    </w:p>
    <w:p>
      <w:r>
        <w:t>E. Revision log</w:t>
      </w:r>
    </w:p>
    <w:p/>
    <w:p>
      <w:r>
        <w:t>---</w:t>
      </w:r>
    </w:p>
    <w:p/>
    <w:p>
      <w:pPr>
        <w:pStyle w:val="Heading1"/>
      </w:pPr>
      <w:r>
        <w:t>12.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Change summary</w:t>
            </w:r>
          </w:p>
        </w:tc>
        <w:tc>
          <w:tcPr>
            <w:tcW w:type="dxa" w:w="2160"/>
          </w:tcPr>
          <w:p>
            <w:r>
              <w:t>Approved by</w:t>
            </w:r>
          </w:p>
        </w:tc>
      </w:tr>
      <w:tr>
        <w:tc>
          <w:tcPr>
            <w:tcW w:type="dxa" w:w="2160"/>
          </w:tcPr>
          <w:p>
            <w:r>
              <w:t>&lt;REV&gt;</w:t>
            </w:r>
          </w:p>
        </w:tc>
        <w:tc>
          <w:tcPr>
            <w:tcW w:type="dxa" w:w="2160"/>
          </w:tcPr>
          <w:p>
            <w:r>
              <w:t>&lt;DATE&gt;</w:t>
            </w:r>
          </w:p>
        </w:tc>
        <w:tc>
          <w:tcPr>
            <w:tcW w:type="dxa" w:w="2160"/>
          </w:tcPr>
          <w:p>
            <w:r>
              <w:t>&lt;SUMMARY&gt;</w:t>
            </w:r>
          </w:p>
        </w:tc>
        <w:tc>
          <w:tcPr>
            <w:tcW w:type="dxa" w:w="2160"/>
          </w:tcPr>
          <w:p>
            <w:r>
              <w:t>&lt;NAME&gt;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