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spacing w:after="360"/>
        <w:pBdr>
          <w:top w:val="single" w:sz="18" w:space="1" w:color="000000"/>
        </w:pBdr>
      </w:pPr>
    </w:p>
    <w:p>
      <w:pPr>
        <w:pStyle w:val="Title"/>
      </w:pPr>
      <w:r>
        <w:t>Symfony Interview Practice Review</w:t>
      </w:r>
    </w:p>
    <w:p>
      <w:pPr>
        <w:pStyle w:val="Subtitle"/>
      </w:pPr>
      <w:r>
        <w:t>Questions Answers Corrections and Symfony 6.4 Code Examples</w:t>
      </w:r>
    </w:p>
    <w:tbl>
      <w:tblPr>
        <w:tblW w:type="auto" w:w="0"/>
        <w:tblLayout w:type="fixed"/>
        <w:tblLook w:firstColumn="1" w:firstRow="1" w:lastColumn="0" w:lastRow="0" w:noHBand="0" w:noVBand="1" w:val="04A0"/>
      </w:tblPr>
      <w:tblGrid>
        <w:gridCol w:w="2232"/>
        <w:gridCol w:w="7128"/>
      </w:tblGrid>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7E6E6"/>
          </w:tcPr>
          <w:p>
            <w:r>
              <w:rPr>
                <w:rFonts w:ascii="Arial" w:hAnsi="Arial"/>
                <w:b/>
                <w:color w:val="000000"/>
                <w:sz w:val="18"/>
              </w:rPr>
              <w:t>Target role</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8"/>
              </w:rPr>
              <w:t>Senior PHP Symfony Software Engineer</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7E6E6"/>
          </w:tcPr>
          <w:p>
            <w:r>
              <w:rPr>
                <w:rFonts w:ascii="Arial" w:hAnsi="Arial"/>
                <w:b/>
                <w:color w:val="000000"/>
                <w:sz w:val="18"/>
              </w:rPr>
              <w:t>Framework focus</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8"/>
              </w:rPr>
              <w:t>Symfony 6.4 LTS with modern PHP 8.2 practices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7E6E6"/>
          </w:tcPr>
          <w:p>
            <w:r>
              <w:rPr>
                <w:rFonts w:ascii="Arial" w:hAnsi="Arial"/>
                <w:b/>
                <w:color w:val="000000"/>
                <w:sz w:val="18"/>
              </w:rPr>
              <w:t>Purpose</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8"/>
              </w:rPr>
              <w:t>Review spoken answers and turn corrections into interview-ready explanations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E7E6E6"/>
          </w:tcPr>
          <w:p>
            <w:r>
              <w:rPr>
                <w:rFonts w:ascii="Arial" w:hAnsi="Arial"/>
                <w:b/>
                <w:color w:val="000000"/>
                <w:sz w:val="18"/>
              </w:rPr>
              <w:t>Use</w:t>
            </w:r>
          </w:p>
        </w:tc>
        <w:tc>
          <w:tcPr>
            <w:tcW w:type="dxa" w:w="71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8"/>
              </w:rPr>
              <w:t>Read each question aloud, answer without looking, then compare with the correction</w:t>
            </w:r>
          </w:p>
        </w:tc>
      </w:tr>
    </w:tbl>
    <w:p>
      <w:r>
        <w:br w:type="page"/>
      </w:r>
    </w:p>
    <w:p>
      <w:pPr>
        <w:pStyle w:val="Heading1"/>
        <w:keepNext/>
      </w:pPr>
      <w:r>
        <w:t>1. How to Use This Review</w:t>
      </w:r>
    </w:p>
    <w:p>
      <w:r>
        <w:t>This workbook records the interview questions asked during the learning session, the learner answers in lightly edited form, and the correction that followed. The edits remove speech repetition while preserving the technical meaning. Each correction is bold so the misconception can be found quickly.</w:t>
      </w:r>
    </w:p>
    <w:p>
      <w:pPr>
        <w:spacing w:after="60"/>
        <w:ind w:left="346" w:hanging="230"/>
      </w:pPr>
      <w:r>
        <w:rPr>
          <w:rFonts w:ascii="Arial" w:hAnsi="Arial"/>
          <w:color w:val="000000"/>
          <w:sz w:val="21"/>
        </w:rPr>
        <w:t>•  Answer each question aloud before reading the correction.</w:t>
      </w:r>
    </w:p>
    <w:p>
      <w:pPr>
        <w:spacing w:after="60"/>
        <w:ind w:left="346" w:hanging="230"/>
      </w:pPr>
      <w:r>
        <w:rPr>
          <w:rFonts w:ascii="Arial" w:hAnsi="Arial"/>
          <w:color w:val="000000"/>
          <w:sz w:val="21"/>
        </w:rPr>
        <w:t>•  Use the interview-ready answer as a structure, not as a script to memorize word for word.</w:t>
      </w:r>
    </w:p>
    <w:p>
      <w:pPr>
        <w:spacing w:after="60"/>
        <w:ind w:left="346" w:hanging="230"/>
      </w:pPr>
      <w:r>
        <w:rPr>
          <w:rFonts w:ascii="Arial" w:hAnsi="Arial"/>
          <w:color w:val="000000"/>
          <w:sz w:val="21"/>
        </w:rPr>
        <w:t>•  Connect each concept to the Product application or a truthful project example.</w:t>
      </w:r>
    </w:p>
    <w:p>
      <w:pPr>
        <w:spacing w:after="60"/>
        <w:ind w:left="346" w:hanging="230"/>
      </w:pPr>
      <w:r>
        <w:rPr>
          <w:rFonts w:ascii="Arial" w:hAnsi="Arial"/>
          <w:color w:val="000000"/>
          <w:sz w:val="21"/>
        </w:rPr>
        <w:t>•  Explain the mechanism, the trade-off, and the failure mode expected from a senior engineer.</w:t>
      </w:r>
    </w:p>
    <w:tbl>
      <w:tblPr>
        <w:tblW w:type="auto" w:w="0"/>
        <w:tblLayout w:type="fixed"/>
        <w:tblLook w:firstColumn="1" w:firstRow="1" w:lastColumn="0" w:lastRow="0" w:noHBand="0" w:noVBand="1" w:val="04A0"/>
      </w:tblPr>
      <w:tblGrid>
        <w:gridCol w:w="3456"/>
        <w:gridCol w:w="1728"/>
        <w:gridCol w:w="4176"/>
      </w:tblGrid>
      <w:tr>
        <w:tc>
          <w:tcPr>
            <w:tcW w:type="dxa" w:w="312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8"/>
              </w:rPr>
              <w:t>Topic</w:t>
            </w:r>
          </w:p>
        </w:tc>
        <w:tc>
          <w:tcPr>
            <w:tcW w:type="dxa" w:w="312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8"/>
              </w:rPr>
              <w:t>Current state</w:t>
            </w:r>
          </w:p>
        </w:tc>
        <w:tc>
          <w:tcPr>
            <w:tcW w:type="dxa" w:w="312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8"/>
              </w:rPr>
              <w:t>Next focus</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color w:val="000000"/>
                <w:sz w:val="17"/>
              </w:rPr>
              <w:t>Request and response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color w:val="000000"/>
                <w:sz w:val="17"/>
              </w:rPr>
              <w:t>Developing</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color w:val="000000"/>
                <w:sz w:val="17"/>
              </w:rPr>
              <w:t>Route attributes, query data, redirects</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color w:val="000000"/>
                <w:sz w:val="17"/>
              </w:rPr>
              <w:t>HttpKernel and routing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color w:val="000000"/>
                <w:sz w:val="17"/>
              </w:rPr>
              <w:t>Developing</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color w:val="000000"/>
                <w:sz w:val="17"/>
              </w:rPr>
              <w:t>Orchestration versus route selection</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color w:val="000000"/>
                <w:sz w:val="17"/>
              </w:rPr>
              <w:t>Dependency injection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color w:val="000000"/>
                <w:sz w:val="17"/>
              </w:rPr>
              <w:t>Developing</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color w:val="000000"/>
                <w:sz w:val="17"/>
              </w:rPr>
              <w:t>Interfaces, aliases, argument binding</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color w:val="000000"/>
                <w:sz w:val="17"/>
              </w:rPr>
              <w:t>Autowiring and autoconfiguration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color w:val="000000"/>
                <w:sz w:val="17"/>
              </w:rPr>
              <w:t>Developing</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color w:val="000000"/>
                <w:sz w:val="17"/>
              </w:rPr>
              <w:t>Dependency resolution versus service tags</w:t>
            </w:r>
          </w:p>
        </w:tc>
      </w:tr>
      <w:tr>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color w:val="000000"/>
                <w:sz w:val="17"/>
              </w:rPr>
              <w:t>Testing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color w:val="000000"/>
                <w:sz w:val="17"/>
              </w:rPr>
              <w:t>Developing</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color w:val="000000"/>
                <w:sz w:val="17"/>
              </w:rPr>
              <w:t>Unit isolation versus integration with providers</w:t>
            </w:r>
          </w:p>
        </w:tc>
      </w:tr>
    </w:tbl>
    <w:p>
      <w:pPr>
        <w:pStyle w:val="Heading1"/>
        <w:keepNext/>
      </w:pPr>
      <w:r>
        <w:t>2. Interview Question Review</w:t>
      </w:r>
    </w:p>
    <w:p>
      <w:pPr>
        <w:pStyle w:val="Heading2"/>
        <w:keepNext/>
      </w:pPr>
      <w:r>
        <w:t>1. Where are route and query values stored</w:t>
      </w:r>
    </w:p>
    <w:p>
      <w:pPr>
        <w:spacing w:after="120"/>
      </w:pPr>
      <w:r>
        <w:rPr>
          <w:rFonts w:ascii="Arial" w:hAnsi="Arial"/>
          <w:b/>
          <w:color w:val="000000"/>
          <w:sz w:val="21"/>
        </w:rPr>
        <w:t xml:space="preserve">Your answer  </w:t>
      </w:r>
      <w:r>
        <w:rPr>
          <w:rFonts w:ascii="Arial" w:hAnsi="Arial"/>
          <w:b w:val="0"/>
          <w:color w:val="000000"/>
          <w:sz w:val="21"/>
        </w:rPr>
        <w:t>The value 42 is the Product ID and a GET parameter. The currency value PKR would be in the request body. If the Product exists, the response should be 200.</w:t>
      </w:r>
    </w:p>
    <w:p>
      <w:pPr>
        <w:spacing w:after="120"/>
      </w:pPr>
      <w:r>
        <w:rPr>
          <w:rFonts w:ascii="Arial" w:hAnsi="Arial"/>
          <w:b/>
          <w:color w:val="000000"/>
          <w:sz w:val="21"/>
        </w:rPr>
        <w:t xml:space="preserve">CORRECTION  </w:t>
      </w:r>
      <w:r>
        <w:rPr>
          <w:rFonts w:ascii="Arial" w:hAnsi="Arial"/>
          <w:b/>
          <w:color w:val="000000"/>
          <w:sz w:val="21"/>
        </w:rPr>
        <w:t>The status answer is correct. The Product ID is a route attribute, not a query parameter. PKR is a query parameter because it appears after the question mark; it is not request-body data.</w:t>
      </w:r>
    </w:p>
    <w:p>
      <w:pPr>
        <w:spacing w:after="120"/>
      </w:pPr>
      <w:r>
        <w:rPr>
          <w:rFonts w:ascii="Arial" w:hAnsi="Arial"/>
          <w:b/>
          <w:color w:val="000000"/>
          <w:sz w:val="21"/>
        </w:rPr>
        <w:t xml:space="preserve">Interview ready answer  </w:t>
      </w:r>
      <w:r>
        <w:rPr>
          <w:rFonts w:ascii="Arial" w:hAnsi="Arial"/>
          <w:b w:val="0"/>
          <w:color w:val="000000"/>
          <w:sz w:val="21"/>
        </w:rPr>
        <w:t>For GET /products/42?currency=PKR, Symfony stores 42 in the Request attributes after routing and PKR in the query parameter bag. If the Product exists and the page renders successfully, the controller returns 200 OK.</w:t>
      </w:r>
    </w:p>
    <w:p>
      <w:pPr>
        <w:pStyle w:val="Heading2"/>
        <w:keepNext/>
      </w:pPr>
      <w:r>
        <w:t>2. What status follows a successful HTML form submission</w:t>
      </w:r>
    </w:p>
    <w:p>
      <w:pPr>
        <w:spacing w:after="120"/>
      </w:pPr>
      <w:r>
        <w:rPr>
          <w:rFonts w:ascii="Arial" w:hAnsi="Arial"/>
          <w:b/>
          <w:color w:val="000000"/>
          <w:sz w:val="21"/>
        </w:rPr>
        <w:t xml:space="preserve">Your answer  </w:t>
      </w:r>
      <w:r>
        <w:rPr>
          <w:rFonts w:ascii="Arial" w:hAnsi="Arial"/>
          <w:b w:val="0"/>
          <w:color w:val="000000"/>
          <w:sz w:val="21"/>
        </w:rPr>
        <w:t>The application would return the Product details with a 200 response.</w:t>
      </w:r>
    </w:p>
    <w:p>
      <w:pPr>
        <w:spacing w:after="120"/>
      </w:pPr>
      <w:r>
        <w:rPr>
          <w:rFonts w:ascii="Arial" w:hAnsi="Arial"/>
          <w:b/>
          <w:color w:val="000000"/>
          <w:sz w:val="21"/>
        </w:rPr>
        <w:t xml:space="preserve">CORRECTION  </w:t>
      </w:r>
      <w:r>
        <w:rPr>
          <w:rFonts w:ascii="Arial" w:hAnsi="Arial"/>
          <w:b/>
          <w:color w:val="000000"/>
          <w:sz w:val="21"/>
        </w:rPr>
        <w:t>A successful HTML POST commonly returns a redirect, usually 302 or explicitly 303, followed by a GET that returns 200. This is the Post Redirect Get pattern and prevents duplicate submission on refresh.</w:t>
      </w:r>
    </w:p>
    <w:p>
      <w:pPr>
        <w:spacing w:after="120"/>
      </w:pPr>
      <w:r>
        <w:rPr>
          <w:rFonts w:ascii="Arial" w:hAnsi="Arial"/>
          <w:b/>
          <w:color w:val="000000"/>
          <w:sz w:val="21"/>
        </w:rPr>
        <w:t xml:space="preserve">Interview ready answer  </w:t>
      </w:r>
      <w:r>
        <w:rPr>
          <w:rFonts w:ascii="Arial" w:hAnsi="Arial"/>
          <w:b w:val="0"/>
          <w:color w:val="000000"/>
          <w:sz w:val="21"/>
        </w:rPr>
        <w:t>After validating and saving the Product, I redirect to its detail page. The browser follows the redirect with GET, which returns 200. Invalid form submission normally re-renders the form with validation errors.</w:t>
      </w:r>
    </w:p>
    <w:p>
      <w:pPr>
        <w:pStyle w:val="Heading2"/>
        <w:keepNext/>
      </w:pPr>
      <w:r>
        <w:t>3. Which part chooses ProductController show</w:t>
      </w:r>
    </w:p>
    <w:p>
      <w:pPr>
        <w:spacing w:after="120"/>
      </w:pPr>
      <w:r>
        <w:rPr>
          <w:rFonts w:ascii="Arial" w:hAnsi="Arial"/>
          <w:b/>
          <w:color w:val="000000"/>
          <w:sz w:val="21"/>
        </w:rPr>
        <w:t xml:space="preserve">Your answer  </w:t>
      </w:r>
      <w:r>
        <w:rPr>
          <w:rFonts w:ascii="Arial" w:hAnsi="Arial"/>
          <w:b w:val="0"/>
          <w:color w:val="000000"/>
          <w:sz w:val="21"/>
        </w:rPr>
        <w:t>The kernel decides how show should be called. It goes through routing and the controller resolver, and the kernel is the main driving force.</w:t>
      </w:r>
    </w:p>
    <w:p>
      <w:pPr>
        <w:spacing w:after="120"/>
      </w:pPr>
      <w:r>
        <w:rPr>
          <w:rFonts w:ascii="Arial" w:hAnsi="Arial"/>
          <w:b/>
          <w:color w:val="000000"/>
          <w:sz w:val="21"/>
        </w:rPr>
        <w:t xml:space="preserve">CORRECTION  </w:t>
      </w:r>
      <w:r>
        <w:rPr>
          <w:rFonts w:ascii="Arial" w:hAnsi="Arial"/>
          <w:b/>
          <w:color w:val="000000"/>
          <w:sz w:val="21"/>
        </w:rPr>
        <w:t>The kernel orchestrates the lifecycle, but the RouterListener and route matcher select the route and attach the controller information. The controller resolver turns that information into a callable. Doctrine does not participate in controller selection.</w:t>
      </w:r>
    </w:p>
    <w:p>
      <w:pPr>
        <w:spacing w:after="120"/>
      </w:pPr>
      <w:r>
        <w:rPr>
          <w:rFonts w:ascii="Arial" w:hAnsi="Arial"/>
          <w:b/>
          <w:color w:val="000000"/>
          <w:sz w:val="21"/>
        </w:rPr>
        <w:t xml:space="preserve">Interview ready answer  </w:t>
      </w:r>
      <w:r>
        <w:rPr>
          <w:rFonts w:ascii="Arial" w:hAnsi="Arial"/>
          <w:b w:val="0"/>
          <w:color w:val="000000"/>
          <w:sz w:val="21"/>
        </w:rPr>
        <w:t>HttpKernel coordinates the request. During kernel.request, routing matches the path and stores _controller and route parameters on the Request. The controller resolver creates the callable, and the argument resolver supplies its arguments.</w:t>
      </w:r>
    </w:p>
    <w:p>
      <w:pPr>
        <w:pStyle w:val="Heading2"/>
        <w:keepNext/>
      </w:pPr>
      <w:r>
        <w:t>4. What do dependency injection and autowiring do</w:t>
      </w:r>
    </w:p>
    <w:p>
      <w:pPr>
        <w:spacing w:after="120"/>
      </w:pPr>
      <w:r>
        <w:rPr>
          <w:rFonts w:ascii="Arial" w:hAnsi="Arial"/>
          <w:b/>
          <w:color w:val="000000"/>
          <w:sz w:val="21"/>
        </w:rPr>
        <w:t xml:space="preserve">Your answer  </w:t>
      </w:r>
      <w:r>
        <w:rPr>
          <w:rFonts w:ascii="Arial" w:hAnsi="Arial"/>
          <w:b w:val="0"/>
          <w:color w:val="000000"/>
          <w:sz w:val="21"/>
        </w:rPr>
        <w:t>Dependency injection provides a required dependency. Autowiring automatically includes the required components in the file, such as ProductRepository in the show action.</w:t>
      </w:r>
    </w:p>
    <w:p>
      <w:pPr>
        <w:spacing w:after="120"/>
      </w:pPr>
      <w:r>
        <w:rPr>
          <w:rFonts w:ascii="Arial" w:hAnsi="Arial"/>
          <w:b/>
          <w:color w:val="000000"/>
          <w:sz w:val="21"/>
        </w:rPr>
        <w:t xml:space="preserve">CORRECTION  </w:t>
      </w:r>
      <w:r>
        <w:rPr>
          <w:rFonts w:ascii="Arial" w:hAnsi="Arial"/>
          <w:b/>
          <w:color w:val="000000"/>
          <w:sz w:val="21"/>
        </w:rPr>
        <w:t>Dependency injection means an object receives dependencies from outside instead of constructing them. Autowiring resolves registered services from type declarations; it does not add imports, edit the PHP file, or copy components.</w:t>
      </w:r>
    </w:p>
    <w:p>
      <w:pPr>
        <w:spacing w:after="120"/>
      </w:pPr>
      <w:r>
        <w:rPr>
          <w:rFonts w:ascii="Arial" w:hAnsi="Arial"/>
          <w:b/>
          <w:color w:val="000000"/>
          <w:sz w:val="21"/>
        </w:rPr>
        <w:t xml:space="preserve">Interview ready answer  </w:t>
      </w:r>
      <w:r>
        <w:rPr>
          <w:rFonts w:ascii="Arial" w:hAnsi="Arial"/>
          <w:b w:val="0"/>
          <w:color w:val="000000"/>
          <w:sz w:val="21"/>
        </w:rPr>
        <w:t>ProductController declares ProductRepository as an argument. Symfony reads that type and resolves the registered repository service from the container. The controller remains unaware of how Doctrine constructs it.</w:t>
      </w:r>
    </w:p>
    <w:p>
      <w:pPr>
        <w:pStyle w:val="Heading2"/>
        <w:keepNext/>
      </w:pPr>
      <w:r>
        <w:t>5. When should constructor injection or action injection be used</w:t>
      </w:r>
    </w:p>
    <w:p>
      <w:pPr>
        <w:spacing w:after="120"/>
      </w:pPr>
      <w:r>
        <w:rPr>
          <w:rFonts w:ascii="Arial" w:hAnsi="Arial"/>
          <w:b/>
          <w:color w:val="000000"/>
          <w:sz w:val="21"/>
        </w:rPr>
        <w:t xml:space="preserve">Your answer  </w:t>
      </w:r>
      <w:r>
        <w:rPr>
          <w:rFonts w:ascii="Arial" w:hAnsi="Arial"/>
          <w:b w:val="0"/>
          <w:color w:val="000000"/>
          <w:sz w:val="21"/>
        </w:rPr>
        <w:t>Constructor injection is suitable when a dependency is commonly used across multiple actions. Action injection is suitable when only one action needs it. ProductRepository receives ManagerRegistry through its constructor.</w:t>
      </w:r>
    </w:p>
    <w:p>
      <w:pPr>
        <w:spacing w:after="120"/>
      </w:pPr>
      <w:r>
        <w:rPr>
          <w:rFonts w:ascii="Arial" w:hAnsi="Arial"/>
          <w:b/>
          <w:color w:val="000000"/>
          <w:sz w:val="21"/>
        </w:rPr>
        <w:t xml:space="preserve">CORRECTION  </w:t>
      </w:r>
      <w:r>
        <w:rPr>
          <w:rFonts w:ascii="Arial" w:hAnsi="Arial"/>
          <w:b/>
          <w:color w:val="000000"/>
          <w:sz w:val="21"/>
        </w:rPr>
        <w:t>The main trade-off is correct. ManagerRegistry injection constructs and configures the repository itself; it is separate from deciding how a controller consumes that repository. Entities are data objects and normally are not container services.</w:t>
      </w:r>
    </w:p>
    <w:p>
      <w:pPr>
        <w:spacing w:after="120"/>
      </w:pPr>
      <w:r>
        <w:rPr>
          <w:rFonts w:ascii="Arial" w:hAnsi="Arial"/>
          <w:b/>
          <w:color w:val="000000"/>
          <w:sz w:val="21"/>
        </w:rPr>
        <w:t xml:space="preserve">Interview ready answer  </w:t>
      </w:r>
      <w:r>
        <w:rPr>
          <w:rFonts w:ascii="Arial" w:hAnsi="Arial"/>
          <w:b w:val="0"/>
          <w:color w:val="000000"/>
          <w:sz w:val="21"/>
        </w:rPr>
        <w:t>I use constructor injection for dependencies required by the whole service and action injection for dependencies local to one controller action. Both expose dependencies explicitly, but constructor injection makes the class-level contract clearer.</w:t>
      </w:r>
    </w:p>
    <w:p>
      <w:pPr>
        <w:pStyle w:val="Heading2"/>
        <w:keepNext/>
      </w:pPr>
      <w:r>
        <w:t>6. How is autowiring resolved when an interface has multiple implementations</w:t>
      </w:r>
    </w:p>
    <w:p>
      <w:pPr>
        <w:spacing w:after="120"/>
      </w:pPr>
      <w:r>
        <w:rPr>
          <w:rFonts w:ascii="Arial" w:hAnsi="Arial"/>
          <w:b/>
          <w:color w:val="000000"/>
          <w:sz w:val="21"/>
        </w:rPr>
        <w:t xml:space="preserve">Your answer  </w:t>
      </w:r>
      <w:r>
        <w:rPr>
          <w:rFonts w:ascii="Arial" w:hAnsi="Arial"/>
          <w:b w:val="0"/>
          <w:color w:val="000000"/>
          <w:sz w:val="21"/>
        </w:rPr>
        <w:t>The implementations could be added manually, or the exact payment gateway could be injected directly into CheckoutService.</w:t>
      </w:r>
    </w:p>
    <w:p>
      <w:pPr>
        <w:spacing w:after="120"/>
      </w:pPr>
      <w:r>
        <w:rPr>
          <w:rFonts w:ascii="Arial" w:hAnsi="Arial"/>
          <w:b/>
          <w:color w:val="000000"/>
          <w:sz w:val="21"/>
        </w:rPr>
        <w:t xml:space="preserve">CORRECTION  </w:t>
      </w:r>
      <w:r>
        <w:rPr>
          <w:rFonts w:ascii="Arial" w:hAnsi="Arial"/>
          <w:b/>
          <w:color w:val="000000"/>
          <w:sz w:val="21"/>
        </w:rPr>
        <w:t>Symfony needs an explicit selection. Keep CheckoutService typed against the interface and configure a global alias, bind that constructor argument to one service, or inject a resolver when the choice varies at runtime.</w:t>
      </w:r>
    </w:p>
    <w:p>
      <w:pPr>
        <w:spacing w:after="120"/>
      </w:pPr>
      <w:r>
        <w:rPr>
          <w:rFonts w:ascii="Arial" w:hAnsi="Arial"/>
          <w:b/>
          <w:color w:val="000000"/>
          <w:sz w:val="21"/>
        </w:rPr>
        <w:t xml:space="preserve">Interview ready answer  </w:t>
      </w:r>
      <w:r>
        <w:rPr>
          <w:rFonts w:ascii="Arial" w:hAnsi="Arial"/>
          <w:b w:val="0"/>
          <w:color w:val="000000"/>
          <w:sz w:val="21"/>
        </w:rPr>
        <w:t>If Stripe and PayPal implement the same interface, I configure an interface alias for the default. If one consumer needs a different fixed implementation, I configure its constructor argument. If the provider changes per payment, I inject a resolver or strategy registry.</w:t>
      </w:r>
    </w:p>
    <w:p>
      <w:pPr>
        <w:pStyle w:val="Heading2"/>
        <w:keepNext/>
      </w:pPr>
      <w:r>
        <w:t>7. What does the PaymentGatewayInterface alias do</w:t>
      </w:r>
    </w:p>
    <w:p>
      <w:pPr>
        <w:spacing w:after="120"/>
      </w:pPr>
      <w:r>
        <w:rPr>
          <w:rFonts w:ascii="Arial" w:hAnsi="Arial"/>
          <w:b/>
          <w:color w:val="000000"/>
          <w:sz w:val="21"/>
        </w:rPr>
        <w:t xml:space="preserve">Your answer  </w:t>
      </w:r>
      <w:r>
        <w:rPr>
          <w:rFonts w:ascii="Arial" w:hAnsi="Arial"/>
          <w:b w:val="0"/>
          <w:color w:val="000000"/>
          <w:sz w:val="21"/>
        </w:rPr>
        <w:t>The alias differentiates Stripe from other payment providers, and including the Stripe alias means it will be used directly.</w:t>
      </w:r>
    </w:p>
    <w:p>
      <w:pPr>
        <w:spacing w:after="120"/>
      </w:pPr>
      <w:r>
        <w:rPr>
          <w:rFonts w:ascii="Arial" w:hAnsi="Arial"/>
          <w:b/>
          <w:color w:val="000000"/>
          <w:sz w:val="21"/>
        </w:rPr>
        <w:t xml:space="preserve">CORRECTION  </w:t>
      </w:r>
      <w:r>
        <w:rPr>
          <w:rFonts w:ascii="Arial" w:hAnsi="Arial"/>
          <w:b/>
          <w:color w:val="000000"/>
          <w:sz w:val="21"/>
        </w:rPr>
        <w:t>The alias does not rename or distinguish providers. It maps the interface service ID to the default concrete service. PayPal remains registered, while an interface dependency receives Stripe unless more specific configuration overrides it.</w:t>
      </w:r>
    </w:p>
    <w:p>
      <w:pPr>
        <w:spacing w:after="120"/>
      </w:pPr>
      <w:r>
        <w:rPr>
          <w:rFonts w:ascii="Arial" w:hAnsi="Arial"/>
          <w:b/>
          <w:color w:val="000000"/>
          <w:sz w:val="21"/>
        </w:rPr>
        <w:t xml:space="preserve">Interview ready answer  </w:t>
      </w:r>
      <w:r>
        <w:rPr>
          <w:rFonts w:ascii="Arial" w:hAnsi="Arial"/>
          <w:b w:val="0"/>
          <w:color w:val="000000"/>
          <w:sz w:val="21"/>
        </w:rPr>
        <w:t>When CheckoutService requests PaymentGatewayInterface, the container follows the alias and injects a real StripePaymentGateway instance. The alias controls object selection; it does not execute a payment.</w:t>
      </w:r>
    </w:p>
    <w:p>
      <w:pPr>
        <w:pStyle w:val="Heading2"/>
        <w:keepNext/>
      </w:pPr>
      <w:r>
        <w:t>8. How should CheckoutService be unit tested</w:t>
      </w:r>
    </w:p>
    <w:p>
      <w:pPr>
        <w:spacing w:after="120"/>
      </w:pPr>
      <w:r>
        <w:rPr>
          <w:rFonts w:ascii="Arial" w:hAnsi="Arial"/>
          <w:b/>
          <w:color w:val="000000"/>
          <w:sz w:val="21"/>
        </w:rPr>
        <w:t xml:space="preserve">Your answer  </w:t>
      </w:r>
      <w:r>
        <w:rPr>
          <w:rFonts w:ascii="Arial" w:hAnsi="Arial"/>
          <w:b w:val="0"/>
          <w:color w:val="000000"/>
          <w:sz w:val="21"/>
        </w:rPr>
        <w:t>Use fake card data, a database, provider testing cards, dummy data, or mock data to test checkout.</w:t>
      </w:r>
    </w:p>
    <w:p>
      <w:pPr>
        <w:spacing w:after="120"/>
      </w:pPr>
      <w:r>
        <w:rPr>
          <w:rFonts w:ascii="Arial" w:hAnsi="Arial"/>
          <w:b/>
          <w:color w:val="000000"/>
          <w:sz w:val="21"/>
        </w:rPr>
        <w:t xml:space="preserve">CORRECTION  </w:t>
      </w:r>
      <w:r>
        <w:rPr>
          <w:rFonts w:ascii="Arial" w:hAnsi="Arial"/>
          <w:b/>
          <w:color w:val="000000"/>
          <w:sz w:val="21"/>
        </w:rPr>
        <w:t>A unit test should not use a database, provider network, or provider test card. Inject a mock or fake PaymentGatewayInterface, control its result, and verify CheckoutService interaction and behavior. Provider test cards belong to integration or sandbox tests.</w:t>
      </w:r>
    </w:p>
    <w:p>
      <w:pPr>
        <w:spacing w:after="120"/>
      </w:pPr>
      <w:r>
        <w:rPr>
          <w:rFonts w:ascii="Arial" w:hAnsi="Arial"/>
          <w:b/>
          <w:color w:val="000000"/>
          <w:sz w:val="21"/>
        </w:rPr>
        <w:t xml:space="preserve">Interview ready answer  </w:t>
      </w:r>
      <w:r>
        <w:rPr>
          <w:rFonts w:ascii="Arial" w:hAnsi="Arial"/>
          <w:b w:val="0"/>
          <w:color w:val="000000"/>
          <w:sz w:val="21"/>
        </w:rPr>
        <w:t>I mock PaymentGatewayInterface, configure charge to return a controlled result or throw a controlled failure, and verify CheckoutService passes the expected amount and handles the result. This isolates CheckoutService from external infrastructure.</w:t>
      </w:r>
    </w:p>
    <w:p>
      <w:pPr>
        <w:pStyle w:val="Heading2"/>
        <w:keepNext/>
      </w:pPr>
      <w:r>
        <w:t>9. What is the difference between autowiring and autoconfiguration</w:t>
      </w:r>
    </w:p>
    <w:p>
      <w:pPr>
        <w:spacing w:after="120"/>
      </w:pPr>
      <w:r>
        <w:rPr>
          <w:rFonts w:ascii="Arial" w:hAnsi="Arial"/>
          <w:b/>
          <w:color w:val="000000"/>
          <w:sz w:val="21"/>
        </w:rPr>
        <w:t xml:space="preserve">Your answer  </w:t>
      </w:r>
      <w:r>
        <w:rPr>
          <w:rFonts w:ascii="Arial" w:hAnsi="Arial"/>
          <w:b w:val="0"/>
          <w:color w:val="000000"/>
          <w:sz w:val="21"/>
        </w:rPr>
        <w:t>Autowiring automatically includes required components when a dependency is injected. Autoconfiguration relates to configuration that a class or action needs.</w:t>
      </w:r>
    </w:p>
    <w:p>
      <w:pPr>
        <w:spacing w:after="120"/>
      </w:pPr>
      <w:r>
        <w:rPr>
          <w:rFonts w:ascii="Arial" w:hAnsi="Arial"/>
          <w:b/>
          <w:color w:val="000000"/>
          <w:sz w:val="21"/>
        </w:rPr>
        <w:t xml:space="preserve">CORRECTION  </w:t>
      </w:r>
      <w:r>
        <w:rPr>
          <w:rFonts w:ascii="Arial" w:hAnsi="Arial"/>
          <w:b/>
          <w:color w:val="000000"/>
          <w:sz w:val="21"/>
        </w:rPr>
        <w:t>Autowiring fills typed service arguments. Autoconfiguration assigns framework roles, usually through service tags inferred from interfaces or attributes. It does not mean general application configuration.</w:t>
      </w:r>
    </w:p>
    <w:p>
      <w:pPr>
        <w:spacing w:after="120"/>
      </w:pPr>
      <w:r>
        <w:rPr>
          <w:rFonts w:ascii="Arial" w:hAnsi="Arial"/>
          <w:b/>
          <w:color w:val="000000"/>
          <w:sz w:val="21"/>
        </w:rPr>
        <w:t xml:space="preserve">Interview ready answer  </w:t>
      </w:r>
      <w:r>
        <w:rPr>
          <w:rFonts w:ascii="Arial" w:hAnsi="Arial"/>
          <w:b w:val="0"/>
          <w:color w:val="000000"/>
          <w:sz w:val="21"/>
        </w:rPr>
        <w:t>Autowiring answers which dependency object should be passed. Autoconfiguration answers how the service participates in Symfony, such as registering an EventSubscriberInterface implementation with the event dispatcher.</w:t>
      </w:r>
    </w:p>
    <w:p>
      <w:pPr>
        <w:pStyle w:val="Heading2"/>
        <w:keepNext/>
      </w:pPr>
      <w:r>
        <w:t>10. In an event subscriber what is autowired and what is autoconfigured</w:t>
      </w:r>
    </w:p>
    <w:p>
      <w:pPr>
        <w:spacing w:after="120"/>
      </w:pPr>
      <w:r>
        <w:rPr>
          <w:rFonts w:ascii="Arial" w:hAnsi="Arial"/>
          <w:b/>
          <w:color w:val="000000"/>
          <w:sz w:val="21"/>
        </w:rPr>
        <w:t xml:space="preserve">Your answer  </w:t>
      </w:r>
      <w:r>
        <w:rPr>
          <w:rFonts w:ascii="Arial" w:hAnsi="Arial"/>
          <w:b w:val="0"/>
          <w:color w:val="000000"/>
          <w:sz w:val="21"/>
        </w:rPr>
        <w:t>Injecting LoggerInterface into the constructor is autowiring. What LoggerInterface implements or configures would be autoconfiguration.</w:t>
      </w:r>
    </w:p>
    <w:p>
      <w:pPr>
        <w:spacing w:after="120"/>
      </w:pPr>
      <w:r>
        <w:rPr>
          <w:rFonts w:ascii="Arial" w:hAnsi="Arial"/>
          <w:b/>
          <w:color w:val="000000"/>
          <w:sz w:val="21"/>
        </w:rPr>
        <w:t xml:space="preserve">CORRECTION  </w:t>
      </w:r>
      <w:r>
        <w:rPr>
          <w:rFonts w:ascii="Arial" w:hAnsi="Arial"/>
          <w:b/>
          <w:color w:val="000000"/>
          <w:sz w:val="21"/>
        </w:rPr>
        <w:t>The first statement is correct. Autoconfiguration applies to the subscriber class because it implements EventSubscriberInterface, causing Symfony to add the event-subscriber tag. Logger channels and handlers are ordinary logging configuration.</w:t>
      </w:r>
    </w:p>
    <w:p>
      <w:pPr>
        <w:spacing w:after="120"/>
      </w:pPr>
      <w:r>
        <w:rPr>
          <w:rFonts w:ascii="Arial" w:hAnsi="Arial"/>
          <w:b/>
          <w:color w:val="000000"/>
          <w:sz w:val="21"/>
        </w:rPr>
        <w:t xml:space="preserve">Interview ready answer  </w:t>
      </w:r>
      <w:r>
        <w:rPr>
          <w:rFonts w:ascii="Arial" w:hAnsi="Arial"/>
          <w:b w:val="0"/>
          <w:color w:val="000000"/>
          <w:sz w:val="21"/>
        </w:rPr>
        <w:t>Symfony autowires LoggerInterface into the subscriber constructor. Symfony autoconfigures the subscriber role by recognizing EventSubscriberInterface and registering the service with the EventDispatcher.</w:t>
      </w:r>
    </w:p>
    <w:p>
      <w:pPr>
        <w:pStyle w:val="Heading2"/>
        <w:keepNext/>
      </w:pPr>
      <w:r>
        <w:t>11. What object is injected when the interface alias points to Stripe</w:t>
      </w:r>
    </w:p>
    <w:p>
      <w:pPr>
        <w:spacing w:after="120"/>
      </w:pPr>
      <w:r>
        <w:rPr>
          <w:rFonts w:ascii="Arial" w:hAnsi="Arial"/>
          <w:b/>
          <w:color w:val="000000"/>
          <w:sz w:val="21"/>
        </w:rPr>
        <w:t xml:space="preserve">Your answer  </w:t>
      </w:r>
      <w:r>
        <w:rPr>
          <w:rFonts w:ascii="Arial" w:hAnsi="Arial"/>
          <w:b w:val="0"/>
          <w:color w:val="000000"/>
          <w:sz w:val="21"/>
        </w:rPr>
        <w:t>CheckoutService receives a Stripe object.</w:t>
      </w:r>
    </w:p>
    <w:p>
      <w:pPr>
        <w:spacing w:after="120"/>
      </w:pPr>
      <w:r>
        <w:rPr>
          <w:rFonts w:ascii="Arial" w:hAnsi="Arial"/>
          <w:b/>
          <w:color w:val="000000"/>
          <w:sz w:val="21"/>
        </w:rPr>
        <w:t xml:space="preserve">CORRECTION  </w:t>
      </w:r>
      <w:r>
        <w:rPr>
          <w:rFonts w:ascii="Arial" w:hAnsi="Arial"/>
          <w:b/>
          <w:color w:val="000000"/>
          <w:sz w:val="21"/>
        </w:rPr>
        <w:t>Correct. More precisely, it receives the container-managed StripePaymentGateway service instance while its constructor remains typed against PaymentGatewayInterface.</w:t>
      </w:r>
    </w:p>
    <w:p>
      <w:pPr>
        <w:spacing w:after="120"/>
      </w:pPr>
      <w:r>
        <w:rPr>
          <w:rFonts w:ascii="Arial" w:hAnsi="Arial"/>
          <w:b/>
          <w:color w:val="000000"/>
          <w:sz w:val="21"/>
        </w:rPr>
        <w:t xml:space="preserve">Interview ready answer  </w:t>
      </w:r>
      <w:r>
        <w:rPr>
          <w:rFonts w:ascii="Arial" w:hAnsi="Arial"/>
          <w:b w:val="0"/>
          <w:color w:val="000000"/>
          <w:sz w:val="21"/>
        </w:rPr>
        <w:t>The interface is the compile-time contract. The alias selects StripePaymentGateway, and the container injects that concrete object into CheckoutService at runtime.</w:t>
      </w:r>
    </w:p>
    <w:p>
      <w:pPr>
        <w:pStyle w:val="Heading2"/>
        <w:keepNext/>
      </w:pPr>
      <w:r>
        <w:t>12. What is autoconfiguration and what is an event subscriber</w:t>
      </w:r>
    </w:p>
    <w:p>
      <w:pPr>
        <w:spacing w:after="120"/>
      </w:pPr>
      <w:r>
        <w:rPr>
          <w:rFonts w:ascii="Arial" w:hAnsi="Arial"/>
          <w:b/>
          <w:color w:val="000000"/>
          <w:sz w:val="21"/>
        </w:rPr>
        <w:t xml:space="preserve">Your answer  </w:t>
      </w:r>
      <w:r>
        <w:rPr>
          <w:rFonts w:ascii="Arial" w:hAnsi="Arial"/>
          <w:b w:val="0"/>
          <w:color w:val="000000"/>
          <w:sz w:val="21"/>
        </w:rPr>
        <w:t>I did not understand autoconfiguration yet because event subscribers and this registration mechanism were not concepts I had studied clearly in my earlier Symfony work.</w:t>
      </w:r>
    </w:p>
    <w:p>
      <w:pPr>
        <w:spacing w:after="120"/>
      </w:pPr>
      <w:r>
        <w:rPr>
          <w:rFonts w:ascii="Arial" w:hAnsi="Arial"/>
          <w:b/>
          <w:color w:val="000000"/>
          <w:sz w:val="21"/>
        </w:rPr>
        <w:t xml:space="preserve">CORRECTION  </w:t>
      </w:r>
      <w:r>
        <w:rPr>
          <w:rFonts w:ascii="Arial" w:hAnsi="Arial"/>
          <w:b/>
          <w:color w:val="000000"/>
          <w:sz w:val="21"/>
        </w:rPr>
        <w:t>Autoconfiguration is automatic role registration. Symfony recognizes that a service implements a known interface, such as EventSubscriberInterface, and adds the framework tag needed for that role. An event subscriber is simply a service whose methods are called when selected events are dispatched.</w:t>
      </w:r>
    </w:p>
    <w:p>
      <w:pPr>
        <w:spacing w:after="120"/>
      </w:pPr>
      <w:r>
        <w:rPr>
          <w:rFonts w:ascii="Arial" w:hAnsi="Arial"/>
          <w:b/>
          <w:color w:val="000000"/>
          <w:sz w:val="21"/>
        </w:rPr>
        <w:t xml:space="preserve">Interview ready answer  </w:t>
      </w:r>
      <w:r>
        <w:rPr>
          <w:rFonts w:ascii="Arial" w:hAnsi="Arial"/>
          <w:b w:val="0"/>
          <w:color w:val="000000"/>
          <w:sz w:val="21"/>
        </w:rPr>
        <w:t>Autowiring supplies the objects a service needs. Autoconfiguration tells Symfony how that service participates in the framework. An event subscriber declares which events it listens to and which method should run for each event; autoconfiguration registers it with the EventDispatcher automatically.</w:t>
      </w:r>
    </w:p>
    <w:p>
      <w:pPr>
        <w:pStyle w:val="Heading2"/>
        <w:keepNext/>
      </w:pPr>
      <w:r>
        <w:t>13. What do recognized framework tags mean</w:t>
      </w:r>
    </w:p>
    <w:p>
      <w:pPr>
        <w:spacing w:after="120"/>
      </w:pPr>
      <w:r>
        <w:rPr>
          <w:rFonts w:ascii="Arial" w:hAnsi="Arial"/>
          <w:b/>
          <w:color w:val="000000"/>
          <w:sz w:val="21"/>
        </w:rPr>
        <w:t xml:space="preserve">Your answer  </w:t>
      </w:r>
      <w:r>
        <w:rPr>
          <w:rFonts w:ascii="Arial" w:hAnsi="Arial"/>
          <w:b w:val="0"/>
          <w:color w:val="000000"/>
          <w:sz w:val="21"/>
        </w:rPr>
        <w:t>I did not understand what a recognized framework tag is or whether autoconfiguration simply means tagging.</w:t>
      </w:r>
    </w:p>
    <w:p>
      <w:pPr>
        <w:spacing w:after="120"/>
      </w:pPr>
      <w:r>
        <w:rPr>
          <w:rFonts w:ascii="Arial" w:hAnsi="Arial"/>
          <w:b/>
          <w:color w:val="000000"/>
          <w:sz w:val="21"/>
        </w:rPr>
        <w:t xml:space="preserve">CORRECTION  </w:t>
      </w:r>
      <w:r>
        <w:rPr>
          <w:rFonts w:ascii="Arial" w:hAnsi="Arial"/>
          <w:b/>
          <w:color w:val="000000"/>
          <w:sz w:val="21"/>
        </w:rPr>
        <w:t>A tag is metadata on a service definition that marks the service for a framework feature. Autoconfiguration does mean automatically adding known tags, but only when Symfony or a bundle has registered a rule for the interface or attribute used by the class.</w:t>
      </w:r>
    </w:p>
    <w:p>
      <w:pPr>
        <w:spacing w:after="120"/>
      </w:pPr>
      <w:r>
        <w:rPr>
          <w:rFonts w:ascii="Arial" w:hAnsi="Arial"/>
          <w:b/>
          <w:color w:val="000000"/>
          <w:sz w:val="21"/>
        </w:rPr>
        <w:t xml:space="preserve">Interview ready answer  </w:t>
      </w:r>
      <w:r>
        <w:rPr>
          <w:rFonts w:ascii="Arial" w:hAnsi="Arial"/>
          <w:b w:val="0"/>
          <w:color w:val="000000"/>
          <w:sz w:val="21"/>
        </w:rPr>
        <w:t>Symfony knows rules such as EventSubscriberInterface mapping to the kernel.event_subscriber tag. During container compilation, autoconfiguration applies that tag. A compiler pass then collects tagged services and registers them with the relevant component, such as EventDispatcher.</w:t>
      </w:r>
    </w:p>
    <w:p>
      <w:pPr>
        <w:pStyle w:val="Heading2"/>
        <w:keepNext/>
      </w:pPr>
      <w:r>
        <w:t>14. Which tag is added manually for an event subscriber</w:t>
      </w:r>
    </w:p>
    <w:p>
      <w:pPr>
        <w:spacing w:after="120"/>
      </w:pPr>
      <w:r>
        <w:rPr>
          <w:rFonts w:ascii="Arial" w:hAnsi="Arial"/>
          <w:b/>
          <w:color w:val="000000"/>
          <w:sz w:val="21"/>
        </w:rPr>
        <w:t xml:space="preserve">Your answer  </w:t>
      </w:r>
      <w:r>
        <w:rPr>
          <w:rFonts w:ascii="Arial" w:hAnsi="Arial"/>
          <w:b w:val="0"/>
          <w:color w:val="000000"/>
          <w:sz w:val="21"/>
        </w:rPr>
        <w:t>I asked which tag would be added when registering an event subscriber manually.</w:t>
      </w:r>
    </w:p>
    <w:p>
      <w:pPr>
        <w:spacing w:after="120"/>
      </w:pPr>
      <w:r>
        <w:rPr>
          <w:rFonts w:ascii="Arial" w:hAnsi="Arial"/>
          <w:b/>
          <w:color w:val="000000"/>
          <w:sz w:val="21"/>
        </w:rPr>
        <w:t xml:space="preserve">CORRECTION  </w:t>
      </w:r>
      <w:r>
        <w:rPr>
          <w:rFonts w:ascii="Arial" w:hAnsi="Arial"/>
          <w:b/>
          <w:color w:val="000000"/>
          <w:sz w:val="21"/>
        </w:rPr>
        <w:t>The tag is kernel.event_subscriber. It is added to the subscriber service definition when autoconfiguration is disabled or when explicit registration is preferred.</w:t>
      </w:r>
    </w:p>
    <w:p>
      <w:pPr>
        <w:spacing w:after="120"/>
      </w:pPr>
      <w:r>
        <w:rPr>
          <w:rFonts w:ascii="Arial" w:hAnsi="Arial"/>
          <w:b/>
          <w:color w:val="000000"/>
          <w:sz w:val="21"/>
        </w:rPr>
        <w:t xml:space="preserve">Interview ready answer  </w:t>
      </w:r>
      <w:r>
        <w:rPr>
          <w:rFonts w:ascii="Arial" w:hAnsi="Arial"/>
          <w:b w:val="0"/>
          <w:color w:val="000000"/>
          <w:sz w:val="21"/>
        </w:rPr>
        <w:t>I would add the kernel.event_subscriber tag to the service. With autoconfigure enabled, Symfony applies that tag automatically after recognizing EventSubscriberInterface.</w:t>
      </w:r>
    </w:p>
    <w:p>
      <w:pPr>
        <w:pStyle w:val="Heading2"/>
        <w:keepNext/>
      </w:pPr>
      <w:r>
        <w:t>15. What is a simpler example of autoconfiguration</w:t>
      </w:r>
    </w:p>
    <w:p>
      <w:pPr>
        <w:spacing w:after="120"/>
      </w:pPr>
      <w:r>
        <w:rPr>
          <w:rFonts w:ascii="Arial" w:hAnsi="Arial"/>
          <w:b/>
          <w:color w:val="000000"/>
          <w:sz w:val="21"/>
        </w:rPr>
        <w:t xml:space="preserve">Your answer  </w:t>
      </w:r>
      <w:r>
        <w:rPr>
          <w:rFonts w:ascii="Arial" w:hAnsi="Arial"/>
          <w:b w:val="0"/>
          <w:color w:val="000000"/>
          <w:sz w:val="21"/>
        </w:rPr>
        <w:t>I asked for another, simpler example because the event-subscriber example was unfamiliar.</w:t>
      </w:r>
    </w:p>
    <w:p>
      <w:pPr>
        <w:spacing w:after="120"/>
      </w:pPr>
      <w:r>
        <w:rPr>
          <w:rFonts w:ascii="Arial" w:hAnsi="Arial"/>
          <w:b/>
          <w:color w:val="000000"/>
          <w:sz w:val="21"/>
        </w:rPr>
        <w:t xml:space="preserve">CORRECTION  </w:t>
      </w:r>
      <w:r>
        <w:rPr>
          <w:rFonts w:ascii="Arial" w:hAnsi="Arial"/>
          <w:b/>
          <w:color w:val="000000"/>
          <w:sz w:val="21"/>
        </w:rPr>
        <w:t>A Symfony console command is a simpler example. When an application class extends Symfony Command and is registered as a service, autoconfiguration assigns the console-command role. The AsCommand attribute supplies its command name and description.</w:t>
      </w:r>
    </w:p>
    <w:p>
      <w:pPr>
        <w:spacing w:after="120"/>
      </w:pPr>
      <w:r>
        <w:rPr>
          <w:rFonts w:ascii="Arial" w:hAnsi="Arial"/>
          <w:b/>
          <w:color w:val="000000"/>
          <w:sz w:val="21"/>
        </w:rPr>
        <w:t xml:space="preserve">Interview ready answer  </w:t>
      </w:r>
      <w:r>
        <w:rPr>
          <w:rFonts w:ascii="Arial" w:hAnsi="Arial"/>
          <w:b w:val="0"/>
          <w:color w:val="000000"/>
          <w:sz w:val="21"/>
        </w:rPr>
        <w:t>A class extends Symfony Command and defines its name with AsCommand. Autoconfiguration registers it with the Console component, so it appears in bin/console without a manual console.command service tag.</w:t>
      </w:r>
    </w:p>
    <w:p>
      <w:pPr>
        <w:pStyle w:val="Heading2"/>
        <w:keepNext/>
      </w:pPr>
      <w:r>
        <w:t>16. How do autowiring and autoconfiguration compare</w:t>
      </w:r>
    </w:p>
    <w:p>
      <w:pPr>
        <w:spacing w:after="120"/>
      </w:pPr>
      <w:r>
        <w:rPr>
          <w:rFonts w:ascii="Arial" w:hAnsi="Arial"/>
          <w:b/>
          <w:color w:val="000000"/>
          <w:sz w:val="21"/>
        </w:rPr>
        <w:t xml:space="preserve">Your answer  </w:t>
      </w:r>
      <w:r>
        <w:rPr>
          <w:rFonts w:ascii="Arial" w:hAnsi="Arial"/>
          <w:b w:val="0"/>
          <w:color w:val="000000"/>
          <w:sz w:val="21"/>
        </w:rPr>
        <w:t>I asked for a side-by-side comparison so the two container features are easier to distinguish.</w:t>
      </w:r>
    </w:p>
    <w:p>
      <w:pPr>
        <w:spacing w:after="120"/>
      </w:pPr>
      <w:r>
        <w:rPr>
          <w:rFonts w:ascii="Arial" w:hAnsi="Arial"/>
          <w:b/>
          <w:color w:val="000000"/>
          <w:sz w:val="21"/>
        </w:rPr>
        <w:t xml:space="preserve">CORRECTION  </w:t>
      </w:r>
      <w:r>
        <w:rPr>
          <w:rFonts w:ascii="Arial" w:hAnsi="Arial"/>
          <w:b/>
          <w:color w:val="000000"/>
          <w:sz w:val="21"/>
        </w:rPr>
        <w:t>Autowiring resolves and injects dependencies from type declarations. Autoconfiguration assigns framework roles by applying registered service tags based on a class, interface, or attribute. They are separate features and can be enabled independently.</w:t>
      </w:r>
    </w:p>
    <w:p>
      <w:pPr>
        <w:spacing w:after="120"/>
      </w:pPr>
      <w:r>
        <w:rPr>
          <w:rFonts w:ascii="Arial" w:hAnsi="Arial"/>
          <w:b/>
          <w:color w:val="000000"/>
          <w:sz w:val="21"/>
        </w:rPr>
        <w:t xml:space="preserve">Interview ready answer  </w:t>
      </w:r>
      <w:r>
        <w:rPr>
          <w:rFonts w:ascii="Arial" w:hAnsi="Arial"/>
          <w:b w:val="0"/>
          <w:color w:val="000000"/>
          <w:sz w:val="21"/>
        </w:rPr>
        <w:t>Autowiring answers what objects a service needs. Autoconfiguration answers how Symfony should register and use that service. For example, LoggerInterface injection is autowiring, while registering an EventSubscriberInterface implementation is autoconfiguration.</w:t>
      </w:r>
    </w:p>
    <w:p>
      <w:pPr>
        <w:pStyle w:val="Heading2"/>
        <w:keepNext/>
      </w:pPr>
      <w:r>
        <w:t>17. What is a tag in autoconfiguration</w:t>
      </w:r>
    </w:p>
    <w:p>
      <w:pPr>
        <w:spacing w:after="120"/>
      </w:pPr>
      <w:r>
        <w:rPr>
          <w:rFonts w:ascii="Arial" w:hAnsi="Arial"/>
          <w:b/>
          <w:color w:val="000000"/>
          <w:sz w:val="21"/>
        </w:rPr>
        <w:t xml:space="preserve">Your answer  </w:t>
      </w:r>
      <w:r>
        <w:rPr>
          <w:rFonts w:ascii="Arial" w:hAnsi="Arial"/>
          <w:b w:val="0"/>
          <w:color w:val="000000"/>
          <w:sz w:val="21"/>
        </w:rPr>
        <w:t>I asked for the precise meaning of a tag in the context of autoconfiguration.</w:t>
      </w:r>
    </w:p>
    <w:p>
      <w:pPr>
        <w:spacing w:after="120"/>
      </w:pPr>
      <w:r>
        <w:rPr>
          <w:rFonts w:ascii="Arial" w:hAnsi="Arial"/>
          <w:b/>
          <w:color w:val="000000"/>
          <w:sz w:val="21"/>
        </w:rPr>
        <w:t xml:space="preserve">CORRECTION  </w:t>
      </w:r>
      <w:r>
        <w:rPr>
          <w:rFonts w:ascii="Arial" w:hAnsi="Arial"/>
          <w:b/>
          <w:color w:val="000000"/>
          <w:sz w:val="21"/>
        </w:rPr>
        <w:t>A service tag is metadata stored on a service definition. It identifies that service as participating in a specific Symfony or bundle feature. The tag does not change the PHP class and does not execute its methods.</w:t>
      </w:r>
    </w:p>
    <w:p>
      <w:pPr>
        <w:spacing w:after="120"/>
      </w:pPr>
      <w:r>
        <w:rPr>
          <w:rFonts w:ascii="Arial" w:hAnsi="Arial"/>
          <w:b/>
          <w:color w:val="000000"/>
          <w:sz w:val="21"/>
        </w:rPr>
        <w:t xml:space="preserve">Interview ready answer  </w:t>
      </w:r>
      <w:r>
        <w:rPr>
          <w:rFonts w:ascii="Arial" w:hAnsi="Arial"/>
          <w:b w:val="0"/>
          <w:color w:val="000000"/>
          <w:sz w:val="21"/>
        </w:rPr>
        <w:t>A tag is a label in the dependency-injection container. Framework compiler passes collect services with a particular tag and register them with the related subsystem. Autoconfiguration adds supported tags automatically; for example, kernel.event_subscriber marks an event subscriber.</w:t>
      </w:r>
    </w:p>
    <w:p>
      <w:r>
        <w:br w:type="page"/>
      </w:r>
    </w:p>
    <w:p>
      <w:pPr>
        <w:pStyle w:val="Heading2"/>
        <w:keepNext/>
      </w:pPr>
      <w:r>
        <w:t>18. What is the TDD cycle and why does it begin with a failing test</w:t>
      </w:r>
    </w:p>
    <w:p>
      <w:pPr>
        <w:spacing w:after="120"/>
      </w:pPr>
      <w:r>
        <w:rPr>
          <w:rFonts w:ascii="Arial" w:hAnsi="Arial"/>
          <w:b/>
          <w:color w:val="000000"/>
          <w:sz w:val="21"/>
        </w:rPr>
        <w:t xml:space="preserve">Your answer  </w:t>
      </w:r>
      <w:r>
        <w:rPr>
          <w:rFonts w:ascii="Arial" w:hAnsi="Arial"/>
          <w:b w:val="0"/>
          <w:color w:val="000000"/>
          <w:sz w:val="21"/>
        </w:rPr>
        <w:t>The cycle is red, green, and refactor. The first test fails because the implementation has not been written and it defines the expected behavior. During green, write enough code to pass. During refactoring, change only the code structure while output and behavior remain unchanged. TDD differs because it defines the expected result before implementation.</w:t>
      </w:r>
    </w:p>
    <w:p>
      <w:pPr>
        <w:spacing w:after="120"/>
      </w:pPr>
      <w:r>
        <w:rPr>
          <w:rFonts w:ascii="Arial" w:hAnsi="Arial"/>
          <w:b/>
          <w:color w:val="000000"/>
          <w:sz w:val="21"/>
        </w:rPr>
        <w:t xml:space="preserve">CORRECTION  </w:t>
      </w:r>
      <w:r>
        <w:rPr>
          <w:rFonts w:ascii="Arial" w:hAnsi="Arial"/>
          <w:b/>
          <w:color w:val="000000"/>
          <w:sz w:val="21"/>
        </w:rPr>
        <w:t>The explanation is correct. The red test must fail for the expected reason, which proves the test can detect missing behavior. Green means the smallest reasonable production implementation, not hardcoded or intentionally poor code. Refactoring improves internal structure while all observable behavior and passing tests remain unchanged. Tests written afterward verify an existing design, while TDD also influences the design through short feedback cycles.</w:t>
      </w:r>
    </w:p>
    <w:p>
      <w:pPr>
        <w:spacing w:after="120"/>
      </w:pPr>
      <w:r>
        <w:rPr>
          <w:rFonts w:ascii="Arial" w:hAnsi="Arial"/>
          <w:b/>
          <w:color w:val="000000"/>
          <w:sz w:val="21"/>
        </w:rPr>
        <w:t xml:space="preserve">Interview ready answer  </w:t>
      </w:r>
      <w:r>
        <w:rPr>
          <w:rFonts w:ascii="Arial" w:hAnsi="Arial"/>
          <w:b w:val="0"/>
          <w:color w:val="000000"/>
          <w:sz w:val="21"/>
        </w:rPr>
        <w:t>TDD follows red, green, refactor. I first write one test and confirm that it fails for the intended reason. I then implement only the required behavior. After it passes, I improve the design without changing behavior. Unlike testing after implementation, TDD uses tests to specify behavior and provide design feedback before and during implementation.</w:t>
      </w:r>
    </w:p>
    <w:p>
      <w:r>
        <w:br w:type="page"/>
      </w:r>
    </w:p>
    <w:p>
      <w:pPr>
        <w:pStyle w:val="Heading1"/>
        <w:keepNext/>
      </w:pPr>
      <w:r>
        <w:t>3. Payment Gateway Code Walkthrough</w:t>
      </w:r>
    </w:p>
    <w:p>
      <w:r>
        <w:t>The example uses one interface with two implementations. Symfony configuration selects the implementation supplied to CheckoutService.</w:t>
      </w:r>
    </w:p>
    <w:p>
      <w:pPr>
        <w:pStyle w:val="Heading2"/>
        <w:keepNext/>
      </w:pPr>
      <w:r>
        <w:t>3.1 PaymentGatewayInterface</w:t>
      </w:r>
    </w:p>
    <w:p>
      <w:pPr>
        <w:keepLines/>
        <w:spacing w:before="60" w:after="140" w:line="240" w:lineRule="auto"/>
        <w:ind w:left="259" w:right="259"/>
        <w:shd w:fill="F2F2F2"/>
      </w:pPr>
      <w:r>
        <w:rPr>
          <w:rFonts w:ascii="Consolas" w:hAnsi="Consolas"/>
          <w:color w:val="1F1F1F"/>
          <w:sz w:val="16"/>
        </w:rPr>
        <w:t>&lt;?php</w:t>
        <w:br/>
        <w:br/>
        <w:t>namespace App\Payment;</w:t>
        <w:br/>
        <w:br/>
        <w:t>interface PaymentGatewayInterface</w:t>
        <w:br/>
        <w:t>{</w:t>
        <w:br/>
        <w:t xml:space="preserve">    public function charge(int $amountInCents): PaymentResult;</w:t>
        <w:br/>
        <w:t>}</w:t>
      </w:r>
    </w:p>
    <w:p>
      <w:pPr>
        <w:pStyle w:val="Heading2"/>
        <w:keepNext/>
      </w:pPr>
      <w:r>
        <w:t>3.2 PaymentResult</w:t>
      </w:r>
    </w:p>
    <w:p>
      <w:pPr>
        <w:keepLines/>
        <w:spacing w:before="60" w:after="140" w:line="240" w:lineRule="auto"/>
        <w:ind w:left="259" w:right="259"/>
        <w:shd w:fill="F2F2F2"/>
      </w:pPr>
      <w:r>
        <w:rPr>
          <w:rFonts w:ascii="Consolas" w:hAnsi="Consolas"/>
          <w:color w:val="1F1F1F"/>
          <w:sz w:val="16"/>
        </w:rPr>
        <w:t>&lt;?php</w:t>
        <w:br/>
        <w:br/>
        <w:t>namespace App\Payment;</w:t>
        <w:br/>
        <w:br/>
        <w:t>final readonly class PaymentResult</w:t>
        <w:br/>
        <w:t>{</w:t>
        <w:br/>
        <w:t xml:space="preserve">    public function __construct(</w:t>
        <w:br/>
        <w:t xml:space="preserve">        public bool $successful,</w:t>
        <w:br/>
        <w:t xml:space="preserve">        public string $transactionId,</w:t>
        <w:br/>
        <w:t xml:space="preserve">    ) {</w:t>
        <w:br/>
        <w:t xml:space="preserve">    }</w:t>
        <w:br/>
        <w:t>}</w:t>
      </w:r>
    </w:p>
    <w:p>
      <w:pPr>
        <w:pStyle w:val="Heading2"/>
        <w:keepNext/>
      </w:pPr>
      <w:r>
        <w:t>3.3 Stripe implementation</w:t>
      </w:r>
    </w:p>
    <w:p>
      <w:pPr>
        <w:keepLines/>
        <w:spacing w:before="60" w:after="140" w:line="240" w:lineRule="auto"/>
        <w:ind w:left="259" w:right="259"/>
        <w:shd w:fill="F2F2F2"/>
      </w:pPr>
      <w:r>
        <w:rPr>
          <w:rFonts w:ascii="Consolas" w:hAnsi="Consolas"/>
          <w:color w:val="1F1F1F"/>
          <w:sz w:val="16"/>
        </w:rPr>
        <w:t>&lt;?php</w:t>
        <w:br/>
        <w:br/>
        <w:t>namespace App\Payment;</w:t>
        <w:br/>
        <w:br/>
        <w:t>final class StripePaymentGateway implements PaymentGatewayInterface</w:t>
        <w:br/>
        <w:t>{</w:t>
        <w:br/>
        <w:t xml:space="preserve">    public function charge(int $amountInCents): PaymentResult</w:t>
        <w:br/>
        <w:t xml:space="preserve">    {</w:t>
        <w:br/>
        <w:t xml:space="preserve">        return new PaymentResult(</w:t>
        <w:br/>
        <w:t xml:space="preserve">            successful: true,</w:t>
        <w:br/>
        <w:t xml:space="preserve">            transactionId: 'stripe-transaction',</w:t>
        <w:br/>
        <w:t xml:space="preserve">        );</w:t>
        <w:br/>
        <w:t xml:space="preserve">    }</w:t>
        <w:br/>
        <w:t>}</w:t>
      </w:r>
    </w:p>
    <w:p>
      <w:pPr>
        <w:pStyle w:val="Heading2"/>
        <w:keepNext/>
      </w:pPr>
      <w:r>
        <w:t>3.4 PayPal implementation</w:t>
      </w:r>
    </w:p>
    <w:p>
      <w:pPr>
        <w:keepLines/>
        <w:spacing w:before="60" w:after="140" w:line="240" w:lineRule="auto"/>
        <w:ind w:left="259" w:right="259"/>
        <w:shd w:fill="F2F2F2"/>
      </w:pPr>
      <w:r>
        <w:rPr>
          <w:rFonts w:ascii="Consolas" w:hAnsi="Consolas"/>
          <w:color w:val="1F1F1F"/>
          <w:sz w:val="16"/>
        </w:rPr>
        <w:t>&lt;?php</w:t>
        <w:br/>
        <w:br/>
        <w:t>namespace App\Payment;</w:t>
        <w:br/>
        <w:br/>
        <w:t>final class PayPalPaymentGateway implements PaymentGatewayInterface</w:t>
        <w:br/>
        <w:t>{</w:t>
        <w:br/>
        <w:t xml:space="preserve">    public function charge(int $amountInCents): PaymentResult</w:t>
        <w:br/>
        <w:t xml:space="preserve">    {</w:t>
        <w:br/>
        <w:t xml:space="preserve">        return new PaymentResult(</w:t>
        <w:br/>
        <w:t xml:space="preserve">            successful: true,</w:t>
        <w:br/>
        <w:t xml:space="preserve">            transactionId: 'paypal-transaction',</w:t>
        <w:br/>
        <w:t xml:space="preserve">        );</w:t>
        <w:br/>
        <w:t xml:space="preserve">    }</w:t>
        <w:br/>
        <w:t>}</w:t>
      </w:r>
    </w:p>
    <w:p>
      <w:pPr>
        <w:pStyle w:val="Heading2"/>
        <w:keepNext/>
      </w:pPr>
      <w:r>
        <w:t>3.5 CheckoutService</w:t>
      </w:r>
    </w:p>
    <w:p>
      <w:pPr>
        <w:keepLines/>
        <w:spacing w:before="60" w:after="140" w:line="240" w:lineRule="auto"/>
        <w:ind w:left="259" w:right="259"/>
        <w:shd w:fill="F2F2F2"/>
      </w:pPr>
      <w:r>
        <w:rPr>
          <w:rFonts w:ascii="Consolas" w:hAnsi="Consolas"/>
          <w:color w:val="1F1F1F"/>
          <w:sz w:val="16"/>
        </w:rPr>
        <w:t>&lt;?php</w:t>
        <w:br/>
        <w:br/>
        <w:t>namespace App\Service;</w:t>
        <w:br/>
        <w:br/>
        <w:t>use App\Payment\PaymentGatewayInterface;</w:t>
        <w:br/>
        <w:t>use App\Payment\PaymentResult;</w:t>
        <w:br/>
        <w:br/>
        <w:t>final class CheckoutService</w:t>
        <w:br/>
        <w:t>{</w:t>
        <w:br/>
        <w:t xml:space="preserve">    public function __construct(</w:t>
        <w:br/>
        <w:t xml:space="preserve">        private readonly PaymentGatewayInterface $gateway,</w:t>
        <w:br/>
        <w:t xml:space="preserve">    ) {</w:t>
        <w:br/>
        <w:t xml:space="preserve">    }</w:t>
        <w:br/>
        <w:br/>
        <w:t xml:space="preserve">    public function checkout(int $amountInCents): PaymentResult</w:t>
        <w:br/>
        <w:t xml:space="preserve">    {</w:t>
        <w:br/>
        <w:t xml:space="preserve">        return $this-&gt;gateway-&gt;charge($amountInCents);</w:t>
        <w:br/>
        <w:t xml:space="preserve">    }</w:t>
        <w:br/>
        <w:t>}</w:t>
      </w:r>
    </w:p>
    <w:p>
      <w:pPr>
        <w:pStyle w:val="Heading2"/>
        <w:keepNext/>
      </w:pPr>
      <w:r>
        <w:t>3.6 Global interface alias</w:t>
      </w:r>
    </w:p>
    <w:p>
      <w:pPr>
        <w:keepLines/>
        <w:spacing w:before="60" w:after="140" w:line="240" w:lineRule="auto"/>
        <w:ind w:left="259" w:right="259"/>
        <w:shd w:fill="F2F2F2"/>
      </w:pPr>
      <w:r>
        <w:rPr>
          <w:rFonts w:ascii="Consolas" w:hAnsi="Consolas"/>
          <w:color w:val="1F1F1F"/>
          <w:sz w:val="16"/>
        </w:rPr>
        <w:t># config/services.yaml</w:t>
        <w:br/>
        <w:br/>
        <w:t>services:</w:t>
        <w:br/>
        <w:t xml:space="preserve">    App\Payment\PaymentGatewayInterface:</w:t>
        <w:br/>
        <w:t xml:space="preserve">        alias: App\Payment\StripePaymentGateway</w:t>
      </w:r>
    </w:p>
    <w:p>
      <w:pPr>
        <w:pStyle w:val="Heading2"/>
        <w:keepNext/>
      </w:pPr>
      <w:r>
        <w:t>3.7 Consumer-specific argument selection</w:t>
      </w:r>
    </w:p>
    <w:p>
      <w:pPr>
        <w:keepLines/>
        <w:spacing w:before="60" w:after="140" w:line="240" w:lineRule="auto"/>
        <w:ind w:left="259" w:right="259"/>
        <w:shd w:fill="F2F2F2"/>
      </w:pPr>
      <w:r>
        <w:rPr>
          <w:rFonts w:ascii="Consolas" w:hAnsi="Consolas"/>
          <w:color w:val="1F1F1F"/>
          <w:sz w:val="16"/>
        </w:rPr>
        <w:t># config/services.yaml</w:t>
        <w:br/>
        <w:br/>
        <w:t>services:</w:t>
        <w:br/>
        <w:t xml:space="preserve">    App\Service\CheckoutService:</w:t>
        <w:br/>
        <w:t xml:space="preserve">        arguments:</w:t>
        <w:br/>
        <w:t xml:space="preserve">            $gateway: '@App\Payment\PayPalPaymentGateway' </w:t>
      </w:r>
    </w:p>
    <w:p>
      <w:pPr>
        <w:pStyle w:val="Heading2"/>
        <w:keepNext/>
      </w:pPr>
      <w:r>
        <w:t>3.8 CheckoutService unit test</w:t>
      </w:r>
    </w:p>
    <w:p>
      <w:pPr>
        <w:keepLines/>
        <w:spacing w:before="60" w:after="140" w:line="240" w:lineRule="auto"/>
        <w:ind w:left="259" w:right="259"/>
        <w:shd w:fill="F2F2F2"/>
      </w:pPr>
      <w:r>
        <w:rPr>
          <w:rFonts w:ascii="Consolas" w:hAnsi="Consolas"/>
          <w:color w:val="1F1F1F"/>
          <w:sz w:val="16"/>
        </w:rPr>
        <w:t>&lt;?php</w:t>
        <w:br/>
        <w:br/>
        <w:t>namespace App\Tests\Unit\Service;</w:t>
        <w:br/>
        <w:br/>
        <w:t>use App\Payment\PaymentGatewayInterface;</w:t>
        <w:br/>
        <w:t>use App\Payment\PaymentResult;</w:t>
        <w:br/>
        <w:t>use App\Service\CheckoutService;</w:t>
        <w:br/>
        <w:t>use PHPUnit\Framework\TestCase;</w:t>
        <w:br/>
        <w:br/>
        <w:t>final class CheckoutServiceTest extends TestCase</w:t>
        <w:br/>
        <w:t>{</w:t>
        <w:br/>
        <w:t xml:space="preserve">    public function testItCompletesCheckoutThroughTheGateway(): void</w:t>
        <w:br/>
        <w:t xml:space="preserve">    {</w:t>
        <w:br/>
        <w:t xml:space="preserve">        $expectedResult = new PaymentResult(</w:t>
        <w:br/>
        <w:t xml:space="preserve">            successful: true,</w:t>
        <w:br/>
        <w:t xml:space="preserve">            transactionId: 'test-transaction',</w:t>
        <w:br/>
        <w:t xml:space="preserve">        );</w:t>
        <w:br/>
        <w:br/>
        <w:t xml:space="preserve">        $gateway = $this-&gt;createMock(PaymentGatewayInterface::class);</w:t>
        <w:br/>
        <w:t xml:space="preserve">        $gateway</w:t>
        <w:br/>
        <w:t xml:space="preserve">            -&gt;expects(self::once())</w:t>
        <w:br/>
        <w:t xml:space="preserve">            -&gt;method('charge')</w:t>
        <w:br/>
        <w:t xml:space="preserve">            -&gt;with(2500)</w:t>
        <w:br/>
        <w:t xml:space="preserve">            -&gt;willReturn($expectedResult);</w:t>
        <w:br/>
        <w:br/>
        <w:t xml:space="preserve">        $checkout = new CheckoutService($gateway);</w:t>
        <w:br/>
        <w:t xml:space="preserve">        $actualResult = $checkout-&gt;checkout(2500);</w:t>
        <w:br/>
        <w:br/>
        <w:t xml:space="preserve">        self::assertSame($expectedResult, $actualResult);</w:t>
        <w:br/>
        <w:t xml:space="preserve">    }</w:t>
        <w:br/>
        <w:t>}</w:t>
      </w:r>
    </w:p>
    <w:p>
      <w:r>
        <w:br w:type="page"/>
      </w:r>
    </w:p>
    <w:p>
      <w:pPr>
        <w:pStyle w:val="Heading1"/>
        <w:keepNext/>
      </w:pPr>
      <w:r>
        <w:t>4. Event Subscriber Autowiring and Autoconfiguration</w:t>
      </w:r>
    </w:p>
    <w:p>
      <w:r>
        <w:t>This example separates the two mechanisms. LoggerInterface is autowired into the constructor. EventSubscriberInterface causes the subscriber service to be autoconfigured and registered with the dispatcher.</w:t>
      </w:r>
    </w:p>
    <w:p>
      <w:pPr>
        <w:pStyle w:val="Heading2"/>
        <w:keepNext/>
      </w:pPr>
      <w:r>
        <w:t>4.0 Plain-language mental model</w:t>
      </w:r>
    </w:p>
    <w:p>
      <w:pPr>
        <w:spacing w:after="60"/>
        <w:ind w:left="346" w:hanging="230"/>
      </w:pPr>
      <w:r>
        <w:rPr>
          <w:rFonts w:ascii="Arial" w:hAnsi="Arial"/>
          <w:color w:val="000000"/>
          <w:sz w:val="21"/>
        </w:rPr>
        <w:t>•  Autowiring asks: What dependency object does this service need?</w:t>
      </w:r>
    </w:p>
    <w:p>
      <w:pPr>
        <w:spacing w:after="60"/>
        <w:ind w:left="346" w:hanging="230"/>
      </w:pPr>
      <w:r>
        <w:rPr>
          <w:rFonts w:ascii="Arial" w:hAnsi="Arial"/>
          <w:color w:val="000000"/>
          <w:sz w:val="21"/>
        </w:rPr>
        <w:t>•  Autoconfiguration asks: What Symfony role does this service perform?</w:t>
      </w:r>
    </w:p>
    <w:p>
      <w:pPr>
        <w:spacing w:after="60"/>
        <w:ind w:left="346" w:hanging="230"/>
      </w:pPr>
      <w:r>
        <w:rPr>
          <w:rFonts w:ascii="Arial" w:hAnsi="Arial"/>
          <w:color w:val="000000"/>
          <w:sz w:val="21"/>
        </w:rPr>
        <w:t>•  An event is a PHP object announcing that something happened, such as ProductCreatedEvent.</w:t>
      </w:r>
    </w:p>
    <w:p>
      <w:pPr>
        <w:spacing w:after="60"/>
        <w:ind w:left="346" w:hanging="230"/>
      </w:pPr>
      <w:r>
        <w:rPr>
          <w:rFonts w:ascii="Arial" w:hAnsi="Arial"/>
          <w:color w:val="000000"/>
          <w:sz w:val="21"/>
        </w:rPr>
        <w:t>•  A subscriber declares the events it cares about and the methods Symfony should call.</w:t>
      </w:r>
    </w:p>
    <w:p>
      <w:pPr>
        <w:spacing w:after="60"/>
        <w:ind w:left="346" w:hanging="230"/>
      </w:pPr>
      <w:r>
        <w:rPr>
          <w:rFonts w:ascii="Arial" w:hAnsi="Arial"/>
          <w:color w:val="000000"/>
          <w:sz w:val="21"/>
        </w:rPr>
        <w:t>•  The dispatcher receives an event and sends it to every registered listener or subscriber for that event.</w:t>
      </w:r>
    </w:p>
    <w:p>
      <w:pPr>
        <w:spacing w:after="60"/>
        <w:ind w:left="346" w:hanging="230"/>
      </w:pPr>
      <w:r>
        <w:rPr>
          <w:rFonts w:ascii="Arial" w:hAnsi="Arial"/>
          <w:color w:val="000000"/>
          <w:sz w:val="21"/>
        </w:rPr>
        <w:t>•  Implementing EventSubscriberInterface lets autoconfiguration register the subscriber without a manual kernel.event_subscriber tag.</w:t>
      </w:r>
    </w:p>
    <w:p>
      <w:pPr>
        <w:pStyle w:val="Heading2"/>
        <w:keepNext/>
      </w:pPr>
      <w:r>
        <w:t>4.0.1 Autowiring compared with autoconfiguration</w:t>
      </w:r>
    </w:p>
    <w:tbl>
      <w:tblPr>
        <w:tblW w:type="auto" w:w="0"/>
        <w:tblLayout w:type="fixed"/>
        <w:tblLook w:firstColumn="1" w:firstRow="1" w:lastColumn="0" w:lastRow="0" w:noHBand="0" w:noVBand="1" w:val="04A0"/>
      </w:tblPr>
      <w:tblGrid>
        <w:gridCol w:w="2232"/>
        <w:gridCol w:w="3528"/>
        <w:gridCol w:w="3528"/>
      </w:tblGrid>
      <w:tr>
        <w:tc>
          <w:tcPr>
            <w:tcW w:type="dxa" w:w="312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7"/>
              </w:rPr>
              <w:t>Aspect</w:t>
            </w:r>
          </w:p>
        </w:tc>
        <w:tc>
          <w:tcPr>
            <w:tcW w:type="dxa" w:w="312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7"/>
              </w:rPr>
              <w:t>Autowiring</w:t>
            </w:r>
          </w:p>
        </w:tc>
        <w:tc>
          <w:tcPr>
            <w:tcW w:type="dxa" w:w="312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7"/>
              </w:rPr>
              <w:t>Autoconfiguration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color w:val="000000"/>
                <w:sz w:val="16"/>
              </w:rPr>
              <w:t>Main question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What object does this service need?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What Symfony role does this service perform?</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color w:val="000000"/>
                <w:sz w:val="16"/>
              </w:rPr>
              <w:t>Reads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Constructor or method type declarations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Known parent classes, interfaces, or attributes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color w:val="000000"/>
                <w:sz w:val="16"/>
              </w:rPr>
              <w:t>Produces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An injected dependency object</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A service tag or framework registration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color w:val="000000"/>
                <w:sz w:val="16"/>
              </w:rPr>
              <w:t>Example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Inject LoggerInterface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Register EventSubscriberInterface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color w:val="000000"/>
                <w:sz w:val="16"/>
              </w:rPr>
              <w:t>Failure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No unique matching service can be resolved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The service is not discovered for that framework role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color w:val="000000"/>
                <w:sz w:val="16"/>
              </w:rPr>
              <w:t>Manual alternative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Configure the argument or interface alias</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Add the required service tag explicitly</w:t>
            </w:r>
          </w:p>
        </w:tc>
      </w:tr>
    </w:tbl>
    <w:p>
      <w:pPr>
        <w:pStyle w:val="Heading2"/>
        <w:keepNext/>
      </w:pPr>
      <w:r>
        <w:t>4.1 ProductCreatedEvent</w:t>
      </w:r>
    </w:p>
    <w:p>
      <w:pPr>
        <w:keepLines/>
        <w:spacing w:before="60" w:after="140" w:line="240" w:lineRule="auto"/>
        <w:ind w:left="259" w:right="259"/>
        <w:shd w:fill="F2F2F2"/>
      </w:pPr>
      <w:r>
        <w:rPr>
          <w:rFonts w:ascii="Consolas" w:hAnsi="Consolas"/>
          <w:color w:val="1F1F1F"/>
          <w:sz w:val="16"/>
        </w:rPr>
        <w:t>&lt;?php</w:t>
        <w:br/>
        <w:br/>
        <w:t>namespace App\Event;</w:t>
        <w:br/>
        <w:br/>
        <w:t>final readonly class ProductCreatedEvent</w:t>
        <w:br/>
        <w:t>{</w:t>
        <w:br/>
        <w:t xml:space="preserve">    public function __construct(</w:t>
        <w:br/>
        <w:t xml:space="preserve">        public int $productId,</w:t>
        <w:br/>
        <w:t xml:space="preserve">    ) {</w:t>
        <w:br/>
        <w:t xml:space="preserve">    }</w:t>
        <w:br/>
        <w:t>}</w:t>
      </w:r>
    </w:p>
    <w:p>
      <w:pPr>
        <w:pStyle w:val="Heading2"/>
        <w:keepNext/>
      </w:pPr>
      <w:r>
        <w:t>4.2 ProductCreatedSubscriber</w:t>
      </w:r>
    </w:p>
    <w:p>
      <w:pPr>
        <w:keepLines/>
        <w:spacing w:before="60" w:after="140" w:line="240" w:lineRule="auto"/>
        <w:ind w:left="259" w:right="259"/>
        <w:shd w:fill="F2F2F2"/>
      </w:pPr>
      <w:r>
        <w:rPr>
          <w:rFonts w:ascii="Consolas" w:hAnsi="Consolas"/>
          <w:color w:val="1F1F1F"/>
          <w:sz w:val="16"/>
        </w:rPr>
        <w:t>&lt;?php</w:t>
        <w:br/>
        <w:br/>
        <w:t>namespace App\EventSubscriber;</w:t>
        <w:br/>
        <w:br/>
        <w:t>use App\Event\ProductCreatedEvent;</w:t>
        <w:br/>
        <w:t>use Psr\Log\LoggerInterface;</w:t>
        <w:br/>
        <w:t>use Symfony\Component\EventDispatcher\EventSubscriberInterface;</w:t>
        <w:br/>
        <w:br/>
        <w:t>final class ProductCreatedSubscriber implements EventSubscriberInterface</w:t>
        <w:br/>
        <w:t>{</w:t>
        <w:br/>
        <w:t xml:space="preserve">    public function __construct(</w:t>
        <w:br/>
        <w:t xml:space="preserve">        private readonly LoggerInterface $logger,</w:t>
        <w:br/>
        <w:t xml:space="preserve">    ) {</w:t>
        <w:br/>
        <w:t xml:space="preserve">    }</w:t>
        <w:br/>
        <w:br/>
        <w:t xml:space="preserve">    public static function getSubscribedEvents(): array</w:t>
        <w:br/>
        <w:t xml:space="preserve">    {</w:t>
        <w:br/>
        <w:t xml:space="preserve">        return [</w:t>
        <w:br/>
        <w:t xml:space="preserve">            ProductCreatedEvent::class =&gt; 'onProductCreated',</w:t>
        <w:br/>
        <w:t xml:space="preserve">        ];</w:t>
        <w:br/>
        <w:t xml:space="preserve">    }</w:t>
        <w:br/>
        <w:br/>
        <w:t xml:space="preserve">    public function onProductCreated(ProductCreatedEvent $event): void</w:t>
        <w:br/>
        <w:t xml:space="preserve">    {</w:t>
        <w:br/>
        <w:t xml:space="preserve">        $this-&gt;logger-&gt;info('Product created', [</w:t>
        <w:br/>
        <w:t xml:space="preserve">            'product_id' =&gt; $event-&gt;productId,</w:t>
        <w:br/>
        <w:t xml:space="preserve">        ]);</w:t>
        <w:br/>
        <w:t xml:space="preserve">    }</w:t>
        <w:br/>
        <w:t>}</w:t>
      </w:r>
    </w:p>
    <w:p>
      <w:pPr>
        <w:pStyle w:val="Heading2"/>
        <w:keepNext/>
      </w:pPr>
      <w:r>
        <w:t>4.3 Service defaults</w:t>
      </w:r>
    </w:p>
    <w:p>
      <w:pPr>
        <w:keepLines/>
        <w:spacing w:before="60" w:after="140" w:line="240" w:lineRule="auto"/>
        <w:ind w:left="259" w:right="259"/>
        <w:shd w:fill="F2F2F2"/>
      </w:pPr>
      <w:r>
        <w:rPr>
          <w:rFonts w:ascii="Consolas" w:hAnsi="Consolas"/>
          <w:color w:val="1F1F1F"/>
          <w:sz w:val="16"/>
        </w:rPr>
        <w:t># config/services.yaml</w:t>
        <w:br/>
        <w:br/>
        <w:t>services:</w:t>
        <w:br/>
        <w:t xml:space="preserve">    _defaults:</w:t>
        <w:br/>
        <w:t xml:space="preserve">        autowire: true</w:t>
        <w:br/>
        <w:t xml:space="preserve">        autoconfigure: true</w:t>
        <w:br/>
        <w:br/>
        <w:t xml:space="preserve">    App\:</w:t>
        <w:br/>
        <w:t xml:space="preserve">        resource: '../src/' </w:t>
      </w:r>
    </w:p>
    <w:p>
      <w:pPr>
        <w:pStyle w:val="Heading2"/>
        <w:keepNext/>
      </w:pPr>
      <w:r>
        <w:t>4.4 Manual tag compared with autoconfiguration</w:t>
      </w:r>
    </w:p>
    <w:p>
      <w:r>
        <w:t>Without autoconfiguration, the event-subscriber role can be registered explicitly:</w:t>
      </w:r>
    </w:p>
    <w:p>
      <w:pPr>
        <w:keepLines/>
        <w:spacing w:before="60" w:after="140" w:line="240" w:lineRule="auto"/>
        <w:ind w:left="259" w:right="259"/>
        <w:shd w:fill="F2F2F2"/>
      </w:pPr>
      <w:r>
        <w:rPr>
          <w:rFonts w:ascii="Consolas" w:hAnsi="Consolas"/>
          <w:color w:val="1F1F1F"/>
          <w:sz w:val="16"/>
        </w:rPr>
        <w:t># config/services.yaml</w:t>
        <w:br/>
        <w:br/>
        <w:t>services:</w:t>
        <w:br/>
        <w:t xml:space="preserve">    App\EventSubscriber\ProductCreatedSubscriber:</w:t>
        <w:br/>
        <w:t xml:space="preserve">        tags:</w:t>
        <w:br/>
        <w:t xml:space="preserve">            - { name: 'kernel.event_subscriber' }</w:t>
      </w:r>
    </w:p>
    <w:p>
      <w:r>
        <w:t>With autoconfiguration enabled, Symfony recognizes EventSubscriberInterface and adds the same role metadata during container compilation. The tag does not run the method; it makes the subscriber discoverable by EventDispatcher.</w:t>
      </w:r>
    </w:p>
    <w:p>
      <w:pPr>
        <w:spacing w:after="60"/>
        <w:ind w:left="346" w:hanging="230"/>
      </w:pPr>
      <w:r>
        <w:rPr>
          <w:rFonts w:ascii="Arial" w:hAnsi="Arial"/>
          <w:color w:val="000000"/>
          <w:sz w:val="21"/>
        </w:rPr>
        <w:t>•  Autowiring resolves LoggerInterface and supplies the configured logger service.</w:t>
      </w:r>
    </w:p>
    <w:p>
      <w:pPr>
        <w:spacing w:after="60"/>
        <w:ind w:left="346" w:hanging="230"/>
      </w:pPr>
      <w:r>
        <w:rPr>
          <w:rFonts w:ascii="Arial" w:hAnsi="Arial"/>
          <w:color w:val="000000"/>
          <w:sz w:val="21"/>
        </w:rPr>
        <w:t>•  Autoconfiguration recognizes EventSubscriberInterface and adds the event-subscriber tag.</w:t>
      </w:r>
    </w:p>
    <w:p>
      <w:pPr>
        <w:spacing w:after="60"/>
        <w:ind w:left="346" w:hanging="230"/>
      </w:pPr>
      <w:r>
        <w:rPr>
          <w:rFonts w:ascii="Arial" w:hAnsi="Arial"/>
          <w:color w:val="000000"/>
          <w:sz w:val="21"/>
        </w:rPr>
        <w:t>•  Logging handlers, channels, levels, and destinations are configured separately through Monolog.</w:t>
      </w:r>
    </w:p>
    <w:p>
      <w:pPr>
        <w:spacing w:after="60"/>
        <w:ind w:left="346" w:hanging="230"/>
      </w:pPr>
      <w:r>
        <w:rPr>
          <w:rFonts w:ascii="Arial" w:hAnsi="Arial"/>
          <w:color w:val="000000"/>
          <w:sz w:val="21"/>
        </w:rPr>
        <w:t>•  The event must be dispatched by application code before the subscriber method can run.</w:t>
      </w:r>
    </w:p>
    <w:p>
      <w:pPr>
        <w:pStyle w:val="Heading2"/>
        <w:keepNext/>
      </w:pPr>
      <w:r>
        <w:t>4.5 Dispatching the event</w:t>
      </w:r>
    </w:p>
    <w:p>
      <w:pPr>
        <w:keepLines/>
        <w:spacing w:before="60" w:after="140" w:line="240" w:lineRule="auto"/>
        <w:ind w:left="259" w:right="259"/>
        <w:shd w:fill="F2F2F2"/>
      </w:pPr>
      <w:r>
        <w:rPr>
          <w:rFonts w:ascii="Consolas" w:hAnsi="Consolas"/>
          <w:color w:val="1F1F1F"/>
          <w:sz w:val="16"/>
        </w:rPr>
        <w:t>use App\Event\ProductCreatedEvent;</w:t>
        <w:br/>
        <w:t>use Symfony\Contracts\EventDispatcher\EventDispatcherInterface;</w:t>
        <w:br/>
        <w:br/>
        <w:t>final class CreateProductService</w:t>
        <w:br/>
        <w:t>{</w:t>
        <w:br/>
        <w:t xml:space="preserve">    public function __construct(</w:t>
        <w:br/>
        <w:t xml:space="preserve">        private readonly EventDispatcherInterface $eventDispatcher,</w:t>
        <w:br/>
        <w:t xml:space="preserve">    ) {</w:t>
        <w:br/>
        <w:t xml:space="preserve">    }</w:t>
        <w:br/>
        <w:br/>
        <w:t xml:space="preserve">    private function announceCreation(int $productId): void</w:t>
        <w:br/>
        <w:t xml:space="preserve">    {</w:t>
        <w:br/>
        <w:t xml:space="preserve">        $this-&gt;eventDispatcher-&gt;dispatch(</w:t>
        <w:br/>
        <w:t xml:space="preserve">            new ProductCreatedEvent($productId),</w:t>
        <w:br/>
        <w:t xml:space="preserve">        );</w:t>
        <w:br/>
        <w:t xml:space="preserve">    }</w:t>
        <w:br/>
        <w:t>}</w:t>
      </w:r>
    </w:p>
    <w:p>
      <w:pPr>
        <w:pStyle w:val="Heading2"/>
        <w:keepNext/>
      </w:pPr>
      <w:r>
        <w:t>4.6 Simpler example: a console command</w:t>
      </w:r>
    </w:p>
    <w:p>
      <w:r>
        <w:t>Symfony can autoconfigure an application class that extends its Command base class. The command then becomes discoverable through bin/console without manually adding the console.command tag.</w:t>
      </w:r>
    </w:p>
    <w:p>
      <w:pPr>
        <w:keepLines/>
        <w:spacing w:before="60" w:after="140" w:line="240" w:lineRule="auto"/>
        <w:ind w:left="259" w:right="259"/>
        <w:shd w:fill="F2F2F2"/>
      </w:pPr>
      <w:r>
        <w:rPr>
          <w:rFonts w:ascii="Consolas" w:hAnsi="Consolas"/>
          <w:color w:val="1F1F1F"/>
          <w:sz w:val="16"/>
        </w:rPr>
        <w:t>&lt;?php</w:t>
        <w:br/>
        <w:br/>
        <w:t>namespace App\Command;</w:t>
        <w:br/>
        <w:br/>
        <w:t>use Symfony\Component\Console\Attribute\AsCommand;</w:t>
        <w:br/>
        <w:t>use Symfony\Component\Console\Command\Command;</w:t>
        <w:br/>
        <w:t>use Symfony\Component\Console\Input\InputInterface;</w:t>
        <w:br/>
        <w:t>use Symfony\Component\Console\Output\OutputInterface;</w:t>
        <w:br/>
        <w:br/>
        <w:t>#[AsCommand(</w:t>
        <w:br/>
        <w:t xml:space="preserve">    name: 'app:hello',</w:t>
        <w:br/>
        <w:t xml:space="preserve">    description: 'Prints a greeting',</w:t>
        <w:br/>
        <w:t>)]</w:t>
        <w:br/>
        <w:t>final class HelloCommand extends Command</w:t>
        <w:br/>
        <w:t>{</w:t>
        <w:br/>
        <w:t xml:space="preserve">    protected function execute(</w:t>
        <w:br/>
        <w:t xml:space="preserve">        InputInterface $input,</w:t>
        <w:br/>
        <w:t xml:space="preserve">        OutputInterface $output,</w:t>
        <w:br/>
        <w:t xml:space="preserve">    ): int {</w:t>
        <w:br/>
        <w:t xml:space="preserve">        $output-&gt;writeln('Hello');</w:t>
        <w:br/>
        <w:br/>
        <w:t xml:space="preserve">        return Command::SUCCESS;</w:t>
        <w:br/>
        <w:t xml:space="preserve">    }</w:t>
        <w:br/>
        <w:t>}</w:t>
      </w:r>
    </w:p>
    <w:p>
      <w:pPr>
        <w:spacing w:after="60"/>
        <w:ind w:left="346" w:hanging="230"/>
      </w:pPr>
      <w:r>
        <w:rPr>
          <w:rFonts w:ascii="Arial" w:hAnsi="Arial"/>
          <w:color w:val="000000"/>
          <w:sz w:val="21"/>
        </w:rPr>
        <w:t>•  The App\ resource registers HelloCommand as a service.</w:t>
      </w:r>
    </w:p>
    <w:p>
      <w:pPr>
        <w:spacing w:after="60"/>
        <w:ind w:left="346" w:hanging="230"/>
      </w:pPr>
      <w:r>
        <w:rPr>
          <w:rFonts w:ascii="Arial" w:hAnsi="Arial"/>
          <w:color w:val="000000"/>
          <w:sz w:val="21"/>
        </w:rPr>
        <w:t>•  Autoconfiguration recognizes the Command role and registers it with Symfony Console.</w:t>
      </w:r>
    </w:p>
    <w:p>
      <w:pPr>
        <w:spacing w:after="60"/>
        <w:ind w:left="346" w:hanging="230"/>
      </w:pPr>
      <w:r>
        <w:rPr>
          <w:rFonts w:ascii="Arial" w:hAnsi="Arial"/>
          <w:color w:val="000000"/>
          <w:sz w:val="21"/>
        </w:rPr>
        <w:t>•  AsCommand supplies the visible command name and description.</w:t>
      </w:r>
    </w:p>
    <w:p>
      <w:pPr>
        <w:spacing w:after="60"/>
        <w:ind w:left="346" w:hanging="230"/>
      </w:pPr>
      <w:r>
        <w:rPr>
          <w:rFonts w:ascii="Arial" w:hAnsi="Arial"/>
          <w:color w:val="000000"/>
          <w:sz w:val="21"/>
        </w:rPr>
        <w:t>•  The command becomes available as php bin/console app:hello.</w:t>
      </w:r>
    </w:p>
    <w:p>
      <w:pPr>
        <w:pStyle w:val="Heading1"/>
        <w:keepNext/>
      </w:pPr>
      <w:r>
        <w:t>5. Final Interview Recall</w:t>
      </w:r>
    </w:p>
    <w:p>
      <w:pPr>
        <w:spacing w:after="60"/>
        <w:ind w:left="346" w:hanging="230"/>
      </w:pPr>
      <w:r>
        <w:rPr>
          <w:rFonts w:ascii="Arial" w:hAnsi="Arial"/>
          <w:color w:val="000000"/>
          <w:sz w:val="21"/>
        </w:rPr>
        <w:t>•  Dependency injection supplies collaborators from outside the consuming object.</w:t>
      </w:r>
    </w:p>
    <w:p>
      <w:pPr>
        <w:spacing w:after="60"/>
        <w:ind w:left="346" w:hanging="230"/>
      </w:pPr>
      <w:r>
        <w:rPr>
          <w:rFonts w:ascii="Arial" w:hAnsi="Arial"/>
          <w:color w:val="000000"/>
          <w:sz w:val="21"/>
        </w:rPr>
        <w:t>•  Autowiring resolves typed service arguments.</w:t>
      </w:r>
    </w:p>
    <w:p>
      <w:pPr>
        <w:spacing w:after="60"/>
        <w:ind w:left="346" w:hanging="230"/>
      </w:pPr>
      <w:r>
        <w:rPr>
          <w:rFonts w:ascii="Arial" w:hAnsi="Arial"/>
          <w:color w:val="000000"/>
          <w:sz w:val="21"/>
        </w:rPr>
        <w:t>•  Autoconfiguration adds framework roles and tags.</w:t>
      </w:r>
    </w:p>
    <w:p>
      <w:pPr>
        <w:spacing w:after="60"/>
        <w:ind w:left="346" w:hanging="230"/>
      </w:pPr>
      <w:r>
        <w:rPr>
          <w:rFonts w:ascii="Arial" w:hAnsi="Arial"/>
          <w:color w:val="000000"/>
          <w:sz w:val="21"/>
        </w:rPr>
        <w:t>•  An interface alias selects a default concrete service.</w:t>
      </w:r>
    </w:p>
    <w:p>
      <w:pPr>
        <w:spacing w:after="60"/>
        <w:ind w:left="346" w:hanging="230"/>
      </w:pPr>
      <w:r>
        <w:rPr>
          <w:rFonts w:ascii="Arial" w:hAnsi="Arial"/>
          <w:color w:val="000000"/>
          <w:sz w:val="21"/>
        </w:rPr>
        <w:t>•  An argument binding selects an implementation for one consumer.</w:t>
      </w:r>
    </w:p>
    <w:p>
      <w:pPr>
        <w:spacing w:after="60"/>
        <w:ind w:left="346" w:hanging="230"/>
      </w:pPr>
      <w:r>
        <w:rPr>
          <w:rFonts w:ascii="Arial" w:hAnsi="Arial"/>
          <w:color w:val="000000"/>
          <w:sz w:val="21"/>
        </w:rPr>
        <w:t>•  A resolver selects an implementation at runtime.</w:t>
      </w:r>
    </w:p>
    <w:p>
      <w:pPr>
        <w:spacing w:after="60"/>
        <w:ind w:left="346" w:hanging="230"/>
      </w:pPr>
      <w:r>
        <w:rPr>
          <w:rFonts w:ascii="Arial" w:hAnsi="Arial"/>
          <w:color w:val="000000"/>
          <w:sz w:val="21"/>
        </w:rPr>
        <w:t>•  Unit tests replace infrastructure through the interface and avoid networks and databases.</w:t>
      </w:r>
    </w:p>
    <w:p>
      <w:pPr>
        <w:spacing w:after="60"/>
        <w:ind w:left="346" w:hanging="230"/>
      </w:pPr>
      <w:r>
        <w:rPr>
          <w:rFonts w:ascii="Arial" w:hAnsi="Arial"/>
          <w:color w:val="000000"/>
          <w:sz w:val="21"/>
        </w:rPr>
        <w:t>•  HttpKernel orchestrates; routing selects the controller; Doctrine handles persistence.</w:t>
      </w:r>
    </w:p>
    <w:p>
      <w:pPr>
        <w:pStyle w:val="Heading2"/>
        <w:keepNext/>
      </w:pPr>
      <w:r>
        <w:t>5.1 Thirty second answer</w:t>
      </w:r>
    </w:p>
    <w:p>
      <w:r>
        <w:t>Symfony autowiring reads service type declarations and resolves matching services from the compiled container. When an interface has multiple implementations, I choose a default with an alias or configure a specific constructor argument. Autoconfiguration is different: it assigns framework behavior, such as tagging an EventSubscriberInterface implementation so the EventDispatcher discovers it. This keeps dependencies explicit, implementations replaceable, and unit tests isolated.</w:t>
      </w:r>
    </w:p>
    <w:p>
      <w:pPr>
        <w:pStyle w:val="Heading1"/>
        <w:keepNext/>
      </w:pPr>
      <w:r>
        <w:t>6. Final Five-Hour Interview Priorities</w:t>
      </w:r>
    </w:p>
    <w:p>
      <w:r>
        <w:t>The remaining preparation should follow the role requirements and the master guide rather than attempting equal coverage of every Symfony feature.</w:t>
      </w:r>
    </w:p>
    <w:tbl>
      <w:tblPr>
        <w:tblW w:type="auto" w:w="0"/>
        <w:tblLayout w:type="fixed"/>
        <w:tblLook w:firstColumn="1" w:firstRow="1" w:lastColumn="0" w:lastRow="0" w:noHBand="0" w:noVBand="1" w:val="04A0"/>
      </w:tblPr>
      <w:tblGrid>
        <w:gridCol w:w="1008"/>
        <w:gridCol w:w="2664"/>
        <w:gridCol w:w="3672"/>
        <w:gridCol w:w="2016"/>
      </w:tblGrid>
      <w:tr>
        <w:tc>
          <w:tcPr>
            <w:tcW w:type="dxa" w:w="234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7"/>
              </w:rPr>
              <w:t>Order</w:t>
            </w:r>
          </w:p>
        </w:tc>
        <w:tc>
          <w:tcPr>
            <w:tcW w:type="dxa" w:w="234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7"/>
              </w:rPr>
              <w:t>Area</w:t>
            </w:r>
          </w:p>
        </w:tc>
        <w:tc>
          <w:tcPr>
            <w:tcW w:type="dxa" w:w="234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7"/>
              </w:rPr>
              <w:t>Required recall</w:t>
            </w:r>
          </w:p>
        </w:tc>
        <w:tc>
          <w:tcPr>
            <w:tcW w:type="dxa" w:w="234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7"/>
              </w:rPr>
              <w:t>Suggested time</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color w:val="000000"/>
                <w:sz w:val="16"/>
              </w:rPr>
              <w:t>1</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Doctrine and MongoDB</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Unit of Work, repositories, persist/flush, N+1, indexes, embed versus reference</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55 minutes</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color w:val="000000"/>
                <w:sz w:val="16"/>
              </w:rPr>
              <w:t>2</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Testing and TDD</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Red-green-refactor, unit/integration/functional boundaries, mocks, fixtures, brittle tests</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55 minutes</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color w:val="000000"/>
                <w:sz w:val="16"/>
              </w:rPr>
              <w:t>3</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Symfony application design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Validation, domain invariants, thin controllers, security voters, Messenger, cache</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55 minutes</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color w:val="000000"/>
                <w:sz w:val="16"/>
              </w:rPr>
              <w:t>4</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Patterns and code quality</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SOLID, Strategy, Factory, Decorator, PHPStan, coding standards, CI quality gates</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50 minutes</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color w:val="000000"/>
                <w:sz w:val="16"/>
              </w:rPr>
              <w:t>5</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Production engineering</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Transactions, idempotency, retries, logging, monitoring, incident response, deployment</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rPr>
                <w:rFonts w:ascii="Arial" w:hAnsi="Arial"/>
                <w:b w:val="0"/>
                <w:color w:val="000000"/>
                <w:sz w:val="16"/>
              </w:rPr>
              <w:t>50 minutes</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color w:val="000000"/>
                <w:sz w:val="16"/>
              </w:rPr>
              <w:t>6</w:t>
            </w:r>
          </w:p>
        </w:tc>
        <w:tc>
          <w:tcPr>
            <w:tcW w:type="dxa" w:w="266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Senior communication</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Trade-offs, architecture defence, code review, mentoring, end-to-end ownership</w:t>
            </w:r>
          </w:p>
        </w:tc>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shd w:fill="F7F7F7"/>
          </w:tcPr>
          <w:p>
            <w:r>
              <w:rPr>
                <w:rFonts w:ascii="Arial" w:hAnsi="Arial"/>
                <w:b w:val="0"/>
                <w:color w:val="000000"/>
                <w:sz w:val="16"/>
              </w:rPr>
              <w:t>35 minutes</w:t>
            </w:r>
          </w:p>
        </w:tc>
      </w:tr>
    </w:tbl>
    <w:p>
      <w:pPr>
        <w:pStyle w:val="Heading2"/>
        <w:keepNext/>
      </w:pPr>
      <w:r>
        <w:t>6.1 Interview drill method</w:t>
      </w:r>
    </w:p>
    <w:p>
      <w:pPr>
        <w:spacing w:after="60"/>
        <w:ind w:left="346" w:hanging="230"/>
      </w:pPr>
      <w:r>
        <w:rPr>
          <w:rFonts w:ascii="Arial" w:hAnsi="Arial"/>
          <w:color w:val="000000"/>
          <w:sz w:val="21"/>
        </w:rPr>
        <w:t>•  Answer one written question at a time in two minutes or less.</w:t>
      </w:r>
    </w:p>
    <w:p>
      <w:pPr>
        <w:spacing w:after="60"/>
        <w:ind w:left="346" w:hanging="230"/>
      </w:pPr>
      <w:r>
        <w:rPr>
          <w:rFonts w:ascii="Arial" w:hAnsi="Arial"/>
          <w:color w:val="000000"/>
          <w:sz w:val="21"/>
        </w:rPr>
        <w:t>•  Use a definition, mechanism, project example, and trade-off when the question is broad.</w:t>
      </w:r>
    </w:p>
    <w:p>
      <w:pPr>
        <w:spacing w:after="60"/>
        <w:ind w:left="346" w:hanging="230"/>
      </w:pPr>
      <w:r>
        <w:rPr>
          <w:rFonts w:ascii="Arial" w:hAnsi="Arial"/>
          <w:color w:val="000000"/>
          <w:sz w:val="21"/>
        </w:rPr>
        <w:t>•  Correct gaps immediately and record the improved answer in this workbook.</w:t>
      </w:r>
    </w:p>
    <w:p>
      <w:pPr>
        <w:spacing w:after="60"/>
        <w:ind w:left="346" w:hanging="230"/>
      </w:pPr>
      <w:r>
        <w:rPr>
          <w:rFonts w:ascii="Arial" w:hAnsi="Arial"/>
          <w:color w:val="000000"/>
          <w:sz w:val="21"/>
        </w:rPr>
        <w:t>•  Spend the final thirty minutes recalling answers without notes.</w:t>
      </w:r>
    </w:p>
    <w:p>
      <w:pPr>
        <w:pStyle w:val="Heading1"/>
        <w:keepNext/>
      </w:pPr>
      <w:r>
        <w:t>7. Testing Boundaries and Test Doubles</w:t>
      </w:r>
    </w:p>
    <w:p>
      <w:r>
        <w:t>A test boundary is the edge between the behavior being tested and a collaborator that the test chooses to replace or exercise for real. The boundary determines whether the test is a unit, integration, or functional test.</w:t>
      </w:r>
    </w:p>
    <w:tbl>
      <w:tblPr>
        <w:tblW w:type="auto" w:w="0"/>
        <w:tblLayout w:type="fixed"/>
        <w:tblLook w:firstColumn="1" w:firstRow="1" w:lastColumn="0" w:lastRow="0" w:noHBand="0" w:noVBand="1" w:val="04A0"/>
      </w:tblPr>
      <w:tblGrid>
        <w:gridCol w:w="1800"/>
        <w:gridCol w:w="2880"/>
        <w:gridCol w:w="2880"/>
        <w:gridCol w:w="1872"/>
      </w:tblGrid>
      <w:tr>
        <w:tc>
          <w:tcPr>
            <w:tcW w:type="dxa" w:w="234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6"/>
              </w:rPr>
              <w:t>Test level</w:t>
            </w:r>
          </w:p>
        </w:tc>
        <w:tc>
          <w:tcPr>
            <w:tcW w:type="dxa" w:w="234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6"/>
              </w:rPr>
              <w:t>Real boundary</w:t>
            </w:r>
          </w:p>
        </w:tc>
        <w:tc>
          <w:tcPr>
            <w:tcW w:type="dxa" w:w="234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6"/>
              </w:rPr>
              <w:t>Usually replaced</w:t>
            </w:r>
          </w:p>
        </w:tc>
        <w:tc>
          <w:tcPr>
            <w:tcW w:type="dxa" w:w="234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6"/>
              </w:rPr>
              <w:t>Primary purpose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000000"/>
                <w:sz w:val="16"/>
              </w:rPr>
              <w:t>Unit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One class or small domain unit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Database, network, filesystem, clock</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Business behavior</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7F7F7"/>
          </w:tcPr>
          <w:p>
            <w:r>
              <w:rPr>
                <w:rFonts w:ascii="Arial" w:hAnsi="Arial"/>
                <w:b/>
                <w:color w:val="000000"/>
                <w:sz w:val="16"/>
              </w:rPr>
              <w:t>Integration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7F7F7"/>
          </w:tcPr>
          <w:p>
            <w:r>
              <w:rPr>
                <w:rFonts w:ascii="Arial" w:hAnsi="Arial"/>
                <w:b w:val="0"/>
                <w:color w:val="000000"/>
                <w:sz w:val="16"/>
              </w:rPr>
              <w:t>Real collaborating components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7F7F7"/>
          </w:tcPr>
          <w:p>
            <w:r>
              <w:rPr>
                <w:rFonts w:ascii="Arial" w:hAnsi="Arial"/>
                <w:b w:val="0"/>
                <w:color w:val="000000"/>
                <w:sz w:val="16"/>
              </w:rPr>
              <w:t>External provider may remain fake</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7F7F7"/>
          </w:tcPr>
          <w:p>
            <w:r>
              <w:rPr>
                <w:rFonts w:ascii="Arial" w:hAnsi="Arial"/>
                <w:b w:val="0"/>
                <w:color w:val="000000"/>
                <w:sz w:val="16"/>
              </w:rPr>
              <w:t>Wiring and persistence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000000"/>
                <w:sz w:val="16"/>
              </w:rPr>
              <w:t>Functional</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Symfony kernel and HTTP request</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Third-party systems</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User-visible response</w:t>
            </w:r>
          </w:p>
        </w:tc>
      </w:tr>
    </w:tbl>
    <w:p>
      <w:pPr>
        <w:pStyle w:val="Heading2"/>
        <w:keepNext/>
      </w:pPr>
      <w:r>
        <w:t>7.1 Test-double vocabulary</w:t>
      </w:r>
    </w:p>
    <w:tbl>
      <w:tblPr>
        <w:tblW w:type="auto" w:w="0"/>
        <w:tblLayout w:type="fixed"/>
        <w:tblLook w:firstColumn="1" w:firstRow="1" w:lastColumn="0" w:lastRow="0" w:noHBand="0" w:noVBand="1" w:val="04A0"/>
      </w:tblPr>
      <w:tblGrid>
        <w:gridCol w:w="1440"/>
        <w:gridCol w:w="4680"/>
        <w:gridCol w:w="3312"/>
      </w:tblGrid>
      <w:tr>
        <w:tc>
          <w:tcPr>
            <w:tcW w:type="dxa" w:w="312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6"/>
              </w:rPr>
              <w:t>Double</w:t>
            </w:r>
          </w:p>
        </w:tc>
        <w:tc>
          <w:tcPr>
            <w:tcW w:type="dxa" w:w="312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6"/>
              </w:rPr>
              <w:t>Meaning</w:t>
            </w:r>
          </w:p>
        </w:tc>
        <w:tc>
          <w:tcPr>
            <w:tcW w:type="dxa" w:w="312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6"/>
              </w:rPr>
              <w:t>Checkout example</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000000"/>
                <w:sz w:val="16"/>
              </w:rPr>
              <w:t>Dummy</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Passed only to satisfy an argument; its behavior is irrelevant</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Unused customer context</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7F7F7"/>
          </w:tcPr>
          <w:p>
            <w:r>
              <w:rPr>
                <w:rFonts w:ascii="Arial" w:hAnsi="Arial"/>
                <w:b/>
                <w:color w:val="000000"/>
                <w:sz w:val="16"/>
              </w:rPr>
              <w:t>Stub</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7F7F7"/>
          </w:tcPr>
          <w:p>
            <w:r>
              <w:rPr>
                <w:rFonts w:ascii="Arial" w:hAnsi="Arial"/>
                <w:b w:val="0"/>
                <w:color w:val="000000"/>
                <w:sz w:val="16"/>
              </w:rPr>
              <w:t>Returns a controlled value so the test can follow one path</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7F7F7"/>
          </w:tcPr>
          <w:p>
            <w:r>
              <w:rPr>
                <w:rFonts w:ascii="Arial" w:hAnsi="Arial"/>
                <w:b w:val="0"/>
                <w:color w:val="000000"/>
                <w:sz w:val="16"/>
              </w:rPr>
              <w:t>Gateway returns success</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000000"/>
                <w:sz w:val="16"/>
              </w:rPr>
              <w:t>Fake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A working lightweight implementation with shortcuts</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In-memory payment repository</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7F7F7"/>
          </w:tcPr>
          <w:p>
            <w:r>
              <w:rPr>
                <w:rFonts w:ascii="Arial" w:hAnsi="Arial"/>
                <w:b/>
                <w:color w:val="000000"/>
                <w:sz w:val="16"/>
              </w:rPr>
              <w:t>Mock</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7F7F7"/>
          </w:tcPr>
          <w:p>
            <w:r>
              <w:rPr>
                <w:rFonts w:ascii="Arial" w:hAnsi="Arial"/>
                <w:b w:val="0"/>
                <w:color w:val="000000"/>
                <w:sz w:val="16"/>
              </w:rPr>
              <w:t>Verifies an expected interaction with a collaborator</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7F7F7"/>
          </w:tcPr>
          <w:p>
            <w:r>
              <w:rPr>
                <w:rFonts w:ascii="Arial" w:hAnsi="Arial"/>
                <w:b w:val="0"/>
                <w:color w:val="000000"/>
                <w:sz w:val="16"/>
              </w:rPr>
              <w:t>Gateway charge called once</w:t>
            </w:r>
          </w:p>
        </w:tc>
      </w:tr>
      <w:tr>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000000"/>
                <w:sz w:val="16"/>
              </w:rPr>
              <w:t>Spy</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Records calls so the test can inspect them afterward</w:t>
            </w:r>
          </w:p>
        </w:tc>
        <w:tc>
          <w:tcPr>
            <w:tcW w:type="dxa" w:w="331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Inspect the charged amount</w:t>
            </w:r>
          </w:p>
        </w:tc>
      </w:tr>
    </w:tbl>
    <w:p>
      <w:pPr>
        <w:pStyle w:val="Heading2"/>
        <w:keepNext/>
      </w:pPr>
      <w:r>
        <w:t>7.2 Senior testing rules</w:t>
      </w:r>
    </w:p>
    <w:p>
      <w:pPr>
        <w:spacing w:after="60"/>
        <w:ind w:left="346" w:hanging="230"/>
      </w:pPr>
      <w:r>
        <w:rPr>
          <w:rFonts w:ascii="Arial" w:hAnsi="Arial"/>
          <w:color w:val="000000"/>
          <w:sz w:val="21"/>
        </w:rPr>
        <w:t>•  Replace slow or nondeterministic infrastructure at a unit-test boundary.</w:t>
      </w:r>
    </w:p>
    <w:p>
      <w:pPr>
        <w:spacing w:after="60"/>
        <w:ind w:left="346" w:hanging="230"/>
      </w:pPr>
      <w:r>
        <w:rPr>
          <w:rFonts w:ascii="Arial" w:hAnsi="Arial"/>
          <w:color w:val="000000"/>
          <w:sz w:val="21"/>
        </w:rPr>
        <w:t>•  Do not mock the class under test or simple value objects.</w:t>
      </w:r>
    </w:p>
    <w:p>
      <w:pPr>
        <w:spacing w:after="60"/>
        <w:ind w:left="346" w:hanging="230"/>
      </w:pPr>
      <w:r>
        <w:rPr>
          <w:rFonts w:ascii="Arial" w:hAnsi="Arial"/>
          <w:color w:val="000000"/>
          <w:sz w:val="21"/>
        </w:rPr>
        <w:t>•  Mock stable interfaces owned by the application when interaction itself matters.</w:t>
      </w:r>
    </w:p>
    <w:p>
      <w:pPr>
        <w:spacing w:after="60"/>
        <w:ind w:left="346" w:hanging="230"/>
      </w:pPr>
      <w:r>
        <w:rPr>
          <w:rFonts w:ascii="Arial" w:hAnsi="Arial"/>
          <w:color w:val="000000"/>
          <w:sz w:val="21"/>
        </w:rPr>
        <w:t>•  Prefer state assertions when an observable result is sufficient; interaction-heavy tests are more coupled to implementation.</w:t>
      </w:r>
    </w:p>
    <w:p>
      <w:pPr>
        <w:spacing w:after="60"/>
        <w:ind w:left="346" w:hanging="230"/>
      </w:pPr>
      <w:r>
        <w:rPr>
          <w:rFonts w:ascii="Arial" w:hAnsi="Arial"/>
          <w:color w:val="000000"/>
          <w:sz w:val="21"/>
        </w:rPr>
        <w:t>•  Use integration tests to verify Doctrine mappings, repositories, container wiring, and real database behavior.</w:t>
      </w:r>
    </w:p>
    <w:p>
      <w:pPr>
        <w:spacing w:after="60"/>
        <w:ind w:left="346" w:hanging="230"/>
      </w:pPr>
      <w:r>
        <w:rPr>
          <w:rFonts w:ascii="Arial" w:hAnsi="Arial"/>
          <w:color w:val="000000"/>
          <w:sz w:val="21"/>
        </w:rPr>
        <w:t>•  Use functional tests to verify routing, security, status codes, redirects, and rendered or JSON responses.</w:t>
      </w:r>
    </w:p>
    <w:p>
      <w:pPr>
        <w:pStyle w:val="Heading2"/>
        <w:keepNext/>
      </w:pPr>
      <w:r>
        <w:t>7.3 Senior TDD interview question bank</w:t>
      </w:r>
    </w:p>
    <w:p>
      <w:pPr>
        <w:spacing w:after="60"/>
        <w:ind w:left="346" w:hanging="230"/>
      </w:pPr>
      <w:r>
        <w:rPr>
          <w:rFonts w:ascii="Arial" w:hAnsi="Arial"/>
          <w:color w:val="000000"/>
          <w:sz w:val="21"/>
        </w:rPr>
        <w:t>•  Explain red, green, refactor. Why must the first test fail for the expected reason?</w:t>
      </w:r>
    </w:p>
    <w:p>
      <w:pPr>
        <w:spacing w:after="60"/>
        <w:ind w:left="346" w:hanging="230"/>
      </w:pPr>
      <w:r>
        <w:rPr>
          <w:rFonts w:ascii="Arial" w:hAnsi="Arial"/>
          <w:color w:val="000000"/>
          <w:sz w:val="21"/>
        </w:rPr>
        <w:t>•  How does TDD differ from writing tests after implementation?</w:t>
      </w:r>
    </w:p>
    <w:p>
      <w:pPr>
        <w:spacing w:after="60"/>
        <w:ind w:left="346" w:hanging="230"/>
      </w:pPr>
      <w:r>
        <w:rPr>
          <w:rFonts w:ascii="Arial" w:hAnsi="Arial"/>
          <w:color w:val="000000"/>
          <w:sz w:val="21"/>
        </w:rPr>
        <w:t>•  What makes a useful first test for a new feature?</w:t>
      </w:r>
    </w:p>
    <w:p>
      <w:pPr>
        <w:spacing w:after="60"/>
        <w:ind w:left="346" w:hanging="230"/>
      </w:pPr>
      <w:r>
        <w:rPr>
          <w:rFonts w:ascii="Arial" w:hAnsi="Arial"/>
          <w:color w:val="000000"/>
          <w:sz w:val="21"/>
        </w:rPr>
        <w:t>•  How does TDD influence API and object design?</w:t>
      </w:r>
    </w:p>
    <w:p>
      <w:pPr>
        <w:spacing w:after="60"/>
        <w:ind w:left="346" w:hanging="230"/>
      </w:pPr>
      <w:r>
        <w:rPr>
          <w:rFonts w:ascii="Arial" w:hAnsi="Arial"/>
          <w:color w:val="000000"/>
          <w:sz w:val="21"/>
        </w:rPr>
        <w:t>•  What does it suggest when a class is difficult to unit test?</w:t>
      </w:r>
    </w:p>
    <w:p>
      <w:pPr>
        <w:spacing w:after="60"/>
        <w:ind w:left="346" w:hanging="230"/>
      </w:pPr>
      <w:r>
        <w:rPr>
          <w:rFonts w:ascii="Arial" w:hAnsi="Arial"/>
          <w:color w:val="000000"/>
          <w:sz w:val="21"/>
        </w:rPr>
        <w:t>•  Compare inside-out and outside-in TDD. When would you use each?</w:t>
      </w:r>
    </w:p>
    <w:p>
      <w:pPr>
        <w:spacing w:after="60"/>
        <w:ind w:left="346" w:hanging="230"/>
      </w:pPr>
      <w:r>
        <w:rPr>
          <w:rFonts w:ascii="Arial" w:hAnsi="Arial"/>
          <w:color w:val="000000"/>
          <w:sz w:val="21"/>
        </w:rPr>
        <w:t>•  Explain dummy, stub, fake, mock, and spy with practical examples.</w:t>
      </w:r>
    </w:p>
    <w:p>
      <w:pPr>
        <w:spacing w:after="60"/>
        <w:ind w:left="346" w:hanging="230"/>
      </w:pPr>
      <w:r>
        <w:rPr>
          <w:rFonts w:ascii="Arial" w:hAnsi="Arial"/>
          <w:color w:val="000000"/>
          <w:sz w:val="21"/>
        </w:rPr>
        <w:t>•  When should you use a mock instead of asserting state?</w:t>
      </w:r>
    </w:p>
    <w:p>
      <w:pPr>
        <w:spacing w:after="60"/>
        <w:ind w:left="346" w:hanging="230"/>
      </w:pPr>
      <w:r>
        <w:rPr>
          <w:rFonts w:ascii="Arial" w:hAnsi="Arial"/>
          <w:color w:val="000000"/>
          <w:sz w:val="21"/>
        </w:rPr>
        <w:t>•  What should a unit test mock, and what should remain real?</w:t>
      </w:r>
    </w:p>
    <w:p>
      <w:pPr>
        <w:spacing w:after="60"/>
        <w:ind w:left="346" w:hanging="230"/>
      </w:pPr>
      <w:r>
        <w:rPr>
          <w:rFonts w:ascii="Arial" w:hAnsi="Arial"/>
          <w:color w:val="000000"/>
          <w:sz w:val="21"/>
        </w:rPr>
        <w:t>•  How do interaction-heavy tests become brittle?</w:t>
      </w:r>
    </w:p>
    <w:p>
      <w:pPr>
        <w:spacing w:after="60"/>
        <w:ind w:left="346" w:hanging="230"/>
      </w:pPr>
      <w:r>
        <w:rPr>
          <w:rFonts w:ascii="Arial" w:hAnsi="Arial"/>
          <w:color w:val="000000"/>
          <w:sz w:val="21"/>
        </w:rPr>
        <w:t>•  How would you TDD Product creation with name and price invariants?</w:t>
      </w:r>
    </w:p>
    <w:p>
      <w:pPr>
        <w:spacing w:after="60"/>
        <w:ind w:left="346" w:hanging="230"/>
      </w:pPr>
      <w:r>
        <w:rPr>
          <w:rFonts w:ascii="Arial" w:hAnsi="Arial"/>
          <w:color w:val="000000"/>
          <w:sz w:val="21"/>
        </w:rPr>
        <w:t>•  Which Product tests belong at unit, integration, and functional levels?</w:t>
      </w:r>
    </w:p>
    <w:p>
      <w:pPr>
        <w:spacing w:after="60"/>
        <w:ind w:left="346" w:hanging="230"/>
      </w:pPr>
      <w:r>
        <w:rPr>
          <w:rFonts w:ascii="Arial" w:hAnsi="Arial"/>
          <w:color w:val="000000"/>
          <w:sz w:val="21"/>
        </w:rPr>
        <w:t>•  Where should Symfony Validator rules end and domain invariants begin?</w:t>
      </w:r>
    </w:p>
    <w:p>
      <w:pPr>
        <w:spacing w:after="60"/>
        <w:ind w:left="346" w:hanging="230"/>
      </w:pPr>
      <w:r>
        <w:rPr>
          <w:rFonts w:ascii="Arial" w:hAnsi="Arial"/>
          <w:color w:val="000000"/>
          <w:sz w:val="21"/>
        </w:rPr>
        <w:t>•  How would you test a Doctrine repository without mocking Doctrine internals?</w:t>
      </w:r>
    </w:p>
    <w:p>
      <w:pPr>
        <w:spacing w:after="60"/>
        <w:ind w:left="346" w:hanging="230"/>
      </w:pPr>
      <w:r>
        <w:rPr>
          <w:rFonts w:ascii="Arial" w:hAnsi="Arial"/>
          <w:color w:val="000000"/>
          <w:sz w:val="21"/>
        </w:rPr>
        <w:t>•  How would you test code that calls a payment provider or message broker?</w:t>
      </w:r>
    </w:p>
    <w:p>
      <w:pPr>
        <w:spacing w:after="60"/>
        <w:ind w:left="346" w:hanging="230"/>
      </w:pPr>
      <w:r>
        <w:rPr>
          <w:rFonts w:ascii="Arial" w:hAnsi="Arial"/>
          <w:color w:val="000000"/>
          <w:sz w:val="21"/>
        </w:rPr>
        <w:t>•  How do you keep database-backed tests isolated and deterministic?</w:t>
      </w:r>
    </w:p>
    <w:p>
      <w:pPr>
        <w:spacing w:after="60"/>
        <w:ind w:left="346" w:hanging="230"/>
      </w:pPr>
      <w:r>
        <w:rPr>
          <w:rFonts w:ascii="Arial" w:hAnsi="Arial"/>
          <w:color w:val="000000"/>
          <w:sz w:val="21"/>
        </w:rPr>
        <w:t>•  How would you introduce TDD into untested legacy Symfony code?</w:t>
      </w:r>
    </w:p>
    <w:p>
      <w:pPr>
        <w:spacing w:after="60"/>
        <w:ind w:left="346" w:hanging="230"/>
      </w:pPr>
      <w:r>
        <w:rPr>
          <w:rFonts w:ascii="Arial" w:hAnsi="Arial"/>
          <w:color w:val="000000"/>
          <w:sz w:val="21"/>
        </w:rPr>
        <w:t>•  What would you do if the red test passes before implementation?</w:t>
      </w:r>
    </w:p>
    <w:p>
      <w:pPr>
        <w:spacing w:after="60"/>
        <w:ind w:left="346" w:hanging="230"/>
      </w:pPr>
      <w:r>
        <w:rPr>
          <w:rFonts w:ascii="Arial" w:hAnsi="Arial"/>
          <w:color w:val="000000"/>
          <w:sz w:val="21"/>
        </w:rPr>
        <w:t>•  How do you diagnose and remove a flaky test?</w:t>
      </w:r>
    </w:p>
    <w:p>
      <w:pPr>
        <w:spacing w:after="60"/>
        <w:ind w:left="346" w:hanging="230"/>
      </w:pPr>
      <w:r>
        <w:rPr>
          <w:rFonts w:ascii="Arial" w:hAnsi="Arial"/>
          <w:color w:val="000000"/>
          <w:sz w:val="21"/>
        </w:rPr>
        <w:t>•  Why does high code coverage not prove that a test suite is effective?</w:t>
      </w:r>
    </w:p>
    <w:p>
      <w:pPr>
        <w:spacing w:after="60"/>
        <w:ind w:left="346" w:hanging="230"/>
      </w:pPr>
      <w:r>
        <w:rPr>
          <w:rFonts w:ascii="Arial" w:hAnsi="Arial"/>
          <w:color w:val="000000"/>
          <w:sz w:val="21"/>
        </w:rPr>
        <w:t>•  Where do Behat scenarios fit relative to PHPUnit tests?</w:t>
      </w:r>
    </w:p>
    <w:p>
      <w:pPr>
        <w:spacing w:after="60"/>
        <w:ind w:left="346" w:hanging="230"/>
      </w:pPr>
      <w:r>
        <w:rPr>
          <w:rFonts w:ascii="Arial" w:hAnsi="Arial"/>
          <w:color w:val="000000"/>
          <w:sz w:val="21"/>
        </w:rPr>
        <w:t>•  How should TDD and quality checks be enforced in CI?</w:t>
      </w:r>
    </w:p>
    <w:p>
      <w:pPr>
        <w:spacing w:after="60"/>
        <w:ind w:left="346" w:hanging="230"/>
      </w:pPr>
      <w:r>
        <w:rPr>
          <w:rFonts w:ascii="Arial" w:hAnsi="Arial"/>
          <w:color w:val="000000"/>
          <w:sz w:val="21"/>
        </w:rPr>
        <w:t>•  When is a short technical spike appropriate before beginning TDD?</w:t>
      </w:r>
    </w:p>
    <w:p>
      <w:pPr>
        <w:spacing w:after="60"/>
        <w:ind w:left="346" w:hanging="230"/>
      </w:pPr>
      <w:r>
        <w:rPr>
          <w:rFonts w:ascii="Arial" w:hAnsi="Arial"/>
          <w:color w:val="000000"/>
          <w:sz w:val="21"/>
        </w:rPr>
        <w:t>•  How would you test retries, idempotency, and duplicate message delivery?</w:t>
      </w:r>
    </w:p>
    <w:p>
      <w:pPr>
        <w:spacing w:after="60"/>
        <w:ind w:left="346" w:hanging="230"/>
      </w:pPr>
      <w:r>
        <w:rPr>
          <w:rFonts w:ascii="Arial" w:hAnsi="Arial"/>
          <w:color w:val="000000"/>
          <w:sz w:val="21"/>
        </w:rPr>
        <w:t>•  Describe a real defect that a test prevented from returning.</w:t>
      </w:r>
    </w:p>
    <w:p>
      <w:pPr>
        <w:pStyle w:val="Heading1"/>
        <w:keepNext/>
      </w:pPr>
      <w:r>
        <w:t>8. Design Pattern Refresher</w:t>
      </w:r>
    </w:p>
    <w:p>
      <w:r>
        <w:t>A design pattern is a named, reusable approach to a recurring design problem. It describes responsibilities and collaboration between objects; it is not finished code. A pattern is justified when it simplifies a real source of change or complexity.</w:t>
      </w:r>
    </w:p>
    <w:tbl>
      <w:tblPr>
        <w:tblW w:type="auto" w:w="0"/>
        <w:tblLayout w:type="fixed"/>
        <w:tblLook w:firstColumn="1" w:firstRow="1" w:lastColumn="0" w:lastRow="0" w:noHBand="0" w:noVBand="1" w:val="04A0"/>
      </w:tblPr>
      <w:tblGrid>
        <w:gridCol w:w="2016"/>
        <w:gridCol w:w="3960"/>
        <w:gridCol w:w="3456"/>
      </w:tblGrid>
      <w:tr>
        <w:tc>
          <w:tcPr>
            <w:tcW w:type="dxa" w:w="312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6"/>
              </w:rPr>
              <w:t>Family</w:t>
            </w:r>
          </w:p>
        </w:tc>
        <w:tc>
          <w:tcPr>
            <w:tcW w:type="dxa" w:w="312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6"/>
              </w:rPr>
              <w:t>Main concern</w:t>
            </w:r>
          </w:p>
        </w:tc>
        <w:tc>
          <w:tcPr>
            <w:tcW w:type="dxa" w:w="3120"/>
            <w:shd w:fill="1F1F1F"/>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FFFFFF"/>
                <w:sz w:val="16"/>
              </w:rPr>
              <w:t>Relevant example</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000000"/>
                <w:sz w:val="16"/>
              </w:rPr>
              <w:t>Creational</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How objects are constructed</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Factory</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7F7F7"/>
          </w:tcPr>
          <w:p>
            <w:r>
              <w:rPr>
                <w:rFonts w:ascii="Arial" w:hAnsi="Arial"/>
                <w:b/>
                <w:color w:val="000000"/>
                <w:sz w:val="16"/>
              </w:rPr>
              <w:t>Structural</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7F7F7"/>
          </w:tcPr>
          <w:p>
            <w:r>
              <w:rPr>
                <w:rFonts w:ascii="Arial" w:hAnsi="Arial"/>
                <w:b w:val="0"/>
                <w:color w:val="000000"/>
                <w:sz w:val="16"/>
              </w:rPr>
              <w:t>How objects are composed</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7F7F7"/>
          </w:tcPr>
          <w:p>
            <w:r>
              <w:rPr>
                <w:rFonts w:ascii="Arial" w:hAnsi="Arial"/>
                <w:b w:val="0"/>
                <w:color w:val="000000"/>
                <w:sz w:val="16"/>
              </w:rPr>
              <w:t>Decorator</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color w:val="000000"/>
                <w:sz w:val="16"/>
              </w:rPr>
              <w:t>Behavioral</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How behavior is selected or coordinated</w:t>
            </w:r>
          </w:p>
        </w:tc>
        <w:tc>
          <w:tcPr>
            <w:tcW w:type="dxa" w:w="34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r>
              <w:rPr>
                <w:rFonts w:ascii="Arial" w:hAnsi="Arial"/>
                <w:b w:val="0"/>
                <w:color w:val="000000"/>
                <w:sz w:val="16"/>
              </w:rPr>
              <w:t>Strategy</w:t>
            </w:r>
          </w:p>
        </w:tc>
      </w:tr>
    </w:tbl>
    <w:p>
      <w:pPr>
        <w:pStyle w:val="Heading2"/>
        <w:keepNext/>
      </w:pPr>
      <w:r>
        <w:t>8.1 Strategy</w:t>
      </w:r>
    </w:p>
    <w:p>
      <w:pPr>
        <w:spacing w:after="60"/>
        <w:ind w:left="346" w:hanging="230"/>
      </w:pPr>
      <w:r>
        <w:rPr>
          <w:rFonts w:ascii="Arial" w:hAnsi="Arial"/>
          <w:color w:val="000000"/>
          <w:sz w:val="21"/>
        </w:rPr>
        <w:t>•  Purpose: define interchangeable algorithms behind one interface.</w:t>
      </w:r>
    </w:p>
    <w:p>
      <w:pPr>
        <w:spacing w:after="60"/>
        <w:ind w:left="346" w:hanging="230"/>
      </w:pPr>
      <w:r>
        <w:rPr>
          <w:rFonts w:ascii="Arial" w:hAnsi="Arial"/>
          <w:color w:val="000000"/>
          <w:sz w:val="21"/>
        </w:rPr>
        <w:t>•  Use when behavior varies independently from the client, such as pricing, tax, discount, or payment rules.</w:t>
      </w:r>
    </w:p>
    <w:p>
      <w:pPr>
        <w:spacing w:after="60"/>
        <w:ind w:left="346" w:hanging="230"/>
      </w:pPr>
      <w:r>
        <w:rPr>
          <w:rFonts w:ascii="Arial" w:hAnsi="Arial"/>
          <w:color w:val="000000"/>
          <w:sz w:val="21"/>
        </w:rPr>
        <w:t>•  Strength: removes growing conditionals and makes each algorithm independently testable.</w:t>
      </w:r>
    </w:p>
    <w:p>
      <w:pPr>
        <w:spacing w:after="60"/>
        <w:ind w:left="346" w:hanging="230"/>
      </w:pPr>
      <w:r>
        <w:rPr>
          <w:rFonts w:ascii="Arial" w:hAnsi="Arial"/>
          <w:color w:val="000000"/>
          <w:sz w:val="21"/>
        </w:rPr>
        <w:t>•  Trade-off: creates more classes and still requires a clear selection mechanism.</w:t>
      </w:r>
    </w:p>
    <w:p>
      <w:pPr>
        <w:pStyle w:val="Heading2"/>
        <w:keepNext/>
      </w:pPr>
      <w:r>
        <w:t>8.2 Factory</w:t>
      </w:r>
    </w:p>
    <w:p>
      <w:pPr>
        <w:spacing w:after="60"/>
        <w:ind w:left="346" w:hanging="230"/>
      </w:pPr>
      <w:r>
        <w:rPr>
          <w:rFonts w:ascii="Arial" w:hAnsi="Arial"/>
          <w:color w:val="000000"/>
          <w:sz w:val="21"/>
        </w:rPr>
        <w:t>•  Purpose: centralize object creation when construction is complex or varies by input.</w:t>
      </w:r>
    </w:p>
    <w:p>
      <w:pPr>
        <w:spacing w:after="60"/>
        <w:ind w:left="346" w:hanging="230"/>
      </w:pPr>
      <w:r>
        <w:rPr>
          <w:rFonts w:ascii="Arial" w:hAnsi="Arial"/>
          <w:color w:val="000000"/>
          <w:sz w:val="21"/>
        </w:rPr>
        <w:t>•  Use when choosing among implementations or enforcing a consistent creation process.</w:t>
      </w:r>
    </w:p>
    <w:p>
      <w:pPr>
        <w:spacing w:after="60"/>
        <w:ind w:left="346" w:hanging="230"/>
      </w:pPr>
      <w:r>
        <w:rPr>
          <w:rFonts w:ascii="Arial" w:hAnsi="Arial"/>
          <w:color w:val="000000"/>
          <w:sz w:val="21"/>
        </w:rPr>
        <w:t>•  Strength: prevents callers from knowing construction details and keeps creation logic in one place.</w:t>
      </w:r>
    </w:p>
    <w:p>
      <w:pPr>
        <w:spacing w:after="60"/>
        <w:ind w:left="346" w:hanging="230"/>
      </w:pPr>
      <w:r>
        <w:rPr>
          <w:rFonts w:ascii="Arial" w:hAnsi="Arial"/>
          <w:color w:val="000000"/>
          <w:sz w:val="21"/>
        </w:rPr>
        <w:t>•  Trade-off: adds indirection and is unnecessary when an ordinary constructor is already clear.</w:t>
      </w:r>
    </w:p>
    <w:p>
      <w:pPr>
        <w:pStyle w:val="Heading2"/>
        <w:keepNext/>
      </w:pPr>
      <w:r>
        <w:t>8.3 Decorator</w:t>
      </w:r>
    </w:p>
    <w:p>
      <w:pPr>
        <w:spacing w:after="60"/>
        <w:ind w:left="346" w:hanging="230"/>
      </w:pPr>
      <w:r>
        <w:rPr>
          <w:rFonts w:ascii="Arial" w:hAnsi="Arial"/>
          <w:color w:val="000000"/>
          <w:sz w:val="21"/>
        </w:rPr>
        <w:t>•  Purpose: wrap a service with the same interface to add behavior before or after delegation.</w:t>
      </w:r>
    </w:p>
    <w:p>
      <w:pPr>
        <w:spacing w:after="60"/>
        <w:ind w:left="346" w:hanging="230"/>
      </w:pPr>
      <w:r>
        <w:rPr>
          <w:rFonts w:ascii="Arial" w:hAnsi="Arial"/>
          <w:color w:val="000000"/>
          <w:sz w:val="21"/>
        </w:rPr>
        <w:t>•  Use for cross-cutting behavior such as caching, logging, metrics, tracing, or retry policies.</w:t>
      </w:r>
    </w:p>
    <w:p>
      <w:pPr>
        <w:spacing w:after="60"/>
        <w:ind w:left="346" w:hanging="230"/>
      </w:pPr>
      <w:r>
        <w:rPr>
          <w:rFonts w:ascii="Arial" w:hAnsi="Arial"/>
          <w:color w:val="000000"/>
          <w:sz w:val="21"/>
        </w:rPr>
        <w:t>•  Strength: adds behavior without modifying or subclassing the original service.</w:t>
      </w:r>
    </w:p>
    <w:p>
      <w:pPr>
        <w:spacing w:after="60"/>
        <w:ind w:left="346" w:hanging="230"/>
      </w:pPr>
      <w:r>
        <w:rPr>
          <w:rFonts w:ascii="Arial" w:hAnsi="Arial"/>
          <w:color w:val="000000"/>
          <w:sz w:val="21"/>
        </w:rPr>
        <w:t>•  Trade-off: decorator order can matter, and multiple wrappers can make runtime behavior harder to trace.</w:t>
      </w:r>
    </w:p>
    <w:p>
      <w:pPr>
        <w:pStyle w:val="Heading2"/>
        <w:keepNext/>
      </w:pPr>
      <w:r>
        <w:t>8.4 Choosing a pattern for the Product application</w:t>
      </w:r>
    </w:p>
    <w:p>
      <w:pPr>
        <w:spacing w:after="60"/>
        <w:ind w:left="346" w:hanging="230"/>
      </w:pPr>
      <w:r>
        <w:rPr>
          <w:rFonts w:ascii="Arial" w:hAnsi="Arial"/>
          <w:color w:val="000000"/>
          <w:sz w:val="21"/>
        </w:rPr>
        <w:t>•  Use no pattern when the Product feature is straightforward CRUD and a pattern would only add ceremony.</w:t>
      </w:r>
    </w:p>
    <w:p>
      <w:pPr>
        <w:spacing w:after="60"/>
        <w:ind w:left="346" w:hanging="230"/>
      </w:pPr>
      <w:r>
        <w:rPr>
          <w:rFonts w:ascii="Arial" w:hAnsi="Arial"/>
          <w:color w:val="000000"/>
          <w:sz w:val="21"/>
        </w:rPr>
        <w:t>•  Consider Strategy when Product pricing or discount behavior has multiple interchangeable rules.</w:t>
      </w:r>
    </w:p>
    <w:p>
      <w:pPr>
        <w:spacing w:after="60"/>
        <w:ind w:left="346" w:hanging="230"/>
      </w:pPr>
      <w:r>
        <w:rPr>
          <w:rFonts w:ascii="Arial" w:hAnsi="Arial"/>
          <w:color w:val="000000"/>
          <w:sz w:val="21"/>
        </w:rPr>
        <w:t>•  Consider Factory when Product construction varies by type or requires coordinated value-object creation.</w:t>
      </w:r>
    </w:p>
    <w:p>
      <w:pPr>
        <w:spacing w:after="60"/>
        <w:ind w:left="346" w:hanging="230"/>
      </w:pPr>
      <w:r>
        <w:rPr>
          <w:rFonts w:ascii="Arial" w:hAnsi="Arial"/>
          <w:color w:val="000000"/>
          <w:sz w:val="21"/>
        </w:rPr>
        <w:t>•  Consider Decorator when a repository or pricing service needs caching, logging, metrics, or similar wrapping behavior.</w:t>
      </w:r>
    </w:p>
    <w:p>
      <w:pPr>
        <w:spacing w:after="60"/>
        <w:ind w:left="346" w:hanging="230"/>
      </w:pPr>
      <w:r>
        <w:rPr>
          <w:rFonts w:ascii="Arial" w:hAnsi="Arial"/>
          <w:color w:val="000000"/>
          <w:sz w:val="21"/>
        </w:rPr>
        <w:t>•  Defend the choice with the concrete change it isolates, its testing benefit, and the complexity it introduces.</w:t>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tabs>
        <w:tab w:val="right" w:leader="none" w:pos="9214"/>
        <w:tab w:pos="9216" w:val="left"/>
      </w:tabs>
      <w:rPr>
        <w:color w:val="999999"/>
        <w:sz w:val="18"/>
        <w:szCs w:val="18"/>
      </w:rPr>
    </w:pPr>
    <w:r>
      <w:rPr>
        <w:rFonts w:ascii="Arial" w:hAnsi="Arial"/>
        <w:color w:val="7F7F7F"/>
        <w:sz w:val="15"/>
      </w:rPr>
      <w:t>Interview Preparation  |  Personal Study Notes</w:t>
    </w:r>
    <w:r>
      <w:tab/>
    </w:r>
    <w:r>
      <w:rPr>
        <w:rFonts w:ascii="Arial" w:hAnsi="Arial"/>
        <w:color w:val="7F7F7F"/>
        <w:sz w:val="15"/>
      </w:rPr>
      <w:fldChar w:fldCharType="begin"/>
      <w:instrText xml:space="preserve"> PAGE </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jc w:val="right"/>
      <w:rPr>
        <w:color w:val="999999"/>
        <w:sz w:val="24"/>
        <w:szCs w:val="24"/>
      </w:rPr>
    </w:pPr>
    <w:r>
      <w:rPr>
        <w:rFonts w:ascii="Arial" w:hAnsi="Arial"/>
        <w:color w:val="7F7F7F"/>
        <w:sz w:val="15"/>
      </w:rPr>
      <w:t>Symfony Interview Practice Review  |  September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line="269" w:lineRule="auto"/>
    </w:pPr>
    <w:rPr>
      <w:rFonts w:ascii="Arial" w:hAnsi="Arial"/>
      <w:color w:val="000000"/>
      <w:sz w:val="21"/>
    </w:rPr>
  </w:style>
  <w:style w:type="paragraph" w:styleId="Heading1">
    <w:name w:val="heading 1"/>
    <w:basedOn w:val="Normal"/>
    <w:next w:val="Normal"/>
    <w:pPr>
      <w:keepNext/>
      <w:keepLines w:val="1"/>
      <w:spacing w:after="140" w:before="320" w:lineRule="auto"/>
    </w:pPr>
    <w:rPr>
      <w:rFonts w:ascii="Arial" w:hAnsi="Arial"/>
      <w:b/>
      <w:color w:val="000000"/>
      <w:sz w:val="30"/>
      <w:szCs w:val="40"/>
    </w:rPr>
  </w:style>
  <w:style w:type="paragraph" w:styleId="Heading2">
    <w:name w:val="heading 2"/>
    <w:basedOn w:val="Normal"/>
    <w:next w:val="Normal"/>
    <w:pPr>
      <w:keepNext/>
      <w:keepLines w:val="1"/>
      <w:spacing w:after="100" w:before="240" w:lineRule="auto"/>
    </w:pPr>
    <w:rPr>
      <w:rFonts w:ascii="Arial" w:hAnsi="Arial"/>
      <w:b/>
      <w:color w:val="000000"/>
      <w:sz w:val="24"/>
      <w:szCs w:val="32"/>
    </w:rPr>
  </w:style>
  <w:style w:type="paragraph" w:styleId="Heading3">
    <w:name w:val="heading 3"/>
    <w:basedOn w:val="Normal"/>
    <w:next w:val="Normal"/>
    <w:pPr>
      <w:keepNext/>
      <w:keepLines w:val="1"/>
      <w:spacing w:after="60" w:before="180" w:lineRule="auto"/>
    </w:pPr>
    <w:rPr>
      <w:rFonts w:ascii="Arial" w:hAnsi="Arial"/>
      <w:b/>
      <w:color w:val="000000"/>
      <w:sz w:val="21"/>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200" w:lineRule="auto"/>
    </w:pPr>
    <w:rPr>
      <w:rFonts w:ascii="Arial" w:hAnsi="Arial"/>
      <w:b/>
      <w:color w:val="000000"/>
      <w:sz w:val="56"/>
      <w:szCs w:val="52"/>
    </w:rPr>
  </w:style>
  <w:style w:type="paragraph" w:styleId="Subtitle">
    <w:name w:val="Subtitle"/>
    <w:basedOn w:val="Normal"/>
    <w:next w:val="Normal"/>
    <w:pPr>
      <w:keepNext w:val="1"/>
      <w:keepLines w:val="1"/>
      <w:spacing w:after="360" w:lineRule="auto"/>
    </w:pPr>
    <w:rPr>
      <w:rFonts w:ascii="Arial" w:hAnsi="Arial"/>
      <w:color w:val="595959"/>
      <w:sz w:val="22"/>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