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A5F"/>
          <w:sz w:val="48"/>
          <w:szCs w:val="48"/>
        </w:rPr>
        <w:t xml:space="preserve">AI COPILOT INTEGRATION PLAN</w:t>
      </w:r>
    </w:p>
    <w:p>
      <w:pPr>
        <w:spacing w:after="300"/>
        <w:jc w:val="center"/>
      </w:pPr>
      <w:r>
        <w:rPr>
          <w:b/>
          <w:bCs/>
          <w:color w:val="2E5395"/>
          <w:sz w:val="30"/>
          <w:szCs w:val="30"/>
        </w:rPr>
        <w:t xml:space="preserve">for the Network Automation Platform (NWAP)</w:t>
      </w:r>
    </w:p>
    <w:p>
      <w:pPr>
        <w:spacing w:after="200"/>
        <w:jc w:val="center"/>
      </w:pPr>
      <w:r>
        <w:rPr>
          <w:i/>
          <w:iCs/>
          <w:color w:val="555555"/>
          <w:sz w:val="22"/>
          <w:szCs w:val="22"/>
        </w:rPr>
        <w:t xml:space="preserve">A complete, agreed, end-to-end implementation blueprint</w:t>
      </w:r>
    </w:p>
    <w:p>
      <w:pPr>
        <w:spacing w:after="60" w:before="1200"/>
        <w:jc w:val="center"/>
      </w:pPr>
      <w:r>
        <w:rPr>
          <w:b/>
          <w:bCs/>
          <w:color w:val="1E7B45"/>
          <w:sz w:val="20"/>
          <w:szCs w:val="20"/>
        </w:rPr>
        <w:t xml:space="preserve">Final Architecture — approved after multiple review rounds</w:t>
      </w:r>
    </w:p>
    <w:p>
      <w:pPr>
        <w:spacing w:after="40"/>
        <w:jc w:val="center"/>
      </w:pPr>
      <w:r>
        <w:rPr>
          <w:color w:val="555555"/>
          <w:sz w:val="20"/>
          <w:szCs w:val="20"/>
        </w:rPr>
        <w:t xml:space="preserve">Scope: enterprise_real_sot / ai_copilot</w:t>
      </w:r>
    </w:p>
    <w:p>
      <w:pPr>
        <w:jc w:val="center"/>
      </w:pPr>
      <w:r>
        <w:rPr>
          <w:color w:val="555555"/>
          <w:sz w:val="20"/>
          <w:szCs w:val="20"/>
        </w:rPr>
        <w:t xml:space="preserve">Prepared: September 2026</w:t>
      </w:r>
    </w:p>
    <w:p>
      <w:r>
        <w:br w:type="page"/>
      </w:r>
    </w:p>
    <w:p>
      <w:pPr>
        <w:pStyle w:val="Heading1"/>
        <w:spacing w:after="180" w:before="38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80"/>
      </w:pPr>
      <w:r>
        <w:t xml:space="preserve">1. Executive Overview</w:t>
      </w:r>
    </w:p>
    <w:p>
      <w:pPr>
        <w:spacing w:after="150" w:line="276"/>
      </w:pPr>
      <w:r>
        <w:t xml:space="preserve">The Network Automation Platform (NWAP) already runs a complete, working pipeline that takes network devices from a source of truth all the way to a monitored, supported production state. This plan adds one new layer on top of that pipeline: an AI Copilot that helps engineers understand and investigate problems faster.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A7B8" w:sz="6"/>
              <w:left w:val="single" w:color="9AA7B8" w:sz="6"/>
              <w:bottom w:val="single" w:color="9AA7B8" w:sz="6"/>
              <w:right w:val="single" w:color="9AA7B8" w:sz="6"/>
            </w:tcBorders>
            <w:shd w:fill="F4F6F9" w:val="clear"/>
            <w:tcMar>
              <w:top w:type="dxa" w:w="140"/>
              <w:left w:type="dxa" w:w="160"/>
              <w:bottom w:type="dxa" w:w="140"/>
              <w:right w:type="dxa" w:w="160"/>
            </w:tcMar>
          </w:tcPr>
          <w:p>
            <w:pPr>
              <w:spacing w:after="0" w:line="240"/>
            </w:pPr>
            <w:r>
              <w:rPr>
                <w:rFonts w:ascii="Consolas" w:cs="Consolas" w:eastAsia="Consolas" w:hAnsi="Consolas"/>
                <w:b/>
                <w:bCs/>
                <w:color w:val="1B1B1F"/>
                <w:sz w:val="19"/>
                <w:szCs w:val="19"/>
              </w:rPr>
              <w:t xml:space="preserve">NetBox / Source of Truth</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Configuration Generation</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Pre-Deployment Validation</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Deployment</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Post-Deployment Validation</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Compliance / Drift</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Observability</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ServiceNow</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AI Investigation and Recommendation   ← NEW LAYER, added by this plan</w:t>
            </w:r>
          </w:p>
        </w:tc>
      </w:tr>
    </w:tbl>
    <w:p>
      <w:pPr>
        <w:pStyle w:val="Heading2"/>
        <w:spacing w:after="130" w:before="260"/>
      </w:pPr>
      <w:r>
        <w:t xml:space="preserve">The one rule that matters most</w:t>
      </w:r>
    </w:p>
    <w:p>
      <w:pPr>
        <w:spacing w:after="150" w:line="276"/>
      </w:pPr>
      <w:r>
        <w:rPr>
          <w:b/>
          <w:bCs/>
          <w:color w:val="B23A2E"/>
          <w:sz w:val="20"/>
          <w:szCs w:val="20"/>
        </w:rPr>
        <w:t xml:space="preserve">The AI does NOT replace NWAP.</w:t>
      </w:r>
    </w:p>
    <w:p>
      <w:pPr>
        <w:spacing w:after="150" w:line="276"/>
      </w:pPr>
      <w:r>
        <w:t xml:space="preserve">The AI sits on top of the existing platform. It does not configure devices, does not deploy anything, and does not decide what is compliant. The deterministic (rule-based, predictable) platform you already have keeps doing all of that exact same job:</w:t>
      </w:r>
    </w:p>
    <w:p>
      <w:pPr>
        <w:pStyle w:val="ListParagraph"/>
        <w:numPr>
          <w:ilvl w:val="0"/>
          <w:numId w:val="2"/>
        </w:numPr>
        <w:spacing w:after="90" w:line="276"/>
      </w:pPr>
      <w:r>
        <w:t xml:space="preserve">NetBox stays the source of truth.</w:t>
      </w:r>
    </w:p>
    <w:p>
      <w:pPr>
        <w:pStyle w:val="ListParagraph"/>
        <w:numPr>
          <w:ilvl w:val="0"/>
          <w:numId w:val="2"/>
        </w:numPr>
        <w:spacing w:after="90" w:line="276"/>
      </w:pPr>
      <w:r>
        <w:t xml:space="preserve">Configuration generation, validation, deployment, and rollback stay exactly as they are today.</w:t>
      </w:r>
    </w:p>
    <w:p>
      <w:pPr>
        <w:pStyle w:val="ListParagraph"/>
        <w:numPr>
          <w:ilvl w:val="0"/>
          <w:numId w:val="2"/>
        </w:numPr>
        <w:spacing w:after="90" w:line="276"/>
      </w:pPr>
      <w:r>
        <w:t xml:space="preserve">Compliance and drift checking stay exactly as they are today.</w:t>
      </w:r>
    </w:p>
    <w:p>
      <w:pPr>
        <w:pStyle w:val="ListParagraph"/>
        <w:numPr>
          <w:ilvl w:val="0"/>
          <w:numId w:val="2"/>
        </w:numPr>
        <w:spacing w:after="90" w:line="276"/>
      </w:pPr>
      <w:r>
        <w:t xml:space="preserve">Observability (Prometheus, Loki, Alertmanager) stays exactly as they are today.</w:t>
      </w:r>
    </w:p>
    <w:p>
      <w:pPr>
        <w:pStyle w:val="ListParagraph"/>
        <w:numPr>
          <w:ilvl w:val="0"/>
          <w:numId w:val="2"/>
        </w:numPr>
        <w:spacing w:after="90" w:line="276"/>
      </w:pPr>
      <w:r>
        <w:t xml:space="preserve">ServiceNow keeps creating and managing incidents exactly as it does today.</w:t>
      </w:r>
    </w:p>
    <w:p>
      <w:pPr>
        <w:spacing w:after="150" w:line="276"/>
      </w:pPr>
      <w:r>
        <w:t xml:space="preserve">What is new: once an incident exists in ServiceNow, the AI Copilot reads the evidence around it and writes a plain-English investigation summary — first only for humans to review (Phase 1A), and later, once proven safe, as a labelled comment on the ticket itself (Phase 1B). At no point in this plan does the AI touch a device, push a configuration, or change how an incident is prioritised or assigned.</w:t>
      </w:r>
    </w:p>
    <w:p>
      <w:r>
        <w:br w:type="page"/>
      </w:r>
    </w:p>
    <w:p>
      <w:pPr>
        <w:pStyle w:val="Heading1"/>
        <w:spacing w:after="180" w:before="380"/>
      </w:pPr>
      <w:r>
        <w:t xml:space="preserve">2. Final AI Architecture</w:t>
      </w:r>
    </w:p>
    <w:p>
      <w:pPr>
        <w:spacing w:after="150" w:line="276"/>
      </w:pPr>
      <w:r>
        <w:t xml:space="preserve">This is the complete picture of how every part fits together — the existing monitoring/ticketing tools on one side, and the new AI Copilot on the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A7B8" w:sz="6"/>
              <w:left w:val="single" w:color="9AA7B8" w:sz="6"/>
              <w:bottom w:val="single" w:color="9AA7B8" w:sz="6"/>
              <w:right w:val="single" w:color="9AA7B8" w:sz="6"/>
            </w:tcBorders>
            <w:shd w:fill="F4F6F9" w:val="clear"/>
            <w:tcMar>
              <w:top w:type="dxa" w:w="140"/>
              <w:left w:type="dxa" w:w="160"/>
              <w:bottom w:type="dxa" w:w="140"/>
              <w:right w:type="dxa" w:w="160"/>
            </w:tcMar>
          </w:tcPr>
          <w:p>
            <w:pPr>
              <w:spacing w:after="0" w:line="240"/>
            </w:pPr>
            <w:r>
              <w:rPr>
                <w:rFonts w:ascii="Consolas" w:cs="Consolas" w:eastAsia="Consolas" w:hAnsi="Consolas"/>
                <w:b/>
                <w:bCs/>
                <w:color w:val="1B1B1F"/>
                <w:sz w:val="19"/>
                <w:szCs w:val="19"/>
              </w:rPr>
              <w:t xml:space="preserve">┌─────────────────────────────  DETERMINISTIC SYSTEM  (unchanged, existing) ─────────────────────────────┐</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   NetBox        Prometheus        Loki        Maintenance Mode        ServiceNow (incidents)             │</w:t>
            </w:r>
          </w:p>
          <w:p>
            <w:pPr>
              <w:spacing w:after="0" w:line="240"/>
            </w:pPr>
            <w:r>
              <w:rPr>
                <w:rFonts w:ascii="Consolas" w:cs="Consolas" w:eastAsia="Consolas" w:hAnsi="Consolas"/>
                <w:b/>
                <w:bCs/>
                <w:color w:val="1B1B1F"/>
                <w:sz w:val="19"/>
                <w:szCs w:val="19"/>
              </w:rPr>
              <w:t xml:space="preserve">│      │               │              │                │                       │                          │</w:t>
            </w:r>
          </w:p>
          <w:p>
            <w:pPr>
              <w:spacing w:after="0" w:line="240"/>
            </w:pPr>
            <w:r>
              <w:rPr>
                <w:rFonts w:ascii="Consolas" w:cs="Consolas" w:eastAsia="Consolas" w:hAnsi="Consolas"/>
                <w:b/>
                <w:bCs/>
                <w:color w:val="1B1B1F"/>
                <w:sz w:val="19"/>
                <w:szCs w:val="19"/>
              </w:rPr>
              <w:t xml:space="preserve">└──────┼───────────────┼──────────────┼────────────────┼───────────────────────┼──────────────────────────┘</w:t>
            </w:r>
          </w:p>
          <w:p>
            <w:pPr>
              <w:spacing w:after="0" w:line="240"/>
            </w:pPr>
            <w:r>
              <w:rPr>
                <w:rFonts w:ascii="Consolas" w:cs="Consolas" w:eastAsia="Consolas" w:hAnsi="Consolas"/>
                <w:b/>
                <w:bCs/>
                <w:color w:val="1B1B1F"/>
                <w:sz w:val="19"/>
                <w:szCs w:val="19"/>
              </w:rPr>
              <w:t xml:space="preserve">       │               │              │                │                       │</w:t>
            </w:r>
          </w:p>
          <w:p>
            <w:pPr>
              <w:spacing w:after="0" w:line="240"/>
            </w:pPr>
            <w:r>
              <w:rPr>
                <w:rFonts w:ascii="Consolas" w:cs="Consolas" w:eastAsia="Consolas" w:hAnsi="Consolas"/>
                <w:b/>
                <w:bCs/>
                <w:color w:val="1B1B1F"/>
                <w:sz w:val="19"/>
                <w:szCs w:val="19"/>
              </w:rPr>
              <w:t xml:space="preserve">       ▼               ▼              ▼                ▼                       ▼</w:t>
            </w:r>
          </w:p>
          <w:p>
            <w:pPr>
              <w:spacing w:after="0" w:line="240"/>
            </w:pPr>
            <w:r>
              <w:rPr>
                <w:rFonts w:ascii="Consolas" w:cs="Consolas" w:eastAsia="Consolas" w:hAnsi="Consolas"/>
                <w:b/>
                <w:bCs/>
                <w:color w:val="1B1B1F"/>
                <w:sz w:val="19"/>
                <w:szCs w:val="19"/>
              </w:rPr>
              <w:t xml:space="preserve">┌─────────────────────────────────  AI / LLM SYSTEM  (new, added by this plan) ──────────────────────────┐</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   AI Copilot Poller  →  Deterministic Evidence Collection  →  Evidence Quality Engine                    │</w:t>
            </w:r>
          </w:p>
          <w:p>
            <w:pPr>
              <w:spacing w:after="0" w:line="240"/>
            </w:pPr>
            <w:r>
              <w:rPr>
                <w:rFonts w:ascii="Consolas" w:cs="Consolas" w:eastAsia="Consolas" w:hAnsi="Consolas"/>
                <w:b/>
                <w:bCs/>
                <w:color w:val="1B1B1F"/>
                <w:sz w:val="19"/>
                <w:szCs w:val="19"/>
              </w:rPr>
              <w:t xml:space="preserve">│                                                                        │                                  │</w:t>
            </w:r>
          </w:p>
          <w:p>
            <w:pPr>
              <w:spacing w:after="0" w:line="240"/>
            </w:pPr>
            <w:r>
              <w:rPr>
                <w:rFonts w:ascii="Consolas" w:cs="Consolas" w:eastAsia="Consolas" w:hAnsi="Consolas"/>
                <w:b/>
                <w:bCs/>
                <w:color w:val="1B1B1F"/>
                <w:sz w:val="19"/>
                <w:szCs w:val="19"/>
              </w:rPr>
              <w:t xml:space="preserve">│                                                                        ▼                                  │</w:t>
            </w:r>
          </w:p>
          <w:p>
            <w:pPr>
              <w:spacing w:after="0" w:line="240"/>
            </w:pPr>
            <w:r>
              <w:rPr>
                <w:rFonts w:ascii="Consolas" w:cs="Consolas" w:eastAsia="Consolas" w:hAnsi="Consolas"/>
                <w:b/>
                <w:bCs/>
                <w:color w:val="1B1B1F"/>
                <w:sz w:val="19"/>
                <w:szCs w:val="19"/>
              </w:rPr>
              <w:t xml:space="preserve">│                                                                 OpenAI LLM (single call)                   │</w:t>
            </w:r>
          </w:p>
          <w:p>
            <w:pPr>
              <w:spacing w:after="0" w:line="240"/>
            </w:pPr>
            <w:r>
              <w:rPr>
                <w:rFonts w:ascii="Consolas" w:cs="Consolas" w:eastAsia="Consolas" w:hAnsi="Consolas"/>
                <w:b/>
                <w:bCs/>
                <w:color w:val="1B1B1F"/>
                <w:sz w:val="19"/>
                <w:szCs w:val="19"/>
              </w:rPr>
              <w:t xml:space="preserve">│                                                                        │                                  │</w:t>
            </w:r>
          </w:p>
          <w:p>
            <w:pPr>
              <w:spacing w:after="0" w:line="240"/>
            </w:pPr>
            <w:r>
              <w:rPr>
                <w:rFonts w:ascii="Consolas" w:cs="Consolas" w:eastAsia="Consolas" w:hAnsi="Consolas"/>
                <w:b/>
                <w:bCs/>
                <w:color w:val="1B1B1F"/>
                <w:sz w:val="19"/>
                <w:szCs w:val="19"/>
              </w:rPr>
              <w:t xml:space="preserve">│                                                                        ▼                                  │</w:t>
            </w:r>
          </w:p>
          <w:p>
            <w:pPr>
              <w:spacing w:after="0" w:line="240"/>
            </w:pPr>
            <w:r>
              <w:rPr>
                <w:rFonts w:ascii="Consolas" w:cs="Consolas" w:eastAsia="Consolas" w:hAnsi="Consolas"/>
                <w:b/>
                <w:bCs/>
                <w:color w:val="1B1B1F"/>
                <w:sz w:val="19"/>
                <w:szCs w:val="19"/>
              </w:rPr>
              <w:t xml:space="preserve">│                                            Audit Storage   +   Run Storage                                │</w:t>
            </w:r>
          </w:p>
          <w:p>
            <w:pPr>
              <w:spacing w:after="0" w:line="240"/>
            </w:pPr>
            <w:r>
              <w:rPr>
                <w:rFonts w:ascii="Consolas" w:cs="Consolas" w:eastAsia="Consolas" w:hAnsi="Consolas"/>
                <w:b/>
                <w:bCs/>
                <w:color w:val="1B1B1F"/>
                <w:sz w:val="19"/>
                <w:szCs w:val="19"/>
              </w:rPr>
              <w:t xml:space="preserve">│                                                                        │                                  │</w:t>
            </w:r>
          </w:p>
          <w:p>
            <w:pPr>
              <w:spacing w:after="0" w:line="240"/>
            </w:pPr>
            <w:r>
              <w:rPr>
                <w:rFonts w:ascii="Consolas" w:cs="Consolas" w:eastAsia="Consolas" w:hAnsi="Consolas"/>
                <w:b/>
                <w:bCs/>
                <w:color w:val="1B1B1F"/>
                <w:sz w:val="19"/>
                <w:szCs w:val="19"/>
              </w:rPr>
              <w:t xml:space="preserve">│                                                                        ▼                                  │</w:t>
            </w:r>
          </w:p>
          <w:p>
            <w:pPr>
              <w:spacing w:after="0" w:line="240"/>
            </w:pPr>
            <w:r>
              <w:rPr>
                <w:rFonts w:ascii="Consolas" w:cs="Consolas" w:eastAsia="Consolas" w:hAnsi="Consolas"/>
                <w:b/>
                <w:bCs/>
                <w:color w:val="1B1B1F"/>
                <w:sz w:val="19"/>
                <w:szCs w:val="19"/>
              </w:rPr>
              <w:t xml:space="preserve">│                                          (Phase 1B only) ServiceNow work_notes                             │</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w:t>
            </w:r>
          </w:p>
        </w:tc>
      </w:tr>
    </w:tbl>
    <w:p>
      <w:pPr>
        <w:pBdr>
          <w:left w:val="single" w:color="2E5395" w:sz="18"/>
        </w:pBdr>
        <w:shd w:fill="F4F6F9" w:val="clear"/>
        <w:spacing w:after="180" w:before="90"/>
        <w:ind w:left="120"/>
      </w:pPr>
      <w:r>
        <w:rPr>
          <w:b/>
          <w:bCs/>
          <w:color w:val="2E5395"/>
        </w:rPr>
        <w:t xml:space="preserve">Note: </w:t>
      </w:r>
      <w:r>
        <w:t xml:space="preserve">Everything above the line already exists and keeps working exactly as it does today. Everything below the line is what this plan adds. The AI system only reads from the deterministic system — it never writes back into NetBox, Prometheus, Loki, or Maintenance Mode, and it only ever writes one specific field in ServiceNow, and only from Phase 1B onward.</w:t>
      </w:r>
    </w:p>
    <w:p>
      <w:r>
        <w:br w:type="page"/>
      </w:r>
    </w:p>
    <w:p>
      <w:pPr>
        <w:pStyle w:val="Heading1"/>
        <w:spacing w:after="180" w:before="380"/>
      </w:pPr>
      <w:r>
        <w:t xml:space="preserve">3. AI Capability Boundaries</w:t>
      </w:r>
    </w:p>
    <w:p>
      <w:pPr>
        <w:spacing w:after="150" w:line="276"/>
      </w:pPr>
      <w:r>
        <w:t xml:space="preserve">This table is the single most important reference in this document. It says exactly what the AI is allowed to do and not do, for every part of the platform.</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2300"/>
        <w:gridCol w:w="3500"/>
        <w:gridCol w:w="3560"/>
      </w:tblGrid>
      <w:tr>
        <w:trPr>
          <w:cantSplit/>
          <w:tblHeader/>
        </w:trPr>
        <w:tc>
          <w:tcPr>
            <w:tcW w:type="dxa" w:w="2300"/>
            <w:shd w:fill="1F3A5F" w:val="clear"/>
            <w:tcMar>
              <w:top w:type="dxa" w:w="80"/>
              <w:left w:type="dxa" w:w="120"/>
              <w:bottom w:type="dxa" w:w="80"/>
              <w:right w:type="dxa" w:w="120"/>
            </w:tcMar>
            <w:vAlign w:val="center"/>
          </w:tcPr>
          <w:p>
            <w:pPr>
              <w:jc w:val="left"/>
            </w:pPr>
            <w:r>
              <w:rPr>
                <w:b/>
                <w:bCs/>
                <w:color w:val="FFFFFF"/>
              </w:rPr>
              <w:t xml:space="preserve">Component</w:t>
            </w:r>
          </w:p>
        </w:tc>
        <w:tc>
          <w:tcPr>
            <w:tcW w:type="dxa" w:w="3500"/>
            <w:shd w:fill="1F3A5F" w:val="clear"/>
            <w:tcMar>
              <w:top w:type="dxa" w:w="80"/>
              <w:left w:type="dxa" w:w="120"/>
              <w:bottom w:type="dxa" w:w="80"/>
              <w:right w:type="dxa" w:w="120"/>
            </w:tcMar>
            <w:vAlign w:val="center"/>
          </w:tcPr>
          <w:p>
            <w:pPr>
              <w:jc w:val="left"/>
            </w:pPr>
            <w:r>
              <w:rPr>
                <w:b/>
                <w:bCs/>
                <w:color w:val="FFFFFF"/>
              </w:rPr>
              <w:t xml:space="preserve">AI Can Do</w:t>
            </w:r>
          </w:p>
        </w:tc>
        <w:tc>
          <w:tcPr>
            <w:tcW w:type="dxa" w:w="3560"/>
            <w:shd w:fill="1F3A5F" w:val="clear"/>
            <w:tcMar>
              <w:top w:type="dxa" w:w="80"/>
              <w:left w:type="dxa" w:w="120"/>
              <w:bottom w:type="dxa" w:w="80"/>
              <w:right w:type="dxa" w:w="120"/>
            </w:tcMar>
            <w:vAlign w:val="center"/>
          </w:tcPr>
          <w:p>
            <w:pPr>
              <w:jc w:val="left"/>
            </w:pPr>
            <w:r>
              <w:rPr>
                <w:b/>
                <w:bCs/>
                <w:color w:val="FFFFFF"/>
              </w:rPr>
              <w:t xml:space="preserve">AI Cannot Do</w:t>
            </w:r>
          </w:p>
        </w:tc>
      </w:tr>
      <w:tr>
        <w:trPr>
          <w:cantSplit/>
        </w:trPr>
        <w:tc>
          <w:tcPr>
            <w:tcW w:type="dxa" w:w="2300"/>
            <w:tcMar>
              <w:top w:type="dxa" w:w="80"/>
              <w:left w:type="dxa" w:w="120"/>
              <w:bottom w:type="dxa" w:w="80"/>
              <w:right w:type="dxa" w:w="120"/>
            </w:tcMar>
            <w:vAlign w:val="center"/>
          </w:tcPr>
          <w:p>
            <w:pPr>
              <w:jc w:val="left"/>
            </w:pPr>
            <w:r>
              <w:rPr>
                <w:b w:val="false"/>
                <w:bCs w:val="false"/>
              </w:rPr>
              <w:t xml:space="preserve">Network Devices</w:t>
            </w:r>
          </w:p>
        </w:tc>
        <w:tc>
          <w:tcPr>
            <w:tcW w:type="dxa" w:w="3500"/>
            <w:tcMar>
              <w:top w:type="dxa" w:w="80"/>
              <w:left w:type="dxa" w:w="120"/>
              <w:bottom w:type="dxa" w:w="80"/>
              <w:right w:type="dxa" w:w="120"/>
            </w:tcMar>
            <w:vAlign w:val="center"/>
          </w:tcPr>
          <w:p>
            <w:pPr>
              <w:jc w:val="left"/>
            </w:pPr>
            <w:r>
              <w:rPr>
                <w:b w:val="false"/>
                <w:bCs w:val="false"/>
              </w:rPr>
              <w:t xml:space="preserve">Nothing</w:t>
            </w:r>
          </w:p>
        </w:tc>
        <w:tc>
          <w:tcPr>
            <w:tcW w:type="dxa" w:w="3560"/>
            <w:tcMar>
              <w:top w:type="dxa" w:w="80"/>
              <w:left w:type="dxa" w:w="120"/>
              <w:bottom w:type="dxa" w:w="80"/>
              <w:right w:type="dxa" w:w="120"/>
            </w:tcMar>
            <w:vAlign w:val="center"/>
          </w:tcPr>
          <w:p>
            <w:pPr>
              <w:jc w:val="left"/>
            </w:pPr>
            <w:r>
              <w:rPr>
                <w:b w:val="false"/>
                <w:bCs w:val="false"/>
              </w:rPr>
              <w:t xml:space="preserve">SSH to devices; use Netmiko; change device configuration in any way</w:t>
            </w:r>
          </w:p>
        </w:tc>
      </w:tr>
      <w:tr>
        <w:trPr>
          <w:cantSplit/>
        </w:trPr>
        <w:tc>
          <w:tcPr>
            <w:tcW w:type="dxa" w:w="2300"/>
            <w:shd w:fill="EEF2F7" w:val="clear"/>
            <w:tcMar>
              <w:top w:type="dxa" w:w="80"/>
              <w:left w:type="dxa" w:w="120"/>
              <w:bottom w:type="dxa" w:w="80"/>
              <w:right w:type="dxa" w:w="120"/>
            </w:tcMar>
            <w:vAlign w:val="center"/>
          </w:tcPr>
          <w:p>
            <w:pPr>
              <w:jc w:val="left"/>
            </w:pPr>
            <w:r>
              <w:rPr>
                <w:b w:val="false"/>
                <w:bCs w:val="false"/>
              </w:rPr>
              <w:t xml:space="preserve">Configuration / Deployment</w:t>
            </w:r>
          </w:p>
        </w:tc>
        <w:tc>
          <w:tcPr>
            <w:tcW w:type="dxa" w:w="3500"/>
            <w:shd w:fill="EEF2F7" w:val="clear"/>
            <w:tcMar>
              <w:top w:type="dxa" w:w="80"/>
              <w:left w:type="dxa" w:w="120"/>
              <w:bottom w:type="dxa" w:w="80"/>
              <w:right w:type="dxa" w:w="120"/>
            </w:tcMar>
            <w:vAlign w:val="center"/>
          </w:tcPr>
          <w:p>
            <w:pPr>
              <w:jc w:val="left"/>
            </w:pPr>
            <w:r>
              <w:rPr>
                <w:b w:val="false"/>
                <w:bCs w:val="false"/>
              </w:rPr>
              <w:t xml:space="preserve">Nothing</w:t>
            </w:r>
          </w:p>
        </w:tc>
        <w:tc>
          <w:tcPr>
            <w:tcW w:type="dxa" w:w="3560"/>
            <w:shd w:fill="EEF2F7" w:val="clear"/>
            <w:tcMar>
              <w:top w:type="dxa" w:w="80"/>
              <w:left w:type="dxa" w:w="120"/>
              <w:bottom w:type="dxa" w:w="80"/>
              <w:right w:type="dxa" w:w="120"/>
            </w:tcMar>
            <w:vAlign w:val="center"/>
          </w:tcPr>
          <w:p>
            <w:pPr>
              <w:jc w:val="left"/>
            </w:pPr>
            <w:r>
              <w:rPr>
                <w:b w:val="false"/>
                <w:bCs w:val="false"/>
              </w:rPr>
              <w:t xml:space="preserve">Generate configuration; deploy configuration; trigger a rollback</w:t>
            </w:r>
          </w:p>
        </w:tc>
      </w:tr>
      <w:tr>
        <w:trPr>
          <w:cantSplit/>
        </w:trPr>
        <w:tc>
          <w:tcPr>
            <w:tcW w:type="dxa" w:w="2300"/>
            <w:tcMar>
              <w:top w:type="dxa" w:w="80"/>
              <w:left w:type="dxa" w:w="120"/>
              <w:bottom w:type="dxa" w:w="80"/>
              <w:right w:type="dxa" w:w="120"/>
            </w:tcMar>
            <w:vAlign w:val="center"/>
          </w:tcPr>
          <w:p>
            <w:pPr>
              <w:jc w:val="left"/>
            </w:pPr>
            <w:r>
              <w:rPr>
                <w:b w:val="false"/>
                <w:bCs w:val="false"/>
              </w:rPr>
              <w:t xml:space="preserve">NetBox</w:t>
            </w:r>
          </w:p>
        </w:tc>
        <w:tc>
          <w:tcPr>
            <w:tcW w:type="dxa" w:w="3500"/>
            <w:tcMar>
              <w:top w:type="dxa" w:w="80"/>
              <w:left w:type="dxa" w:w="120"/>
              <w:bottom w:type="dxa" w:w="80"/>
              <w:right w:type="dxa" w:w="120"/>
            </w:tcMar>
            <w:vAlign w:val="center"/>
          </w:tcPr>
          <w:p>
            <w:pPr>
              <w:jc w:val="left"/>
            </w:pPr>
            <w:r>
              <w:rPr>
                <w:b w:val="false"/>
                <w:bCs w:val="false"/>
              </w:rPr>
              <w:t xml:space="preserve">Read device and site information</w:t>
            </w:r>
          </w:p>
        </w:tc>
        <w:tc>
          <w:tcPr>
            <w:tcW w:type="dxa" w:w="3560"/>
            <w:tcMar>
              <w:top w:type="dxa" w:w="80"/>
              <w:left w:type="dxa" w:w="120"/>
              <w:bottom w:type="dxa" w:w="80"/>
              <w:right w:type="dxa" w:w="120"/>
            </w:tcMar>
            <w:vAlign w:val="center"/>
          </w:tcPr>
          <w:p>
            <w:pPr>
              <w:jc w:val="left"/>
            </w:pPr>
            <w:r>
              <w:rPr>
                <w:b w:val="false"/>
                <w:bCs w:val="false"/>
              </w:rPr>
              <w:t xml:space="preserve">Create, edit, or delete anything in NetBox</w:t>
            </w:r>
          </w:p>
        </w:tc>
      </w:tr>
      <w:tr>
        <w:trPr>
          <w:cantSplit/>
        </w:trPr>
        <w:tc>
          <w:tcPr>
            <w:tcW w:type="dxa" w:w="2300"/>
            <w:shd w:fill="EEF2F7" w:val="clear"/>
            <w:tcMar>
              <w:top w:type="dxa" w:w="80"/>
              <w:left w:type="dxa" w:w="120"/>
              <w:bottom w:type="dxa" w:w="80"/>
              <w:right w:type="dxa" w:w="120"/>
            </w:tcMar>
            <w:vAlign w:val="center"/>
          </w:tcPr>
          <w:p>
            <w:pPr>
              <w:jc w:val="left"/>
            </w:pPr>
            <w:r>
              <w:rPr>
                <w:b w:val="false"/>
                <w:bCs w:val="false"/>
              </w:rPr>
              <w:t xml:space="preserve">Prometheus / Loki</w:t>
            </w:r>
          </w:p>
        </w:tc>
        <w:tc>
          <w:tcPr>
            <w:tcW w:type="dxa" w:w="3500"/>
            <w:shd w:fill="EEF2F7" w:val="clear"/>
            <w:tcMar>
              <w:top w:type="dxa" w:w="80"/>
              <w:left w:type="dxa" w:w="120"/>
              <w:bottom w:type="dxa" w:w="80"/>
              <w:right w:type="dxa" w:w="120"/>
            </w:tcMar>
            <w:vAlign w:val="center"/>
          </w:tcPr>
          <w:p>
            <w:pPr>
              <w:jc w:val="left"/>
            </w:pPr>
            <w:r>
              <w:rPr>
                <w:b w:val="false"/>
                <w:bCs w:val="false"/>
              </w:rPr>
              <w:t xml:space="preserve">Read metrics and logs for a specific device and time window</w:t>
            </w:r>
          </w:p>
        </w:tc>
        <w:tc>
          <w:tcPr>
            <w:tcW w:type="dxa" w:w="3560"/>
            <w:shd w:fill="EEF2F7" w:val="clear"/>
            <w:tcMar>
              <w:top w:type="dxa" w:w="80"/>
              <w:left w:type="dxa" w:w="120"/>
              <w:bottom w:type="dxa" w:w="80"/>
              <w:right w:type="dxa" w:w="120"/>
            </w:tcMar>
            <w:vAlign w:val="center"/>
          </w:tcPr>
          <w:p>
            <w:pPr>
              <w:jc w:val="left"/>
            </w:pPr>
            <w:r>
              <w:rPr>
                <w:b w:val="false"/>
                <w:bCs w:val="false"/>
              </w:rPr>
              <w:t xml:space="preserve">Change any alert rule, dashboard, or stored data</w:t>
            </w:r>
          </w:p>
        </w:tc>
      </w:tr>
      <w:tr>
        <w:trPr>
          <w:cantSplit/>
        </w:trPr>
        <w:tc>
          <w:tcPr>
            <w:tcW w:type="dxa" w:w="2300"/>
            <w:tcMar>
              <w:top w:type="dxa" w:w="80"/>
              <w:left w:type="dxa" w:w="120"/>
              <w:bottom w:type="dxa" w:w="80"/>
              <w:right w:type="dxa" w:w="120"/>
            </w:tcMar>
            <w:vAlign w:val="center"/>
          </w:tcPr>
          <w:p>
            <w:pPr>
              <w:jc w:val="left"/>
            </w:pPr>
            <w:r>
              <w:rPr>
                <w:b w:val="false"/>
                <w:bCs w:val="false"/>
              </w:rPr>
              <w:t xml:space="preserve">Maintenance Mode</w:t>
            </w:r>
          </w:p>
        </w:tc>
        <w:tc>
          <w:tcPr>
            <w:tcW w:type="dxa" w:w="3500"/>
            <w:tcMar>
              <w:top w:type="dxa" w:w="80"/>
              <w:left w:type="dxa" w:w="120"/>
              <w:bottom w:type="dxa" w:w="80"/>
              <w:right w:type="dxa" w:w="120"/>
            </w:tcMar>
            <w:vAlign w:val="center"/>
          </w:tcPr>
          <w:p>
            <w:pPr>
              <w:jc w:val="left"/>
            </w:pPr>
            <w:r>
              <w:rPr>
                <w:b w:val="false"/>
                <w:bCs w:val="false"/>
              </w:rPr>
              <w:t xml:space="preserve">Read the current maintenance state</w:t>
            </w:r>
          </w:p>
        </w:tc>
        <w:tc>
          <w:tcPr>
            <w:tcW w:type="dxa" w:w="3560"/>
            <w:tcMar>
              <w:top w:type="dxa" w:w="80"/>
              <w:left w:type="dxa" w:w="120"/>
              <w:bottom w:type="dxa" w:w="80"/>
              <w:right w:type="dxa" w:w="120"/>
            </w:tcMar>
            <w:vAlign w:val="center"/>
          </w:tcPr>
          <w:p>
            <w:pPr>
              <w:jc w:val="left"/>
            </w:pPr>
            <w:r>
              <w:rPr>
                <w:b w:val="false"/>
                <w:bCs w:val="false"/>
              </w:rPr>
              <w:t xml:space="preserve">Turn maintenance mode on or off</w:t>
            </w:r>
          </w:p>
        </w:tc>
      </w:tr>
      <w:tr>
        <w:trPr>
          <w:cantSplit/>
        </w:trPr>
        <w:tc>
          <w:tcPr>
            <w:tcW w:type="dxa" w:w="2300"/>
            <w:shd w:fill="EEF2F7" w:val="clear"/>
            <w:tcMar>
              <w:top w:type="dxa" w:w="80"/>
              <w:left w:type="dxa" w:w="120"/>
              <w:bottom w:type="dxa" w:w="80"/>
              <w:right w:type="dxa" w:w="120"/>
            </w:tcMar>
            <w:vAlign w:val="center"/>
          </w:tcPr>
          <w:p>
            <w:pPr>
              <w:jc w:val="left"/>
            </w:pPr>
            <w:r>
              <w:rPr>
                <w:b w:val="false"/>
                <w:bCs w:val="false"/>
              </w:rPr>
              <w:t xml:space="preserve">ServiceNow Incident (Phase 1A)</w:t>
            </w:r>
          </w:p>
        </w:tc>
        <w:tc>
          <w:tcPr>
            <w:tcW w:type="dxa" w:w="3500"/>
            <w:shd w:fill="EEF2F7" w:val="clear"/>
            <w:tcMar>
              <w:top w:type="dxa" w:w="80"/>
              <w:left w:type="dxa" w:w="120"/>
              <w:bottom w:type="dxa" w:w="80"/>
              <w:right w:type="dxa" w:w="120"/>
            </w:tcMar>
            <w:vAlign w:val="center"/>
          </w:tcPr>
          <w:p>
            <w:pPr>
              <w:jc w:val="left"/>
            </w:pPr>
            <w:r>
              <w:rPr>
                <w:b w:val="false"/>
                <w:bCs w:val="false"/>
              </w:rPr>
              <w:t xml:space="preserve">Read an incident's fields</w:t>
            </w:r>
          </w:p>
        </w:tc>
        <w:tc>
          <w:tcPr>
            <w:tcW w:type="dxa" w:w="3560"/>
            <w:shd w:fill="EEF2F7" w:val="clear"/>
            <w:tcMar>
              <w:top w:type="dxa" w:w="80"/>
              <w:left w:type="dxa" w:w="120"/>
              <w:bottom w:type="dxa" w:w="80"/>
              <w:right w:type="dxa" w:w="120"/>
            </w:tcMar>
            <w:vAlign w:val="center"/>
          </w:tcPr>
          <w:p>
            <w:pPr>
              <w:jc w:val="left"/>
            </w:pPr>
            <w:r>
              <w:rPr>
                <w:b w:val="false"/>
                <w:bCs w:val="false"/>
              </w:rPr>
              <w:t xml:space="preserve">Write anything at all</w:t>
            </w:r>
          </w:p>
        </w:tc>
      </w:tr>
      <w:tr>
        <w:trPr>
          <w:cantSplit/>
        </w:trPr>
        <w:tc>
          <w:tcPr>
            <w:tcW w:type="dxa" w:w="2300"/>
            <w:tcMar>
              <w:top w:type="dxa" w:w="80"/>
              <w:left w:type="dxa" w:w="120"/>
              <w:bottom w:type="dxa" w:w="80"/>
              <w:right w:type="dxa" w:w="120"/>
            </w:tcMar>
            <w:vAlign w:val="center"/>
          </w:tcPr>
          <w:p>
            <w:pPr>
              <w:jc w:val="left"/>
            </w:pPr>
            <w:r>
              <w:rPr>
                <w:b w:val="false"/>
                <w:bCs w:val="false"/>
              </w:rPr>
              <w:t xml:space="preserve">ServiceNow Incident (Phase 1B)</w:t>
            </w:r>
          </w:p>
        </w:tc>
        <w:tc>
          <w:tcPr>
            <w:tcW w:type="dxa" w:w="3500"/>
            <w:tcMar>
              <w:top w:type="dxa" w:w="80"/>
              <w:left w:type="dxa" w:w="120"/>
              <w:bottom w:type="dxa" w:w="80"/>
              <w:right w:type="dxa" w:w="120"/>
            </w:tcMar>
            <w:vAlign w:val="center"/>
          </w:tcPr>
          <w:p>
            <w:pPr>
              <w:jc w:val="left"/>
            </w:pPr>
            <w:r>
              <w:rPr>
                <w:b w:val="false"/>
                <w:bCs w:val="false"/>
              </w:rPr>
              <w:t xml:space="preserve">Read an incident's fields; add one labelled work note</w:t>
            </w:r>
          </w:p>
        </w:tc>
        <w:tc>
          <w:tcPr>
            <w:tcW w:type="dxa" w:w="3560"/>
            <w:tcMar>
              <w:top w:type="dxa" w:w="80"/>
              <w:left w:type="dxa" w:w="120"/>
              <w:bottom w:type="dxa" w:w="80"/>
              <w:right w:type="dxa" w:w="120"/>
            </w:tcMar>
            <w:vAlign w:val="center"/>
          </w:tcPr>
          <w:p>
            <w:pPr>
              <w:jc w:val="left"/>
            </w:pPr>
            <w:r>
              <w:rPr>
                <w:b w:val="false"/>
                <w:bCs w:val="false"/>
              </w:rPr>
              <w:t xml:space="preserve">Change state, priority, assignment group, or caller</w:t>
            </w:r>
          </w:p>
        </w:tc>
      </w:tr>
      <w:tr>
        <w:trPr>
          <w:cantSplit/>
        </w:trPr>
        <w:tc>
          <w:tcPr>
            <w:tcW w:type="dxa" w:w="2300"/>
            <w:shd w:fill="EEF2F7" w:val="clear"/>
            <w:tcMar>
              <w:top w:type="dxa" w:w="80"/>
              <w:left w:type="dxa" w:w="120"/>
              <w:bottom w:type="dxa" w:w="80"/>
              <w:right w:type="dxa" w:w="120"/>
            </w:tcMar>
            <w:vAlign w:val="center"/>
          </w:tcPr>
          <w:p>
            <w:pPr>
              <w:jc w:val="left"/>
            </w:pPr>
            <w:r>
              <w:rPr>
                <w:b w:val="false"/>
                <w:bCs w:val="false"/>
              </w:rPr>
              <w:t xml:space="preserve">Investigation Output</w:t>
            </w:r>
          </w:p>
        </w:tc>
        <w:tc>
          <w:tcPr>
            <w:tcW w:type="dxa" w:w="3500"/>
            <w:shd w:fill="EEF2F7" w:val="clear"/>
            <w:tcMar>
              <w:top w:type="dxa" w:w="80"/>
              <w:left w:type="dxa" w:w="120"/>
              <w:bottom w:type="dxa" w:w="80"/>
              <w:right w:type="dxa" w:w="120"/>
            </w:tcMar>
            <w:vAlign w:val="center"/>
          </w:tcPr>
          <w:p>
            <w:pPr>
              <w:jc w:val="left"/>
            </w:pPr>
            <w:r>
              <w:rPr>
                <w:b w:val="false"/>
                <w:bCs w:val="false"/>
              </w:rPr>
              <w:t xml:space="preserve">Produce an investigation summary: observations, hypotheses, and evidence gaps</w:t>
            </w:r>
          </w:p>
        </w:tc>
        <w:tc>
          <w:tcPr>
            <w:tcW w:type="dxa" w:w="3560"/>
            <w:shd w:fill="EEF2F7" w:val="clear"/>
            <w:tcMar>
              <w:top w:type="dxa" w:w="80"/>
              <w:left w:type="dxa" w:w="120"/>
              <w:bottom w:type="dxa" w:w="80"/>
              <w:right w:type="dxa" w:w="120"/>
            </w:tcMar>
            <w:vAlign w:val="center"/>
          </w:tcPr>
          <w:p>
            <w:pPr>
              <w:jc w:val="left"/>
            </w:pPr>
            <w:r>
              <w:rPr>
                <w:b w:val="false"/>
                <w:bCs w:val="false"/>
              </w:rPr>
              <w:t xml:space="preserve">Present a hypothesis as a proven fact; recommend or perform remediation</w:t>
            </w:r>
          </w:p>
        </w:tc>
      </w:tr>
    </w:tbl>
    <w:p>
      <w:pPr>
        <w:pStyle w:val="Heading2"/>
        <w:spacing w:after="130" w:before="260"/>
      </w:pPr>
      <w:r>
        <w:t xml:space="preserve">The one write the AI is ever allowed to make</w:t>
      </w:r>
    </w:p>
    <w:p>
      <w:pPr>
        <w:spacing w:after="150" w:line="276"/>
      </w:pPr>
      <w:r>
        <w:t xml:space="preserve">From Phase 1B onward, the AI Copilot may add a ServiceNow work note — nothing else. Every note it posts is clearly labelled so nobody mistakes it for a human's own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A7B8" w:sz="6"/>
              <w:left w:val="single" w:color="9AA7B8" w:sz="6"/>
              <w:bottom w:val="single" w:color="9AA7B8" w:sz="6"/>
              <w:right w:val="single" w:color="9AA7B8" w:sz="6"/>
            </w:tcBorders>
            <w:shd w:fill="F4F6F9" w:val="clear"/>
            <w:tcMar>
              <w:top w:type="dxa" w:w="140"/>
              <w:left w:type="dxa" w:w="160"/>
              <w:bottom w:type="dxa" w:w="140"/>
              <w:right w:type="dxa" w:w="160"/>
            </w:tcMar>
          </w:tcPr>
          <w:p>
            <w:pPr>
              <w:spacing w:after="0" w:line="240"/>
            </w:pPr>
            <w:r>
              <w:rPr>
                <w:rFonts w:ascii="Consolas" w:cs="Consolas" w:eastAsia="Consolas" w:hAnsi="Consolas"/>
                <w:b/>
                <w:bCs/>
                <w:color w:val="1B1B1F"/>
                <w:sz w:val="19"/>
                <w:szCs w:val="19"/>
              </w:rPr>
              <w:t xml:space="preserve">[AI-DRAFTED — NOT VERIFIED]</w:t>
            </w:r>
          </w:p>
        </w:tc>
      </w:tr>
    </w:tbl>
    <w:p>
      <w:r>
        <w:br w:type="page"/>
      </w:r>
    </w:p>
    <w:p>
      <w:pPr>
        <w:pStyle w:val="Heading1"/>
        <w:spacing w:after="180" w:before="380"/>
      </w:pPr>
      <w:r>
        <w:t xml:space="preserve">4. Phase 0 — AI Foundation</w:t>
      </w:r>
    </w:p>
    <w:p>
      <w:pPr>
        <w:pStyle w:val="Heading2"/>
        <w:spacing w:after="130" w:before="260"/>
      </w:pPr>
      <w:r>
        <w:t xml:space="preserve">Purpose</w:t>
      </w:r>
    </w:p>
    <w:p>
      <w:pPr>
        <w:spacing w:after="150" w:line="276"/>
      </w:pPr>
      <w:r>
        <w:t xml:space="preserve">Phase 0 builds the safety rails and plumbing the AI Copilot needs before it is allowed to look at a single real incident. Nothing in Phase 0 talks to the LLM yet — it is entirely about getting the foundation right.</w:t>
      </w:r>
    </w:p>
    <w:p>
      <w:pPr>
        <w:pStyle w:val="Heading2"/>
        <w:spacing w:after="130" w:before="260"/>
      </w:pPr>
      <w:r>
        <w:t xml:space="preserve">What gets built</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2600"/>
        <w:gridCol w:w="6760"/>
      </w:tblGrid>
      <w:tr>
        <w:trPr>
          <w:cantSplit/>
          <w:tblHeader/>
        </w:trPr>
        <w:tc>
          <w:tcPr>
            <w:tcW w:type="dxa" w:w="2600"/>
            <w:shd w:fill="1F3A5F" w:val="clear"/>
            <w:tcMar>
              <w:top w:type="dxa" w:w="80"/>
              <w:left w:type="dxa" w:w="120"/>
              <w:bottom w:type="dxa" w:w="80"/>
              <w:right w:type="dxa" w:w="120"/>
            </w:tcMar>
            <w:vAlign w:val="center"/>
          </w:tcPr>
          <w:p>
            <w:pPr>
              <w:jc w:val="left"/>
            </w:pPr>
            <w:r>
              <w:rPr>
                <w:b/>
                <w:bCs/>
                <w:color w:val="FFFFFF"/>
              </w:rPr>
              <w:t xml:space="preserve">Item</w:t>
            </w:r>
          </w:p>
        </w:tc>
        <w:tc>
          <w:tcPr>
            <w:tcW w:type="dxa" w:w="6760"/>
            <w:shd w:fill="1F3A5F" w:val="clear"/>
            <w:tcMar>
              <w:top w:type="dxa" w:w="80"/>
              <w:left w:type="dxa" w:w="120"/>
              <w:bottom w:type="dxa" w:w="80"/>
              <w:right w:type="dxa" w:w="120"/>
            </w:tcMar>
            <w:vAlign w:val="center"/>
          </w:tcPr>
          <w:p>
            <w:pPr>
              <w:jc w:val="left"/>
            </w:pPr>
            <w:r>
              <w:rPr>
                <w:b/>
                <w:bCs/>
                <w:color w:val="FFFFFF"/>
              </w:rPr>
              <w:t xml:space="preserve">What it means, in plain terms</w:t>
            </w:r>
          </w:p>
        </w:tc>
      </w:tr>
      <w:tr>
        <w:trPr>
          <w:cantSplit/>
        </w:trPr>
        <w:tc>
          <w:tcPr>
            <w:tcW w:type="dxa" w:w="2600"/>
            <w:tcMar>
              <w:top w:type="dxa" w:w="80"/>
              <w:left w:type="dxa" w:w="120"/>
              <w:bottom w:type="dxa" w:w="80"/>
              <w:right w:type="dxa" w:w="120"/>
            </w:tcMar>
            <w:vAlign w:val="center"/>
          </w:tcPr>
          <w:p>
            <w:pPr>
              <w:jc w:val="left"/>
            </w:pPr>
            <w:r>
              <w:rPr>
                <w:b w:val="false"/>
                <w:bCs w:val="false"/>
              </w:rPr>
              <w:t xml:space="preserve">AI Copilot configuration (config.py)</w:t>
            </w:r>
          </w:p>
        </w:tc>
        <w:tc>
          <w:tcPr>
            <w:tcW w:type="dxa" w:w="6760"/>
            <w:tcMar>
              <w:top w:type="dxa" w:w="80"/>
              <w:left w:type="dxa" w:w="120"/>
              <w:bottom w:type="dxa" w:w="80"/>
              <w:right w:type="dxa" w:w="120"/>
            </w:tcMar>
            <w:vAlign w:val="center"/>
          </w:tcPr>
          <w:p>
            <w:pPr>
              <w:jc w:val="left"/>
            </w:pPr>
            <w:r>
              <w:rPr>
                <w:b w:val="false"/>
                <w:bCs w:val="false"/>
              </w:rPr>
              <w:t xml:space="preserve">One place for every setting the Copilot needs: the OpenAI key, mock mode, how often it checks ServiceNow, how long it keeps records, and how wide a time window it uses to match telemetry to an incident.</w:t>
            </w:r>
          </w:p>
        </w:tc>
      </w:tr>
      <w:tr>
        <w:trPr>
          <w:cantSplit/>
        </w:trPr>
        <w:tc>
          <w:tcPr>
            <w:tcW w:type="dxa" w:w="2600"/>
            <w:shd w:fill="EEF2F7" w:val="clear"/>
            <w:tcMar>
              <w:top w:type="dxa" w:w="80"/>
              <w:left w:type="dxa" w:w="120"/>
              <w:bottom w:type="dxa" w:w="80"/>
              <w:right w:type="dxa" w:w="120"/>
            </w:tcMar>
            <w:vAlign w:val="center"/>
          </w:tcPr>
          <w:p>
            <w:pPr>
              <w:jc w:val="left"/>
            </w:pPr>
            <w:r>
              <w:rPr>
                <w:b w:val="false"/>
                <w:bCs w:val="false"/>
              </w:rPr>
              <w:t xml:space="preserve">OpenAI API key</w:t>
            </w:r>
          </w:p>
        </w:tc>
        <w:tc>
          <w:tcPr>
            <w:tcW w:type="dxa" w:w="6760"/>
            <w:shd w:fill="EEF2F7" w:val="clear"/>
            <w:tcMar>
              <w:top w:type="dxa" w:w="80"/>
              <w:left w:type="dxa" w:w="120"/>
              <w:bottom w:type="dxa" w:w="80"/>
              <w:right w:type="dxa" w:w="120"/>
            </w:tcMar>
            <w:vAlign w:val="center"/>
          </w:tcPr>
          <w:p>
            <w:pPr>
              <w:jc w:val="left"/>
            </w:pPr>
            <w:r>
              <w:rPr>
                <w:b w:val="false"/>
                <w:bCs w:val="false"/>
              </w:rPr>
              <w:t xml:space="preserve">Stored the same safe way every other secret in this project is stored — in the environment file, never written into code.</w:t>
            </w:r>
          </w:p>
        </w:tc>
      </w:tr>
      <w:tr>
        <w:trPr>
          <w:cantSplit/>
        </w:trPr>
        <w:tc>
          <w:tcPr>
            <w:tcW w:type="dxa" w:w="2600"/>
            <w:tcMar>
              <w:top w:type="dxa" w:w="80"/>
              <w:left w:type="dxa" w:w="120"/>
              <w:bottom w:type="dxa" w:w="80"/>
              <w:right w:type="dxa" w:w="120"/>
            </w:tcMar>
            <w:vAlign w:val="center"/>
          </w:tcPr>
          <w:p>
            <w:pPr>
              <w:jc w:val="left"/>
            </w:pPr>
            <w:r>
              <w:rPr>
                <w:b w:val="false"/>
                <w:bCs w:val="false"/>
              </w:rPr>
              <w:t xml:space="preserve">Mock mode</w:t>
            </w:r>
          </w:p>
        </w:tc>
        <w:tc>
          <w:tcPr>
            <w:tcW w:type="dxa" w:w="6760"/>
            <w:tcMar>
              <w:top w:type="dxa" w:w="80"/>
              <w:left w:type="dxa" w:w="120"/>
              <w:bottom w:type="dxa" w:w="80"/>
              <w:right w:type="dxa" w:w="120"/>
            </w:tcMar>
            <w:vAlign w:val="center"/>
          </w:tcPr>
          <w:p>
            <w:pPr>
              <w:jc w:val="left"/>
            </w:pPr>
            <w:r>
              <w:rPr>
                <w:b w:val="false"/>
                <w:bCs w:val="false"/>
              </w:rPr>
              <w:t xml:space="preserve">A safe testing switch. When on, the Copilot behaves exactly the same way but never spends a real API call or touches the real ServiceNow instance.</w:t>
            </w:r>
          </w:p>
        </w:tc>
      </w:tr>
      <w:tr>
        <w:trPr>
          <w:cantSplit/>
        </w:trPr>
        <w:tc>
          <w:tcPr>
            <w:tcW w:type="dxa" w:w="2600"/>
            <w:shd w:fill="EEF2F7" w:val="clear"/>
            <w:tcMar>
              <w:top w:type="dxa" w:w="80"/>
              <w:left w:type="dxa" w:w="120"/>
              <w:bottom w:type="dxa" w:w="80"/>
              <w:right w:type="dxa" w:w="120"/>
            </w:tcMar>
            <w:vAlign w:val="center"/>
          </w:tcPr>
          <w:p>
            <w:pPr>
              <w:jc w:val="left"/>
            </w:pPr>
            <w:r>
              <w:rPr>
                <w:b w:val="false"/>
                <w:bCs w:val="false"/>
              </w:rPr>
              <w:t xml:space="preserve">Polling interval</w:t>
            </w:r>
          </w:p>
        </w:tc>
        <w:tc>
          <w:tcPr>
            <w:tcW w:type="dxa" w:w="6760"/>
            <w:shd w:fill="EEF2F7" w:val="clear"/>
            <w:tcMar>
              <w:top w:type="dxa" w:w="80"/>
              <w:left w:type="dxa" w:w="120"/>
              <w:bottom w:type="dxa" w:w="80"/>
              <w:right w:type="dxa" w:w="120"/>
            </w:tcMar>
            <w:vAlign w:val="center"/>
          </w:tcPr>
          <w:p>
            <w:pPr>
              <w:jc w:val="left"/>
            </w:pPr>
            <w:r>
              <w:rPr>
                <w:b w:val="false"/>
                <w:bCs w:val="false"/>
              </w:rPr>
              <w:t xml:space="preserve">How often the Copilot checks ServiceNow for new or changed incidents (default: every 30 seconds).</w:t>
            </w:r>
          </w:p>
        </w:tc>
      </w:tr>
      <w:tr>
        <w:trPr>
          <w:cantSplit/>
        </w:trPr>
        <w:tc>
          <w:tcPr>
            <w:tcW w:type="dxa" w:w="2600"/>
            <w:tcMar>
              <w:top w:type="dxa" w:w="80"/>
              <w:left w:type="dxa" w:w="120"/>
              <w:bottom w:type="dxa" w:w="80"/>
              <w:right w:type="dxa" w:w="120"/>
            </w:tcMar>
            <w:vAlign w:val="center"/>
          </w:tcPr>
          <w:p>
            <w:pPr>
              <w:jc w:val="left"/>
            </w:pPr>
            <w:r>
              <w:rPr>
                <w:b w:val="false"/>
                <w:bCs w:val="false"/>
              </w:rPr>
              <w:t xml:space="preserve">Retention configuration</w:t>
            </w:r>
          </w:p>
        </w:tc>
        <w:tc>
          <w:tcPr>
            <w:tcW w:type="dxa" w:w="6760"/>
            <w:tcMar>
              <w:top w:type="dxa" w:w="80"/>
              <w:left w:type="dxa" w:w="120"/>
              <w:bottom w:type="dxa" w:w="80"/>
              <w:right w:type="dxa" w:w="120"/>
            </w:tcMar>
            <w:vAlign w:val="center"/>
          </w:tcPr>
          <w:p>
            <w:pPr>
              <w:jc w:val="left"/>
            </w:pPr>
            <w:r>
              <w:rPr>
                <w:b w:val="false"/>
                <w:bCs w:val="false"/>
              </w:rPr>
              <w:t xml:space="preserve">How many days of detailed investigation records are kept before old ones are automatically deleted (default: 30 days).</w:t>
            </w:r>
          </w:p>
        </w:tc>
      </w:tr>
      <w:tr>
        <w:trPr>
          <w:cantSplit/>
        </w:trPr>
        <w:tc>
          <w:tcPr>
            <w:tcW w:type="dxa" w:w="2600"/>
            <w:shd w:fill="EEF2F7" w:val="clear"/>
            <w:tcMar>
              <w:top w:type="dxa" w:w="80"/>
              <w:left w:type="dxa" w:w="120"/>
              <w:bottom w:type="dxa" w:w="80"/>
              <w:right w:type="dxa" w:w="120"/>
            </w:tcMar>
            <w:vAlign w:val="center"/>
          </w:tcPr>
          <w:p>
            <w:pPr>
              <w:jc w:val="left"/>
            </w:pPr>
            <w:r>
              <w:rPr>
                <w:b w:val="false"/>
                <w:bCs w:val="false"/>
              </w:rPr>
              <w:t xml:space="preserve">Telemetry correlation window</w:t>
            </w:r>
          </w:p>
        </w:tc>
        <w:tc>
          <w:tcPr>
            <w:tcW w:type="dxa" w:w="6760"/>
            <w:shd w:fill="EEF2F7" w:val="clear"/>
            <w:tcMar>
              <w:top w:type="dxa" w:w="80"/>
              <w:left w:type="dxa" w:w="120"/>
              <w:bottom w:type="dxa" w:w="80"/>
              <w:right w:type="dxa" w:w="120"/>
            </w:tcMar>
            <w:vAlign w:val="center"/>
          </w:tcPr>
          <w:p>
            <w:pPr>
              <w:jc w:val="left"/>
            </w:pPr>
            <w:r>
              <w:rPr>
                <w:b w:val="false"/>
                <w:bCs w:val="false"/>
              </w:rPr>
              <w:t xml:space="preserve">How far back and forward in time the Copilot is allowed to look for matching Prometheus/Loki evidence around an incident (default: 15 minutes, based on the widest real alert rule in this project).</w:t>
            </w:r>
          </w:p>
        </w:tc>
      </w:tr>
      <w:tr>
        <w:trPr>
          <w:cantSplit/>
        </w:trPr>
        <w:tc>
          <w:tcPr>
            <w:tcW w:type="dxa" w:w="2600"/>
            <w:tcMar>
              <w:top w:type="dxa" w:w="80"/>
              <w:left w:type="dxa" w:w="120"/>
              <w:bottom w:type="dxa" w:w="80"/>
              <w:right w:type="dxa" w:w="120"/>
            </w:tcMar>
            <w:vAlign w:val="center"/>
          </w:tcPr>
          <w:p>
            <w:pPr>
              <w:jc w:val="left"/>
            </w:pPr>
            <w:r>
              <w:rPr>
                <w:b w:val="false"/>
                <w:bCs w:val="false"/>
              </w:rPr>
              <w:t xml:space="preserve">Grounding notes</w:t>
            </w:r>
          </w:p>
        </w:tc>
        <w:tc>
          <w:tcPr>
            <w:tcW w:type="dxa" w:w="6760"/>
            <w:tcMar>
              <w:top w:type="dxa" w:w="80"/>
              <w:left w:type="dxa" w:w="120"/>
              <w:bottom w:type="dxa" w:w="80"/>
              <w:right w:type="dxa" w:w="120"/>
            </w:tcMar>
            <w:vAlign w:val="center"/>
          </w:tcPr>
          <w:p>
            <w:pPr>
              <w:jc w:val="left"/>
            </w:pPr>
            <w:r>
              <w:rPr>
                <w:b w:val="false"/>
                <w:bCs w:val="false"/>
              </w:rPr>
              <w:t xml:space="preserve">A short, version-numbered file that tells the AI important facts about this project it must never get wrong — for example, that NetBox is refreshed from CSV files and is not an independent source of truth.</w:t>
            </w:r>
          </w:p>
        </w:tc>
      </w:tr>
      <w:tr>
        <w:trPr>
          <w:cantSplit/>
        </w:trPr>
        <w:tc>
          <w:tcPr>
            <w:tcW w:type="dxa" w:w="2600"/>
            <w:shd w:fill="EEF2F7" w:val="clear"/>
            <w:tcMar>
              <w:top w:type="dxa" w:w="80"/>
              <w:left w:type="dxa" w:w="120"/>
              <w:bottom w:type="dxa" w:w="80"/>
              <w:right w:type="dxa" w:w="120"/>
            </w:tcMar>
            <w:vAlign w:val="center"/>
          </w:tcPr>
          <w:p>
            <w:pPr>
              <w:jc w:val="left"/>
            </w:pPr>
            <w:r>
              <w:rPr>
                <w:b w:val="false"/>
                <w:bCs w:val="false"/>
              </w:rPr>
              <w:t xml:space="preserve">NWAP incident filtering</w:t>
            </w:r>
          </w:p>
        </w:tc>
        <w:tc>
          <w:tcPr>
            <w:tcW w:type="dxa" w:w="6760"/>
            <w:shd w:fill="EEF2F7" w:val="clear"/>
            <w:tcMar>
              <w:top w:type="dxa" w:w="80"/>
              <w:left w:type="dxa" w:w="120"/>
              <w:bottom w:type="dxa" w:w="80"/>
              <w:right w:type="dxa" w:w="120"/>
            </w:tcMar>
            <w:vAlign w:val="center"/>
          </w:tcPr>
          <w:p>
            <w:pPr>
              <w:jc w:val="left"/>
            </w:pPr>
            <w:r>
              <w:rPr>
                <w:b w:val="false"/>
                <w:bCs w:val="false"/>
              </w:rPr>
              <w:t xml:space="preserve">The rule that makes sure the Copilot only ever looks at incidents this platform itself created (see Section 6).</w:t>
            </w:r>
          </w:p>
        </w:tc>
      </w:tr>
      <w:tr>
        <w:trPr>
          <w:cantSplit/>
        </w:trPr>
        <w:tc>
          <w:tcPr>
            <w:tcW w:type="dxa" w:w="2600"/>
            <w:tcMar>
              <w:top w:type="dxa" w:w="80"/>
              <w:left w:type="dxa" w:w="120"/>
              <w:bottom w:type="dxa" w:w="80"/>
              <w:right w:type="dxa" w:w="120"/>
            </w:tcMar>
            <w:vAlign w:val="center"/>
          </w:tcPr>
          <w:p>
            <w:pPr>
              <w:jc w:val="left"/>
            </w:pPr>
            <w:r>
              <w:rPr>
                <w:b w:val="false"/>
                <w:bCs w:val="false"/>
              </w:rPr>
              <w:t xml:space="preserve">Deterministic tool boundaries</w:t>
            </w:r>
          </w:p>
        </w:tc>
        <w:tc>
          <w:tcPr>
            <w:tcW w:type="dxa" w:w="6760"/>
            <w:tcMar>
              <w:top w:type="dxa" w:w="80"/>
              <w:left w:type="dxa" w:w="120"/>
              <w:bottom w:type="dxa" w:w="80"/>
              <w:right w:type="dxa" w:w="120"/>
            </w:tcMar>
            <w:vAlign w:val="center"/>
          </w:tcPr>
          <w:p>
            <w:pPr>
              <w:jc w:val="left"/>
            </w:pPr>
            <w:r>
              <w:rPr>
                <w:b w:val="false"/>
                <w:bCs w:val="false"/>
              </w:rPr>
              <w:t xml:space="preserve">Five small, single-purpose modules — one each for NetBox, Prometheus, Loki, ServiceNow, and Maintenance Mode — each one only allowed to do a fixed, approved, read-only job.</w:t>
            </w:r>
          </w:p>
        </w:tc>
      </w:tr>
      <w:tr>
        <w:trPr>
          <w:cantSplit/>
        </w:trPr>
        <w:tc>
          <w:tcPr>
            <w:tcW w:type="dxa" w:w="2600"/>
            <w:shd w:fill="EEF2F7" w:val="clear"/>
            <w:tcMar>
              <w:top w:type="dxa" w:w="80"/>
              <w:left w:type="dxa" w:w="120"/>
              <w:bottom w:type="dxa" w:w="80"/>
              <w:right w:type="dxa" w:w="120"/>
            </w:tcMar>
            <w:vAlign w:val="center"/>
          </w:tcPr>
          <w:p>
            <w:pPr>
              <w:jc w:val="left"/>
            </w:pPr>
            <w:r>
              <w:rPr>
                <w:b w:val="false"/>
                <w:bCs w:val="false"/>
              </w:rPr>
              <w:t xml:space="preserve">EvidenceBundle schema</w:t>
            </w:r>
          </w:p>
        </w:tc>
        <w:tc>
          <w:tcPr>
            <w:tcW w:type="dxa" w:w="6760"/>
            <w:shd w:fill="EEF2F7" w:val="clear"/>
            <w:tcMar>
              <w:top w:type="dxa" w:w="80"/>
              <w:left w:type="dxa" w:w="120"/>
              <w:bottom w:type="dxa" w:w="80"/>
              <w:right w:type="dxa" w:w="120"/>
            </w:tcMar>
            <w:vAlign w:val="center"/>
          </w:tcPr>
          <w:p>
            <w:pPr>
              <w:jc w:val="left"/>
            </w:pPr>
            <w:r>
              <w:rPr>
                <w:b w:val="false"/>
                <w:bCs w:val="false"/>
              </w:rPr>
              <w:t xml:space="preserve">A fixed, structured record of everything collected about one incident, so nothing loose or unstructured ever reaches the LLM.</w:t>
            </w:r>
          </w:p>
        </w:tc>
      </w:tr>
      <w:tr>
        <w:trPr>
          <w:cantSplit/>
        </w:trPr>
        <w:tc>
          <w:tcPr>
            <w:tcW w:type="dxa" w:w="2600"/>
            <w:tcMar>
              <w:top w:type="dxa" w:w="80"/>
              <w:left w:type="dxa" w:w="120"/>
              <w:bottom w:type="dxa" w:w="80"/>
              <w:right w:type="dxa" w:w="120"/>
            </w:tcMar>
            <w:vAlign w:val="center"/>
          </w:tcPr>
          <w:p>
            <w:pPr>
              <w:jc w:val="left"/>
            </w:pPr>
            <w:r>
              <w:rPr>
                <w:b w:val="false"/>
                <w:bCs w:val="false"/>
              </w:rPr>
              <w:t xml:space="preserve">Audit design</w:t>
            </w:r>
          </w:p>
        </w:tc>
        <w:tc>
          <w:tcPr>
            <w:tcW w:type="dxa" w:w="6760"/>
            <w:tcMar>
              <w:top w:type="dxa" w:w="80"/>
              <w:left w:type="dxa" w:w="120"/>
              <w:bottom w:type="dxa" w:w="80"/>
              <w:right w:type="dxa" w:w="120"/>
            </w:tcMar>
            <w:vAlign w:val="center"/>
          </w:tcPr>
          <w:p>
            <w:pPr>
              <w:jc w:val="left"/>
            </w:pPr>
            <w:r>
              <w:rPr>
                <w:b w:val="false"/>
                <w:bCs w:val="false"/>
              </w:rPr>
              <w:t xml:space="preserve">Two separate storage layers so every action can be reconstructed later (see Section 13).</w:t>
            </w:r>
          </w:p>
        </w:tc>
      </w:tr>
      <w:tr>
        <w:trPr>
          <w:cantSplit/>
        </w:trPr>
        <w:tc>
          <w:tcPr>
            <w:tcW w:type="dxa" w:w="2600"/>
            <w:shd w:fill="EEF2F7" w:val="clear"/>
            <w:tcMar>
              <w:top w:type="dxa" w:w="80"/>
              <w:left w:type="dxa" w:w="120"/>
              <w:bottom w:type="dxa" w:w="80"/>
              <w:right w:type="dxa" w:w="120"/>
            </w:tcMar>
            <w:vAlign w:val="center"/>
          </w:tcPr>
          <w:p>
            <w:pPr>
              <w:jc w:val="left"/>
            </w:pPr>
            <w:r>
              <w:rPr>
                <w:b w:val="false"/>
                <w:bCs w:val="false"/>
              </w:rPr>
              <w:t xml:space="preserve">Run storage</w:t>
            </w:r>
          </w:p>
        </w:tc>
        <w:tc>
          <w:tcPr>
            <w:tcW w:type="dxa" w:w="6760"/>
            <w:shd w:fill="EEF2F7" w:val="clear"/>
            <w:tcMar>
              <w:top w:type="dxa" w:w="80"/>
              <w:left w:type="dxa" w:w="120"/>
              <w:bottom w:type="dxa" w:w="80"/>
              <w:right w:type="dxa" w:w="120"/>
            </w:tcMar>
            <w:vAlign w:val="center"/>
          </w:tcPr>
          <w:p>
            <w:pPr>
              <w:jc w:val="left"/>
            </w:pPr>
            <w:r>
              <w:rPr>
                <w:b w:val="false"/>
                <w:bCs w:val="false"/>
              </w:rPr>
              <w:t xml:space="preserve">A detailed, timestamped record of each individual investigation, kept separately from the lightweight audit log.</w:t>
            </w:r>
          </w:p>
        </w:tc>
      </w:tr>
      <w:tr>
        <w:trPr>
          <w:cantSplit/>
        </w:trPr>
        <w:tc>
          <w:tcPr>
            <w:tcW w:type="dxa" w:w="2600"/>
            <w:tcMar>
              <w:top w:type="dxa" w:w="80"/>
              <w:left w:type="dxa" w:w="120"/>
              <w:bottom w:type="dxa" w:w="80"/>
              <w:right w:type="dxa" w:w="120"/>
            </w:tcMar>
            <w:vAlign w:val="center"/>
          </w:tcPr>
          <w:p>
            <w:pPr>
              <w:jc w:val="left"/>
            </w:pPr>
            <w:r>
              <w:rPr>
                <w:b w:val="false"/>
                <w:bCs w:val="false"/>
              </w:rPr>
              <w:t xml:space="preserve">Docker runtime</w:t>
            </w:r>
          </w:p>
        </w:tc>
        <w:tc>
          <w:tcPr>
            <w:tcW w:type="dxa" w:w="6760"/>
            <w:tcMar>
              <w:top w:type="dxa" w:w="80"/>
              <w:left w:type="dxa" w:w="120"/>
              <w:bottom w:type="dxa" w:w="80"/>
              <w:right w:type="dxa" w:w="120"/>
            </w:tcMar>
            <w:vAlign w:val="center"/>
          </w:tcPr>
          <w:p>
            <w:pPr>
              <w:jc w:val="left"/>
            </w:pPr>
            <w:r>
              <w:rPr>
                <w:b w:val="false"/>
                <w:bCs w:val="false"/>
              </w:rPr>
              <w:t xml:space="preserve">A dedicated container for the AI Copilot, built the right way for the tools it needs (see Section 14).</w:t>
            </w:r>
          </w:p>
        </w:tc>
      </w:tr>
      <w:tr>
        <w:trPr>
          <w:cantSplit/>
        </w:trPr>
        <w:tc>
          <w:tcPr>
            <w:tcW w:type="dxa" w:w="2600"/>
            <w:shd w:fill="EEF2F7" w:val="clear"/>
            <w:tcMar>
              <w:top w:type="dxa" w:w="80"/>
              <w:left w:type="dxa" w:w="120"/>
              <w:bottom w:type="dxa" w:w="80"/>
              <w:right w:type="dxa" w:w="120"/>
            </w:tcMar>
            <w:vAlign w:val="center"/>
          </w:tcPr>
          <w:p>
            <w:pPr>
              <w:jc w:val="left"/>
            </w:pPr>
            <w:r>
              <w:rPr>
                <w:b w:val="false"/>
                <w:bCs w:val="false"/>
              </w:rPr>
              <w:t xml:space="preserve">Redaction utility</w:t>
            </w:r>
          </w:p>
        </w:tc>
        <w:tc>
          <w:tcPr>
            <w:tcW w:type="dxa" w:w="6760"/>
            <w:shd w:fill="EEF2F7" w:val="clear"/>
            <w:tcMar>
              <w:top w:type="dxa" w:w="80"/>
              <w:left w:type="dxa" w:w="120"/>
              <w:bottom w:type="dxa" w:w="80"/>
              <w:right w:type="dxa" w:w="120"/>
            </w:tcMar>
            <w:vAlign w:val="center"/>
          </w:tcPr>
          <w:p>
            <w:pPr>
              <w:jc w:val="left"/>
            </w:pPr>
            <w:r>
              <w:rPr>
                <w:b w:val="false"/>
                <w:bCs w:val="false"/>
              </w:rPr>
              <w:t xml:space="preserve">A safety filter that strips out anything that looks like a password or secret token before it is ever stored or sent anywhere.</w:t>
            </w:r>
          </w:p>
        </w:tc>
      </w:tr>
      <w:tr>
        <w:trPr>
          <w:cantSplit/>
        </w:trPr>
        <w:tc>
          <w:tcPr>
            <w:tcW w:type="dxa" w:w="2600"/>
            <w:tcMar>
              <w:top w:type="dxa" w:w="80"/>
              <w:left w:type="dxa" w:w="120"/>
              <w:bottom w:type="dxa" w:w="80"/>
              <w:right w:type="dxa" w:w="120"/>
            </w:tcMar>
            <w:vAlign w:val="center"/>
          </w:tcPr>
          <w:p>
            <w:pPr>
              <w:jc w:val="left"/>
            </w:pPr>
            <w:r>
              <w:rPr>
                <w:b w:val="false"/>
                <w:bCs w:val="false"/>
              </w:rPr>
              <w:t xml:space="preserve">Single-instance enforcement</w:t>
            </w:r>
          </w:p>
        </w:tc>
        <w:tc>
          <w:tcPr>
            <w:tcW w:type="dxa" w:w="6760"/>
            <w:tcMar>
              <w:top w:type="dxa" w:w="80"/>
              <w:left w:type="dxa" w:w="120"/>
              <w:bottom w:type="dxa" w:w="80"/>
              <w:right w:type="dxa" w:w="120"/>
            </w:tcMar>
            <w:vAlign w:val="center"/>
          </w:tcPr>
          <w:p>
            <w:pPr>
              <w:jc w:val="left"/>
            </w:pPr>
            <w:r>
              <w:rPr>
                <w:b w:val="false"/>
                <w:bCs w:val="false"/>
              </w:rPr>
              <w:t xml:space="preserve">A guarantee that only one copy of the Copilot ever runs at a time, so the same incident is never investigated twice at once.</w:t>
            </w:r>
          </w:p>
        </w:tc>
      </w:tr>
      <w:tr>
        <w:trPr>
          <w:cantSplit/>
        </w:trPr>
        <w:tc>
          <w:tcPr>
            <w:tcW w:type="dxa" w:w="2600"/>
            <w:shd w:fill="EEF2F7" w:val="clear"/>
            <w:tcMar>
              <w:top w:type="dxa" w:w="80"/>
              <w:left w:type="dxa" w:w="120"/>
              <w:bottom w:type="dxa" w:w="80"/>
              <w:right w:type="dxa" w:w="120"/>
            </w:tcMar>
            <w:vAlign w:val="center"/>
          </w:tcPr>
          <w:p>
            <w:pPr>
              <w:jc w:val="left"/>
            </w:pPr>
            <w:r>
              <w:rPr>
                <w:b w:val="false"/>
                <w:bCs w:val="false"/>
              </w:rPr>
              <w:t xml:space="preserve">Rate and cost controls</w:t>
            </w:r>
          </w:p>
        </w:tc>
        <w:tc>
          <w:tcPr>
            <w:tcW w:type="dxa" w:w="6760"/>
            <w:shd w:fill="EEF2F7" w:val="clear"/>
            <w:tcMar>
              <w:top w:type="dxa" w:w="80"/>
              <w:left w:type="dxa" w:w="120"/>
              <w:bottom w:type="dxa" w:w="80"/>
              <w:right w:type="dxa" w:w="120"/>
            </w:tcMar>
            <w:vAlign w:val="center"/>
          </w:tcPr>
          <w:p>
            <w:pPr>
              <w:jc w:val="left"/>
            </w:pPr>
            <w:r>
              <w:rPr>
                <w:b w:val="false"/>
                <w:bCs w:val="false"/>
              </w:rPr>
              <w:t xml:space="preserve">Limits on how often and how many times the AI can be called, to protect against cost and against an alert storm overwhelming the system.</w:t>
            </w:r>
          </w:p>
        </w:tc>
      </w:tr>
      <w:tr>
        <w:trPr>
          <w:cantSplit/>
        </w:trPr>
        <w:tc>
          <w:tcPr>
            <w:tcW w:type="dxa" w:w="2600"/>
            <w:tcMar>
              <w:top w:type="dxa" w:w="80"/>
              <w:left w:type="dxa" w:w="120"/>
              <w:bottom w:type="dxa" w:w="80"/>
              <w:right w:type="dxa" w:w="120"/>
            </w:tcMar>
            <w:vAlign w:val="center"/>
          </w:tcPr>
          <w:p>
            <w:pPr>
              <w:jc w:val="left"/>
            </w:pPr>
            <w:r>
              <w:rPr>
                <w:b w:val="false"/>
                <w:bCs w:val="false"/>
              </w:rPr>
              <w:t xml:space="preserve">CI forbidden-write guard</w:t>
            </w:r>
          </w:p>
        </w:tc>
        <w:tc>
          <w:tcPr>
            <w:tcW w:type="dxa" w:w="6760"/>
            <w:tcMar>
              <w:top w:type="dxa" w:w="80"/>
              <w:left w:type="dxa" w:w="120"/>
              <w:bottom w:type="dxa" w:w="80"/>
              <w:right w:type="dxa" w:w="120"/>
            </w:tcMar>
            <w:vAlign w:val="center"/>
          </w:tcPr>
          <w:p>
            <w:pPr>
              <w:jc w:val="left"/>
            </w:pPr>
            <w:r>
              <w:rPr>
                <w:b w:val="false"/>
                <w:bCs w:val="false"/>
              </w:rPr>
              <w:t xml:space="preserve">An automatic test that fails the build if anyone ever adds code that could write something other than a work note.</w:t>
            </w:r>
          </w:p>
        </w:tc>
      </w:tr>
      <w:tr>
        <w:trPr>
          <w:cantSplit/>
        </w:trPr>
        <w:tc>
          <w:tcPr>
            <w:tcW w:type="dxa" w:w="2600"/>
            <w:shd w:fill="EEF2F7" w:val="clear"/>
            <w:tcMar>
              <w:top w:type="dxa" w:w="80"/>
              <w:left w:type="dxa" w:w="120"/>
              <w:bottom w:type="dxa" w:w="80"/>
              <w:right w:type="dxa" w:w="120"/>
            </w:tcMar>
            <w:vAlign w:val="center"/>
          </w:tcPr>
          <w:p>
            <w:pPr>
              <w:jc w:val="left"/>
            </w:pPr>
            <w:r>
              <w:rPr>
                <w:b w:val="false"/>
                <w:bCs w:val="false"/>
              </w:rPr>
              <w:t xml:space="preserve">Live verification</w:t>
            </w:r>
          </w:p>
        </w:tc>
        <w:tc>
          <w:tcPr>
            <w:tcW w:type="dxa" w:w="6760"/>
            <w:shd w:fill="EEF2F7" w:val="clear"/>
            <w:tcMar>
              <w:top w:type="dxa" w:w="80"/>
              <w:left w:type="dxa" w:w="120"/>
              <w:bottom w:type="dxa" w:w="80"/>
              <w:right w:type="dxa" w:w="120"/>
            </w:tcMar>
            <w:vAlign w:val="center"/>
          </w:tcPr>
          <w:p>
            <w:pPr>
              <w:jc w:val="left"/>
            </w:pPr>
            <w:r>
              <w:rPr>
                <w:b w:val="false"/>
                <w:bCs w:val="false"/>
              </w:rPr>
              <w:t xml:space="preserve">A one-time, 10-minute manual check against the real ServiceNow instance, confirming that (a) the ServiceNow update-counter field behaves as expected, and (b) work notes are append-only, not editable in place — both facts the rest of this design depends on.</w:t>
            </w:r>
          </w:p>
        </w:tc>
      </w:tr>
    </w:tbl>
    <w:p>
      <w:pPr>
        <w:pStyle w:val="Heading2"/>
        <w:spacing w:after="130" w:before="260"/>
      </w:pPr>
      <w:r>
        <w:t xml:space="preserve">Exit criteria for Phase 0</w:t>
      </w:r>
    </w:p>
    <w:p>
      <w:pPr>
        <w:pStyle w:val="ListParagraph"/>
        <w:numPr>
          <w:ilvl w:val="0"/>
          <w:numId w:val="2"/>
        </w:numPr>
        <w:spacing w:after="90" w:line="276"/>
      </w:pPr>
      <w:r>
        <w:t xml:space="preserve">The live verification check above has been performed and confirmed.</w:t>
      </w:r>
    </w:p>
    <w:p>
      <w:pPr>
        <w:pStyle w:val="ListParagraph"/>
        <w:numPr>
          <w:ilvl w:val="0"/>
          <w:numId w:val="2"/>
        </w:numPr>
        <w:spacing w:after="90" w:line="276"/>
      </w:pPr>
      <w:r>
        <w:t xml:space="preserve">The redaction utility exists and is tested before any real evidence is ever collected.</w:t>
      </w:r>
    </w:p>
    <w:p>
      <w:pPr>
        <w:pStyle w:val="ListParagraph"/>
        <w:numPr>
          <w:ilvl w:val="0"/>
          <w:numId w:val="2"/>
        </w:numPr>
        <w:spacing w:after="90" w:line="276"/>
      </w:pPr>
      <w:r>
        <w:t xml:space="preserve">The CI forbidden-write guard exists before Phase 1B is ever switched on.</w:t>
      </w:r>
    </w:p>
    <w:p>
      <w:r>
        <w:br w:type="page"/>
      </w:r>
    </w:p>
    <w:p>
      <w:pPr>
        <w:pStyle w:val="Heading1"/>
        <w:spacing w:after="180" w:before="380"/>
      </w:pPr>
      <w:r>
        <w:t xml:space="preserve">5. Phase 1A — Network Incident Investigation Copilot (Shadow Mode)</w:t>
      </w:r>
    </w:p>
    <w:p>
      <w:pPr>
        <w:spacing w:after="150" w:line="276"/>
      </w:pPr>
      <w:r>
        <w:t xml:space="preserve">This is the core of the whole plan. In Shadow Mode, the AI investigates real incidents and writes down what it finds — but it never posts anything back to ServiceNow. A human reads its output separately. This lets everyone see whether the AI is actually useful and accurate before it is trusted to write anywhere.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A7B8" w:sz="6"/>
              <w:left w:val="single" w:color="9AA7B8" w:sz="6"/>
              <w:bottom w:val="single" w:color="9AA7B8" w:sz="6"/>
              <w:right w:val="single" w:color="9AA7B8" w:sz="6"/>
            </w:tcBorders>
            <w:shd w:fill="F4F6F9" w:val="clear"/>
            <w:tcMar>
              <w:top w:type="dxa" w:w="140"/>
              <w:left w:type="dxa" w:w="160"/>
              <w:bottom w:type="dxa" w:w="140"/>
              <w:right w:type="dxa" w:w="160"/>
            </w:tcMar>
          </w:tcPr>
          <w:p>
            <w:pPr>
              <w:spacing w:after="0" w:line="240"/>
            </w:pPr>
            <w:r>
              <w:rPr>
                <w:rFonts w:ascii="Consolas" w:cs="Consolas" w:eastAsia="Consolas" w:hAnsi="Consolas"/>
                <w:b/>
                <w:bCs/>
                <w:color w:val="1B1B1F"/>
                <w:sz w:val="19"/>
                <w:szCs w:val="19"/>
              </w:rPr>
              <w:t xml:space="preserve">NWAP Monitoring Incident</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ServiceNow</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AI Copilot Poller</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NWAP Incident Filter</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Change / Idempotency Check</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Deterministic Evidence Collection</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Evidence Quality Classification</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LLM Investigation</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Structured Investigation Output</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Audit + Run Storage</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NO ServiceNow Write</w:t>
            </w:r>
          </w:p>
        </w:tc>
      </w:tr>
    </w:tbl>
    <w:p>
      <w:pPr>
        <w:pStyle w:val="Heading2"/>
        <w:spacing w:after="130" w:before="260"/>
      </w:pPr>
      <w:r>
        <w:t xml:space="preserve">What each step does</w:t>
      </w:r>
    </w:p>
    <w:p>
      <w:pPr>
        <w:pStyle w:val="ListParagraph"/>
        <w:numPr>
          <w:ilvl w:val="0"/>
          <w:numId w:val="2"/>
        </w:numPr>
        <w:spacing w:after="90" w:line="276"/>
      </w:pPr>
      <w:r>
        <w:t xml:space="preserve">NWAP Monitoring Incident → ServiceNow: unchanged. This is the existing pipeline (Prometheus, Alertmanager, ServiceNow) working exactly as it does today.</w:t>
      </w:r>
    </w:p>
    <w:p>
      <w:pPr>
        <w:pStyle w:val="ListParagraph"/>
        <w:numPr>
          <w:ilvl w:val="0"/>
          <w:numId w:val="2"/>
        </w:numPr>
        <w:spacing w:after="90" w:line="276"/>
      </w:pPr>
      <w:r>
        <w:t xml:space="preserve">AI Copilot Poller: wakes up on a timer and checks ServiceNow for incidents worth looking at.</w:t>
      </w:r>
    </w:p>
    <w:p>
      <w:pPr>
        <w:pStyle w:val="ListParagraph"/>
        <w:numPr>
          <w:ilvl w:val="0"/>
          <w:numId w:val="2"/>
        </w:numPr>
        <w:spacing w:after="90" w:line="276"/>
      </w:pPr>
      <w:r>
        <w:t xml:space="preserve">NWAP Incident Filter: throws away anything that isn't a real NWAP-created incident (Section 6).</w:t>
      </w:r>
    </w:p>
    <w:p>
      <w:pPr>
        <w:pStyle w:val="ListParagraph"/>
        <w:numPr>
          <w:ilvl w:val="0"/>
          <w:numId w:val="2"/>
        </w:numPr>
        <w:spacing w:after="90" w:line="276"/>
      </w:pPr>
      <w:r>
        <w:t xml:space="preserve">Change / Idempotency Check: makes sure the Copilot only investigates when something genuinely new or meaningfully different has happened (Section 7).</w:t>
      </w:r>
    </w:p>
    <w:p>
      <w:pPr>
        <w:pStyle w:val="ListParagraph"/>
        <w:numPr>
          <w:ilvl w:val="0"/>
          <w:numId w:val="2"/>
        </w:numPr>
        <w:spacing w:after="90" w:line="276"/>
      </w:pPr>
      <w:r>
        <w:t xml:space="preserve">Deterministic Evidence Collection: Python code — not the AI — fetches the facts, in a fixed order, from ServiceNow, NetBox, Prometheus, and Loki (Section 8).</w:t>
      </w:r>
    </w:p>
    <w:p>
      <w:pPr>
        <w:pStyle w:val="ListParagraph"/>
        <w:numPr>
          <w:ilvl w:val="0"/>
          <w:numId w:val="2"/>
        </w:numPr>
        <w:spacing w:after="90" w:line="276"/>
      </w:pPr>
      <w:r>
        <w:t xml:space="preserve">Evidence Quality Classification: Python decides, before the AI is even called, how trustworthy the collected evidence actually is (Section 9).</w:t>
      </w:r>
    </w:p>
    <w:p>
      <w:pPr>
        <w:pStyle w:val="ListParagraph"/>
        <w:numPr>
          <w:ilvl w:val="0"/>
          <w:numId w:val="2"/>
        </w:numPr>
        <w:spacing w:after="90" w:line="276"/>
      </w:pPr>
      <w:r>
        <w:t xml:space="preserve">LLM Investigation: one single, controlled call to OpenAI, using only the evidence Python already collected (Section 10).</w:t>
      </w:r>
    </w:p>
    <w:p>
      <w:pPr>
        <w:pStyle w:val="ListParagraph"/>
        <w:numPr>
          <w:ilvl w:val="0"/>
          <w:numId w:val="2"/>
        </w:numPr>
        <w:spacing w:after="90" w:line="276"/>
      </w:pPr>
      <w:r>
        <w:t xml:space="preserve">Structured Investigation Output: the AI's answer, in a fixed, checkable format — not free-form text.</w:t>
      </w:r>
    </w:p>
    <w:p>
      <w:pPr>
        <w:pStyle w:val="ListParagraph"/>
        <w:numPr>
          <w:ilvl w:val="0"/>
          <w:numId w:val="2"/>
        </w:numPr>
        <w:spacing w:after="90" w:line="276"/>
      </w:pPr>
      <w:r>
        <w:t xml:space="preserve">Audit + Run Storage: everything that happened is written down, twice, in two different levels of detail (Section 13).</w:t>
      </w:r>
    </w:p>
    <w:p>
      <w:pPr>
        <w:pStyle w:val="ListParagraph"/>
        <w:numPr>
          <w:ilvl w:val="0"/>
          <w:numId w:val="2"/>
        </w:numPr>
        <w:spacing w:after="90" w:line="276"/>
      </w:pPr>
      <w:r>
        <w:t xml:space="preserve">No ServiceNow Write: in Phase 1A, the process stops here. Nothing is ever posted back to the ticket.</w:t>
      </w:r>
    </w:p>
    <w:p>
      <w:pPr>
        <w:pStyle w:val="Heading2"/>
        <w:spacing w:after="130" w:before="260"/>
      </w:pPr>
      <w:r>
        <w:t xml:space="preserve">The components involved, and what each one does</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2400"/>
        <w:gridCol w:w="6960"/>
      </w:tblGrid>
      <w:tr>
        <w:trPr>
          <w:cantSplit/>
          <w:tblHeader/>
        </w:trPr>
        <w:tc>
          <w:tcPr>
            <w:tcW w:type="dxa" w:w="2400"/>
            <w:shd w:fill="1F3A5F" w:val="clear"/>
            <w:tcMar>
              <w:top w:type="dxa" w:w="80"/>
              <w:left w:type="dxa" w:w="120"/>
              <w:bottom w:type="dxa" w:w="80"/>
              <w:right w:type="dxa" w:w="120"/>
            </w:tcMar>
            <w:vAlign w:val="center"/>
          </w:tcPr>
          <w:p>
            <w:pPr>
              <w:jc w:val="left"/>
            </w:pPr>
            <w:r>
              <w:rPr>
                <w:b/>
                <w:bCs/>
                <w:color w:val="FFFFFF"/>
              </w:rPr>
              <w:t xml:space="preserve">Component</w:t>
            </w:r>
          </w:p>
        </w:tc>
        <w:tc>
          <w:tcPr>
            <w:tcW w:type="dxa" w:w="6960"/>
            <w:shd w:fill="1F3A5F" w:val="clear"/>
            <w:tcMar>
              <w:top w:type="dxa" w:w="80"/>
              <w:left w:type="dxa" w:w="120"/>
              <w:bottom w:type="dxa" w:w="80"/>
              <w:right w:type="dxa" w:w="120"/>
            </w:tcMar>
            <w:vAlign w:val="center"/>
          </w:tcPr>
          <w:p>
            <w:pPr>
              <w:jc w:val="left"/>
            </w:pPr>
            <w:r>
              <w:rPr>
                <w:b/>
                <w:bCs/>
                <w:color w:val="FFFFFF"/>
              </w:rPr>
              <w:t xml:space="preserve">What it does</w:t>
            </w:r>
          </w:p>
        </w:tc>
      </w:tr>
      <w:tr>
        <w:trPr>
          <w:cantSplit/>
        </w:trPr>
        <w:tc>
          <w:tcPr>
            <w:tcW w:type="dxa" w:w="2400"/>
            <w:tcMar>
              <w:top w:type="dxa" w:w="80"/>
              <w:left w:type="dxa" w:w="120"/>
              <w:bottom w:type="dxa" w:w="80"/>
              <w:right w:type="dxa" w:w="120"/>
            </w:tcMar>
            <w:vAlign w:val="center"/>
          </w:tcPr>
          <w:p>
            <w:pPr>
              <w:jc w:val="left"/>
            </w:pPr>
            <w:r>
              <w:rPr>
                <w:b w:val="false"/>
                <w:bCs w:val="false"/>
              </w:rPr>
              <w:t xml:space="preserve">poller.py</w:t>
            </w:r>
          </w:p>
        </w:tc>
        <w:tc>
          <w:tcPr>
            <w:tcW w:type="dxa" w:w="6960"/>
            <w:tcMar>
              <w:top w:type="dxa" w:w="80"/>
              <w:left w:type="dxa" w:w="120"/>
              <w:bottom w:type="dxa" w:w="80"/>
              <w:right w:type="dxa" w:w="120"/>
            </w:tcMar>
            <w:vAlign w:val="center"/>
          </w:tcPr>
          <w:p>
            <w:pPr>
              <w:jc w:val="left"/>
            </w:pPr>
            <w:r>
              <w:rPr>
                <w:b w:val="false"/>
                <w:bCs w:val="false"/>
              </w:rPr>
              <w:t xml:space="preserve">The engine that wakes up on a timer, checks ServiceNow, and decides which incidents need a fresh look.</w:t>
            </w:r>
          </w:p>
        </w:tc>
      </w:tr>
      <w:tr>
        <w:trPr>
          <w:cantSplit/>
        </w:trPr>
        <w:tc>
          <w:tcPr>
            <w:tcW w:type="dxa" w:w="2400"/>
            <w:shd w:fill="EEF2F7" w:val="clear"/>
            <w:tcMar>
              <w:top w:type="dxa" w:w="80"/>
              <w:left w:type="dxa" w:w="120"/>
              <w:bottom w:type="dxa" w:w="80"/>
              <w:right w:type="dxa" w:w="120"/>
            </w:tcMar>
            <w:vAlign w:val="center"/>
          </w:tcPr>
          <w:p>
            <w:pPr>
              <w:jc w:val="left"/>
            </w:pPr>
            <w:r>
              <w:rPr>
                <w:b w:val="false"/>
                <w:bCs w:val="false"/>
              </w:rPr>
              <w:t xml:space="preserve">servicenow_tool.py</w:t>
            </w:r>
          </w:p>
        </w:tc>
        <w:tc>
          <w:tcPr>
            <w:tcW w:type="dxa" w:w="6960"/>
            <w:shd w:fill="EEF2F7" w:val="clear"/>
            <w:tcMar>
              <w:top w:type="dxa" w:w="80"/>
              <w:left w:type="dxa" w:w="120"/>
              <w:bottom w:type="dxa" w:w="80"/>
              <w:right w:type="dxa" w:w="120"/>
            </w:tcMar>
            <w:vAlign w:val="center"/>
          </w:tcPr>
          <w:p>
            <w:pPr>
              <w:jc w:val="left"/>
            </w:pPr>
            <w:r>
              <w:rPr>
                <w:b w:val="false"/>
                <w:bCs w:val="false"/>
              </w:rPr>
              <w:t xml:space="preserve">Reads one incident's full details from ServiceNow. Read-only.</w:t>
            </w:r>
          </w:p>
        </w:tc>
      </w:tr>
      <w:tr>
        <w:trPr>
          <w:cantSplit/>
        </w:trPr>
        <w:tc>
          <w:tcPr>
            <w:tcW w:type="dxa" w:w="2400"/>
            <w:tcMar>
              <w:top w:type="dxa" w:w="80"/>
              <w:left w:type="dxa" w:w="120"/>
              <w:bottom w:type="dxa" w:w="80"/>
              <w:right w:type="dxa" w:w="120"/>
            </w:tcMar>
            <w:vAlign w:val="center"/>
          </w:tcPr>
          <w:p>
            <w:pPr>
              <w:jc w:val="left"/>
            </w:pPr>
            <w:r>
              <w:rPr>
                <w:b w:val="false"/>
                <w:bCs w:val="false"/>
              </w:rPr>
              <w:t xml:space="preserve">netbox_tool.py</w:t>
            </w:r>
          </w:p>
        </w:tc>
        <w:tc>
          <w:tcPr>
            <w:tcW w:type="dxa" w:w="6960"/>
            <w:tcMar>
              <w:top w:type="dxa" w:w="80"/>
              <w:left w:type="dxa" w:w="120"/>
              <w:bottom w:type="dxa" w:w="80"/>
              <w:right w:type="dxa" w:w="120"/>
            </w:tcMar>
            <w:vAlign w:val="center"/>
          </w:tcPr>
          <w:p>
            <w:pPr>
              <w:jc w:val="left"/>
            </w:pPr>
            <w:r>
              <w:rPr>
                <w:b w:val="false"/>
                <w:bCs w:val="false"/>
              </w:rPr>
              <w:t xml:space="preserve">Looks up a device's record in NetBox. Read-only.</w:t>
            </w:r>
          </w:p>
        </w:tc>
      </w:tr>
      <w:tr>
        <w:trPr>
          <w:cantSplit/>
        </w:trPr>
        <w:tc>
          <w:tcPr>
            <w:tcW w:type="dxa" w:w="2400"/>
            <w:shd w:fill="EEF2F7" w:val="clear"/>
            <w:tcMar>
              <w:top w:type="dxa" w:w="80"/>
              <w:left w:type="dxa" w:w="120"/>
              <w:bottom w:type="dxa" w:w="80"/>
              <w:right w:type="dxa" w:w="120"/>
            </w:tcMar>
            <w:vAlign w:val="center"/>
          </w:tcPr>
          <w:p>
            <w:pPr>
              <w:jc w:val="left"/>
            </w:pPr>
            <w:r>
              <w:rPr>
                <w:b w:val="false"/>
                <w:bCs w:val="false"/>
              </w:rPr>
              <w:t xml:space="preserve">prometheus_tool.py</w:t>
            </w:r>
          </w:p>
        </w:tc>
        <w:tc>
          <w:tcPr>
            <w:tcW w:type="dxa" w:w="6960"/>
            <w:shd w:fill="EEF2F7" w:val="clear"/>
            <w:tcMar>
              <w:top w:type="dxa" w:w="80"/>
              <w:left w:type="dxa" w:w="120"/>
              <w:bottom w:type="dxa" w:w="80"/>
              <w:right w:type="dxa" w:w="120"/>
            </w:tcMar>
            <w:vAlign w:val="center"/>
          </w:tcPr>
          <w:p>
            <w:pPr>
              <w:jc w:val="left"/>
            </w:pPr>
            <w:r>
              <w:rPr>
                <w:b w:val="false"/>
                <w:bCs w:val="false"/>
              </w:rPr>
              <w:t xml:space="preserve">Fetches recent metrics (like CPU, memory, interface status) for a device and time window. Read-only.</w:t>
            </w:r>
          </w:p>
        </w:tc>
      </w:tr>
      <w:tr>
        <w:trPr>
          <w:cantSplit/>
        </w:trPr>
        <w:tc>
          <w:tcPr>
            <w:tcW w:type="dxa" w:w="2400"/>
            <w:tcMar>
              <w:top w:type="dxa" w:w="80"/>
              <w:left w:type="dxa" w:w="120"/>
              <w:bottom w:type="dxa" w:w="80"/>
              <w:right w:type="dxa" w:w="120"/>
            </w:tcMar>
            <w:vAlign w:val="center"/>
          </w:tcPr>
          <w:p>
            <w:pPr>
              <w:jc w:val="left"/>
            </w:pPr>
            <w:r>
              <w:rPr>
                <w:b w:val="false"/>
                <w:bCs w:val="false"/>
              </w:rPr>
              <w:t xml:space="preserve">loki_tool.py</w:t>
            </w:r>
          </w:p>
        </w:tc>
        <w:tc>
          <w:tcPr>
            <w:tcW w:type="dxa" w:w="6960"/>
            <w:tcMar>
              <w:top w:type="dxa" w:w="80"/>
              <w:left w:type="dxa" w:w="120"/>
              <w:bottom w:type="dxa" w:w="80"/>
              <w:right w:type="dxa" w:w="120"/>
            </w:tcMar>
            <w:vAlign w:val="center"/>
          </w:tcPr>
          <w:p>
            <w:pPr>
              <w:jc w:val="left"/>
            </w:pPr>
            <w:r>
              <w:rPr>
                <w:b w:val="false"/>
                <w:bCs w:val="false"/>
              </w:rPr>
              <w:t xml:space="preserve">Fetches recent log lines for a device and time window. Read-only.</w:t>
            </w:r>
          </w:p>
        </w:tc>
      </w:tr>
      <w:tr>
        <w:trPr>
          <w:cantSplit/>
        </w:trPr>
        <w:tc>
          <w:tcPr>
            <w:tcW w:type="dxa" w:w="2400"/>
            <w:shd w:fill="EEF2F7" w:val="clear"/>
            <w:tcMar>
              <w:top w:type="dxa" w:w="80"/>
              <w:left w:type="dxa" w:w="120"/>
              <w:bottom w:type="dxa" w:w="80"/>
              <w:right w:type="dxa" w:w="120"/>
            </w:tcMar>
            <w:vAlign w:val="center"/>
          </w:tcPr>
          <w:p>
            <w:pPr>
              <w:jc w:val="left"/>
            </w:pPr>
            <w:r>
              <w:rPr>
                <w:b w:val="false"/>
                <w:bCs w:val="false"/>
              </w:rPr>
              <w:t xml:space="preserve">maintenance_tool.py</w:t>
            </w:r>
          </w:p>
        </w:tc>
        <w:tc>
          <w:tcPr>
            <w:tcW w:type="dxa" w:w="6960"/>
            <w:shd w:fill="EEF2F7" w:val="clear"/>
            <w:tcMar>
              <w:top w:type="dxa" w:w="80"/>
              <w:left w:type="dxa" w:w="120"/>
              <w:bottom w:type="dxa" w:w="80"/>
              <w:right w:type="dxa" w:w="120"/>
            </w:tcMar>
            <w:vAlign w:val="center"/>
          </w:tcPr>
          <w:p>
            <w:pPr>
              <w:jc w:val="left"/>
            </w:pPr>
            <w:r>
              <w:rPr>
                <w:b w:val="false"/>
                <w:bCs w:val="false"/>
              </w:rPr>
              <w:t xml:space="preserve">Checks whether the device or site was under a planned maintenance window. Read-only.</w:t>
            </w:r>
          </w:p>
        </w:tc>
      </w:tr>
      <w:tr>
        <w:trPr>
          <w:cantSplit/>
        </w:trPr>
        <w:tc>
          <w:tcPr>
            <w:tcW w:type="dxa" w:w="2400"/>
            <w:tcMar>
              <w:top w:type="dxa" w:w="80"/>
              <w:left w:type="dxa" w:w="120"/>
              <w:bottom w:type="dxa" w:w="80"/>
              <w:right w:type="dxa" w:w="120"/>
            </w:tcMar>
            <w:vAlign w:val="center"/>
          </w:tcPr>
          <w:p>
            <w:pPr>
              <w:jc w:val="left"/>
            </w:pPr>
            <w:r>
              <w:rPr>
                <w:b w:val="false"/>
                <w:bCs w:val="false"/>
              </w:rPr>
              <w:t xml:space="preserve">evidence.py</w:t>
            </w:r>
          </w:p>
        </w:tc>
        <w:tc>
          <w:tcPr>
            <w:tcW w:type="dxa" w:w="6960"/>
            <w:tcMar>
              <w:top w:type="dxa" w:w="80"/>
              <w:left w:type="dxa" w:w="120"/>
              <w:bottom w:type="dxa" w:w="80"/>
              <w:right w:type="dxa" w:w="120"/>
            </w:tcMar>
            <w:vAlign w:val="center"/>
          </w:tcPr>
          <w:p>
            <w:pPr>
              <w:jc w:val="left"/>
            </w:pPr>
            <w:r>
              <w:rPr>
                <w:b w:val="false"/>
                <w:bCs w:val="false"/>
              </w:rPr>
              <w:t xml:space="preserve">Defines the fixed, structured shape that all the collected evidence must fit into before anything is sent to the AI.</w:t>
            </w:r>
          </w:p>
        </w:tc>
      </w:tr>
      <w:tr>
        <w:trPr>
          <w:cantSplit/>
        </w:trPr>
        <w:tc>
          <w:tcPr>
            <w:tcW w:type="dxa" w:w="2400"/>
            <w:shd w:fill="EEF2F7" w:val="clear"/>
            <w:tcMar>
              <w:top w:type="dxa" w:w="80"/>
              <w:left w:type="dxa" w:w="120"/>
              <w:bottom w:type="dxa" w:w="80"/>
              <w:right w:type="dxa" w:w="120"/>
            </w:tcMar>
            <w:vAlign w:val="center"/>
          </w:tcPr>
          <w:p>
            <w:pPr>
              <w:jc w:val="left"/>
            </w:pPr>
            <w:r>
              <w:rPr>
                <w:b w:val="false"/>
                <w:bCs w:val="false"/>
              </w:rPr>
              <w:t xml:space="preserve">orchestrator.py</w:t>
            </w:r>
          </w:p>
        </w:tc>
        <w:tc>
          <w:tcPr>
            <w:tcW w:type="dxa" w:w="6960"/>
            <w:shd w:fill="EEF2F7" w:val="clear"/>
            <w:tcMar>
              <w:top w:type="dxa" w:w="80"/>
              <w:left w:type="dxa" w:w="120"/>
              <w:bottom w:type="dxa" w:w="80"/>
              <w:right w:type="dxa" w:w="120"/>
            </w:tcMar>
            <w:vAlign w:val="center"/>
          </w:tcPr>
          <w:p>
            <w:pPr>
              <w:jc w:val="left"/>
            </w:pPr>
            <w:r>
              <w:rPr>
                <w:b w:val="false"/>
                <w:bCs w:val="false"/>
              </w:rPr>
              <w:t xml:space="preserve">The conductor: puts the evidence together, works out the Evidence Quality, calls the AI once, and checks the AI's answer makes sense.</w:t>
            </w:r>
          </w:p>
        </w:tc>
      </w:tr>
      <w:tr>
        <w:trPr>
          <w:cantSplit/>
        </w:trPr>
        <w:tc>
          <w:tcPr>
            <w:tcW w:type="dxa" w:w="2400"/>
            <w:tcMar>
              <w:top w:type="dxa" w:w="80"/>
              <w:left w:type="dxa" w:w="120"/>
              <w:bottom w:type="dxa" w:w="80"/>
              <w:right w:type="dxa" w:w="120"/>
            </w:tcMar>
            <w:vAlign w:val="center"/>
          </w:tcPr>
          <w:p>
            <w:pPr>
              <w:jc w:val="left"/>
            </w:pPr>
            <w:r>
              <w:rPr>
                <w:b w:val="false"/>
                <w:bCs w:val="false"/>
              </w:rPr>
              <w:t xml:space="preserve">OpenAI API</w:t>
            </w:r>
          </w:p>
        </w:tc>
        <w:tc>
          <w:tcPr>
            <w:tcW w:type="dxa" w:w="6960"/>
            <w:tcMar>
              <w:top w:type="dxa" w:w="80"/>
              <w:left w:type="dxa" w:w="120"/>
              <w:bottom w:type="dxa" w:w="80"/>
              <w:right w:type="dxa" w:w="120"/>
            </w:tcMar>
            <w:vAlign w:val="center"/>
          </w:tcPr>
          <w:p>
            <w:pPr>
              <w:jc w:val="left"/>
            </w:pPr>
            <w:r>
              <w:rPr>
                <w:b w:val="false"/>
                <w:bCs w:val="false"/>
              </w:rPr>
              <w:t xml:space="preserve">The external AI service that reads the evidence and writes the investigation summary.</w:t>
            </w:r>
          </w:p>
        </w:tc>
      </w:tr>
      <w:tr>
        <w:trPr>
          <w:cantSplit/>
        </w:trPr>
        <w:tc>
          <w:tcPr>
            <w:tcW w:type="dxa" w:w="2400"/>
            <w:shd w:fill="EEF2F7" w:val="clear"/>
            <w:tcMar>
              <w:top w:type="dxa" w:w="80"/>
              <w:left w:type="dxa" w:w="120"/>
              <w:bottom w:type="dxa" w:w="80"/>
              <w:right w:type="dxa" w:w="120"/>
            </w:tcMar>
            <w:vAlign w:val="center"/>
          </w:tcPr>
          <w:p>
            <w:pPr>
              <w:jc w:val="left"/>
            </w:pPr>
            <w:r>
              <w:rPr>
                <w:b w:val="false"/>
                <w:bCs w:val="false"/>
              </w:rPr>
              <w:t xml:space="preserve">audit_log.py</w:t>
            </w:r>
          </w:p>
        </w:tc>
        <w:tc>
          <w:tcPr>
            <w:tcW w:type="dxa" w:w="6960"/>
            <w:shd w:fill="EEF2F7" w:val="clear"/>
            <w:tcMar>
              <w:top w:type="dxa" w:w="80"/>
              <w:left w:type="dxa" w:w="120"/>
              <w:bottom w:type="dxa" w:w="80"/>
              <w:right w:type="dxa" w:w="120"/>
            </w:tcMar>
            <w:vAlign w:val="center"/>
          </w:tcPr>
          <w:p>
            <w:pPr>
              <w:jc w:val="left"/>
            </w:pPr>
            <w:r>
              <w:rPr>
                <w:b w:val="false"/>
                <w:bCs w:val="false"/>
              </w:rPr>
              <w:t xml:space="preserve">Writes the short, always-on record of what happened (Tier 1).</w:t>
            </w:r>
          </w:p>
        </w:tc>
      </w:tr>
      <w:tr>
        <w:trPr>
          <w:cantSplit/>
        </w:trPr>
        <w:tc>
          <w:tcPr>
            <w:tcW w:type="dxa" w:w="2400"/>
            <w:tcMar>
              <w:top w:type="dxa" w:w="80"/>
              <w:left w:type="dxa" w:w="120"/>
              <w:bottom w:type="dxa" w:w="80"/>
              <w:right w:type="dxa" w:w="120"/>
            </w:tcMar>
            <w:vAlign w:val="center"/>
          </w:tcPr>
          <w:p>
            <w:pPr>
              <w:jc w:val="left"/>
            </w:pPr>
            <w:r>
              <w:rPr>
                <w:b w:val="false"/>
                <w:bCs w:val="false"/>
              </w:rPr>
              <w:t xml:space="preserve">run_store.py</w:t>
            </w:r>
          </w:p>
        </w:tc>
        <w:tc>
          <w:tcPr>
            <w:tcW w:type="dxa" w:w="6960"/>
            <w:tcMar>
              <w:top w:type="dxa" w:w="80"/>
              <w:left w:type="dxa" w:w="120"/>
              <w:bottom w:type="dxa" w:w="80"/>
              <w:right w:type="dxa" w:w="120"/>
            </w:tcMar>
            <w:vAlign w:val="center"/>
          </w:tcPr>
          <w:p>
            <w:pPr>
              <w:jc w:val="left"/>
            </w:pPr>
            <w:r>
              <w:rPr>
                <w:b w:val="false"/>
                <w:bCs w:val="false"/>
              </w:rPr>
              <w:t xml:space="preserve">Writes the full, detailed record of one investigation (Tier 2).</w:t>
            </w:r>
          </w:p>
        </w:tc>
      </w:tr>
    </w:tbl>
    <w:p>
      <w:r>
        <w:br w:type="page"/>
      </w:r>
    </w:p>
    <w:p>
      <w:pPr>
        <w:pStyle w:val="Heading1"/>
        <w:spacing w:after="180" w:before="380"/>
      </w:pPr>
      <w:r>
        <w:t xml:space="preserve">6. NWAP Incident Identification</w:t>
      </w:r>
    </w:p>
    <w:p>
      <w:pPr>
        <w:spacing w:after="150" w:line="276"/>
      </w:pPr>
      <w:r>
        <w:t xml:space="preserve">ServiceNow is a general ticketing system. It can hold all kinds of tickets — not just network alerts. The AI Copilot must never accidentally read or investigate a ticket that has nothing to do with NWAP, such as a printer problem or an HR request.</w:t>
      </w:r>
    </w:p>
    <w:p>
      <w:pPr>
        <w:spacing w:after="150" w:line="276"/>
      </w:pPr>
      <w:r>
        <w:t xml:space="preserve">To prevent this, every incident the Copilot looks at must pass this exact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A7B8" w:sz="6"/>
              <w:left w:val="single" w:color="9AA7B8" w:sz="6"/>
              <w:bottom w:val="single" w:color="9AA7B8" w:sz="6"/>
              <w:right w:val="single" w:color="9AA7B8" w:sz="6"/>
            </w:tcBorders>
            <w:shd w:fill="F4F6F9" w:val="clear"/>
            <w:tcMar>
              <w:top w:type="dxa" w:w="140"/>
              <w:left w:type="dxa" w:w="160"/>
              <w:bottom w:type="dxa" w:w="140"/>
              <w:right w:type="dxa" w:w="160"/>
            </w:tcMar>
          </w:tcPr>
          <w:p>
            <w:pPr>
              <w:spacing w:after="0" w:line="240"/>
            </w:pPr>
            <w:r>
              <w:rPr>
                <w:rFonts w:ascii="Consolas" w:cs="Consolas" w:eastAsia="Consolas" w:hAnsi="Consolas"/>
                <w:b/>
                <w:bCs/>
                <w:color w:val="1B1B1F"/>
                <w:sz w:val="19"/>
                <w:szCs w:val="19"/>
              </w:rPr>
              <w:t xml:space="preserve">contact_type = monitoring</w:t>
            </w:r>
          </w:p>
          <w:p>
            <w:pPr>
              <w:spacing w:after="0" w:line="240"/>
            </w:pPr>
            <w:r>
              <w:rPr>
                <w:rFonts w:ascii="Consolas" w:cs="Consolas" w:eastAsia="Consolas" w:hAnsi="Consolas"/>
                <w:b/>
                <w:bCs/>
                <w:color w:val="1B1B1F"/>
                <w:sz w:val="19"/>
                <w:szCs w:val="19"/>
              </w:rPr>
              <w:t xml:space="preserve">u_alert_fingerprint IS NOT EMPTY</w:t>
            </w:r>
          </w:p>
        </w:tc>
      </w:tr>
    </w:tbl>
    <w:p>
      <w:pPr>
        <w:spacing w:after="150" w:line="276"/>
      </w:pPr>
      <w:r>
        <w:t xml:space="preserve">Both of these fields are set only by this platform's own alert-to-incident code, when it creates a ticket from a real Prometheus alert. No manually created ticket, and nothing else in ServiceNow, ever sets both of these fields together. If an incident does not match this filter, the AI Copilot never sees it — it is never fetched, never has evidence collected for it, and is never sent to the AI model.</w:t>
      </w:r>
    </w:p>
    <w:p>
      <w:r>
        <w:br w:type="page"/>
      </w:r>
    </w:p>
    <w:p>
      <w:pPr>
        <w:pStyle w:val="Heading1"/>
        <w:spacing w:after="180" w:before="380"/>
      </w:pPr>
      <w:r>
        <w:t xml:space="preserve">7. Idempotency and Re-analysis Logic</w:t>
      </w:r>
    </w:p>
    <w:p>
      <w:pPr>
        <w:spacing w:after="150" w:line="276"/>
      </w:pPr>
      <w:r>
        <w:t xml:space="preserve">"Idempotent" simply means: doing the same check twice should not cause extra, unwanted work. This section explains exactly what makes the AI Copilot decide to investigate an incident again, and what it deliberately ignores.</w:t>
      </w:r>
    </w:p>
    <w:p>
      <w:pPr>
        <w:pStyle w:val="Heading2"/>
        <w:spacing w:after="130" w:before="260"/>
      </w:pPr>
      <w:r>
        <w:t xml:space="preserve">Two separate checks</w:t>
      </w:r>
    </w:p>
    <w:p>
      <w:pPr>
        <w:pStyle w:val="Heading3"/>
        <w:spacing w:after="100" w:before="200"/>
      </w:pPr>
      <w:r>
        <w:t xml:space="preserve">Check 1 — Did anything change at all? (sys_mod_count)</w:t>
      </w:r>
    </w:p>
    <w:p>
      <w:pPr>
        <w:spacing w:after="150" w:line="276"/>
      </w:pPr>
      <w:r>
        <w:t xml:space="preserve">ServiceNow keeps a simple update counter on every record, called sys_mod_count. It goes up by exactly one every time the record is saved, for any reason. The Copilot uses this as a cheap first check: if the counter hasn't moved since the last time it looked, there is nothing new to even consider, and it moves on.</w:t>
      </w:r>
    </w:p>
    <w:p>
      <w:pPr>
        <w:pStyle w:val="Heading3"/>
        <w:spacing w:after="100" w:before="200"/>
      </w:pPr>
      <w:r>
        <w:t xml:space="preserve">Check 2 — Did anything worth investigating actually change? (the analysis signature)</w:t>
      </w:r>
    </w:p>
    <w:p>
      <w:pPr>
        <w:spacing w:after="150" w:line="276"/>
      </w:pPr>
      <w:r>
        <w:t xml:space="preserve">Not every save is meaningful. ServiceNow's own automatic rules can update a ticket's priority without any new diagnostic information at all — this has actually happened on this project's own ServiceNow instance. So the Copilot builds a second, more careful fingerprint, based only on the fields that genuinely reflect new information about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A7B8" w:sz="6"/>
              <w:left w:val="single" w:color="9AA7B8" w:sz="6"/>
              <w:bottom w:val="single" w:color="9AA7B8" w:sz="6"/>
              <w:right w:val="single" w:color="9AA7B8" w:sz="6"/>
            </w:tcBorders>
            <w:shd w:fill="F4F6F9" w:val="clear"/>
            <w:tcMar>
              <w:top w:type="dxa" w:w="140"/>
              <w:left w:type="dxa" w:w="160"/>
              <w:bottom w:type="dxa" w:w="140"/>
              <w:right w:type="dxa" w:w="160"/>
            </w:tcMar>
          </w:tcPr>
          <w:p>
            <w:pPr>
              <w:spacing w:after="0" w:line="240"/>
            </w:pPr>
            <w:r>
              <w:rPr>
                <w:rFonts w:ascii="Consolas" w:cs="Consolas" w:eastAsia="Consolas" w:hAnsi="Consolas"/>
                <w:b/>
                <w:bCs/>
                <w:color w:val="1B1B1F"/>
                <w:sz w:val="19"/>
                <w:szCs w:val="19"/>
              </w:rPr>
              <w:t xml:space="preserve">analysis_signature  =  fingerprint of:</w:t>
            </w:r>
          </w:p>
          <w:p>
            <w:pPr>
              <w:spacing w:after="0" w:line="240"/>
            </w:pPr>
            <w:r>
              <w:rPr>
                <w:rFonts w:ascii="Consolas" w:cs="Consolas" w:eastAsia="Consolas" w:hAnsi="Consolas"/>
                <w:b/>
                <w:bCs/>
                <w:color w:val="1B1B1F"/>
                <w:sz w:val="19"/>
                <w:szCs w:val="19"/>
              </w:rPr>
              <w:t xml:space="preserve">    • state</w:t>
            </w:r>
          </w:p>
          <w:p>
            <w:pPr>
              <w:spacing w:after="0" w:line="240"/>
            </w:pPr>
            <w:r>
              <w:rPr>
                <w:rFonts w:ascii="Consolas" w:cs="Consolas" w:eastAsia="Consolas" w:hAnsi="Consolas"/>
                <w:b/>
                <w:bCs/>
                <w:color w:val="1B1B1F"/>
                <w:sz w:val="19"/>
                <w:szCs w:val="19"/>
              </w:rPr>
              <w:t xml:space="preserve">    • work_notes  (excluding any note the AI itself posted)</w:t>
            </w:r>
          </w:p>
          <w:p>
            <w:pPr>
              <w:spacing w:after="0" w:line="240"/>
            </w:pPr>
            <w:r>
              <w:rPr>
                <w:rFonts w:ascii="Consolas" w:cs="Consolas" w:eastAsia="Consolas" w:hAnsi="Consolas"/>
                <w:b/>
                <w:bCs/>
                <w:color w:val="1B1B1F"/>
                <w:sz w:val="19"/>
                <w:szCs w:val="19"/>
              </w:rPr>
              <w:t xml:space="preserve">    • close_notes</w:t>
            </w:r>
          </w:p>
        </w:tc>
      </w:tr>
    </w:tbl>
    <w:p>
      <w:pPr>
        <w:spacing w:after="150" w:line="276"/>
      </w:pPr>
      <w:r>
        <w:t xml:space="preserve">state changes because it reflects a real event in the incident's life — the alert firing again, or the problem being resolved. work_notes changes because it is the only way a human can add new diagnostic information without changing the state. close_notes is included because that is where the actual reason for resolving an incident is recorded, and it can sometimes be corrected after the fact without the state changing again.</w:t>
      </w:r>
    </w:p>
    <w:p>
      <w:pPr>
        <w:spacing w:after="150" w:line="276"/>
      </w:pPr>
      <w:r>
        <w:t xml:space="preserve">Deliberately left out: priority, assignment group, and the short description. These can change for purely administrative reasons and carry no new diagnostic evidence — including them would cause the AI to re-investigate for no real reason, exactly the kind of noise this fingerprint is designed to ignore.</w:t>
      </w:r>
    </w:p>
    <w:p>
      <w:pPr>
        <w:pStyle w:val="Heading2"/>
        <w:spacing w:after="130" w:before="260"/>
      </w:pPr>
      <w:r>
        <w:t xml:space="preserve">The cooldown — what it is, and what it is not</w:t>
      </w:r>
    </w:p>
    <w:p>
      <w:pPr>
        <w:pBdr>
          <w:left w:val="single" w:color="A6690A" w:sz="18"/>
        </w:pBdr>
        <w:shd w:fill="F4F6F9" w:val="clear"/>
        <w:spacing w:after="180" w:before="90"/>
        <w:ind w:left="120"/>
      </w:pPr>
      <w:r>
        <w:rPr>
          <w:b/>
          <w:bCs/>
          <w:color w:val="A6690A"/>
        </w:rPr>
        <w:t xml:space="preserve">Important: </w:t>
      </w:r>
      <w:r>
        <w:t xml:space="preserve">The cooldown is a cost-control and rate-control mechanism. It is NOT a way of detecting whether an update is actually relevant.</w:t>
      </w:r>
    </w:p>
    <w:p>
      <w:pPr>
        <w:spacing w:after="150" w:line="276"/>
      </w:pPr>
      <w:r>
        <w:t xml:space="preserve">The Copilot will not investigate the same incident more than once every few minutes (5 minutes by default), no matter how many times its fingerprint changes in that window. This is a deliberate, accepted trade-off for this phase of the project: an unrelated, purely administrative update can still cause exactly one unnecessary re-investigation inside a single cooldown window — but never more than one, and never repeatedly. Building a smarter filter that tries to guess which comments are "important" was considered and rejected: it would either need a second AI call (defeating the purpose of the cooldown) or a simple keyword rule that risks silently ignoring a genuinely important comment, which would be a worse outcome than the occasional harmless extra investigation.</w:t>
      </w:r>
    </w:p>
    <w:p>
      <w:r>
        <w:br w:type="page"/>
      </w:r>
    </w:p>
    <w:p>
      <w:pPr>
        <w:pStyle w:val="Heading1"/>
        <w:spacing w:after="180" w:before="380"/>
      </w:pPr>
      <w:r>
        <w:t xml:space="preserve">8. Deterministic Evidence Collection</w:t>
      </w:r>
    </w:p>
    <w:p>
      <w:pPr>
        <w:spacing w:after="150" w:line="276"/>
      </w:pPr>
      <w:r>
        <w:t xml:space="preserve">In this project, the AI never decides for itself which systems to check. A fixed, predictable sequence of Python code does all the fetching, in the same order, every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A7B8" w:sz="6"/>
              <w:left w:val="single" w:color="9AA7B8" w:sz="6"/>
              <w:bottom w:val="single" w:color="9AA7B8" w:sz="6"/>
              <w:right w:val="single" w:color="9AA7B8" w:sz="6"/>
            </w:tcBorders>
            <w:shd w:fill="F4F6F9" w:val="clear"/>
            <w:tcMar>
              <w:top w:type="dxa" w:w="140"/>
              <w:left w:type="dxa" w:w="160"/>
              <w:bottom w:type="dxa" w:w="140"/>
              <w:right w:type="dxa" w:w="160"/>
            </w:tcMar>
          </w:tcPr>
          <w:p>
            <w:pPr>
              <w:spacing w:after="0" w:line="240"/>
            </w:pPr>
            <w:r>
              <w:rPr>
                <w:rFonts w:ascii="Consolas" w:cs="Consolas" w:eastAsia="Consolas" w:hAnsi="Consolas"/>
                <w:b/>
                <w:bCs/>
                <w:color w:val="1B1B1F"/>
                <w:sz w:val="19"/>
                <w:szCs w:val="19"/>
              </w:rPr>
              <w:t xml:space="preserve">ServiceNow</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NetBox</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Prometheus</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Loki</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Maintenance Mode</w:t>
            </w:r>
          </w:p>
        </w:tc>
      </w:tr>
    </w:tbl>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2000"/>
        <w:gridCol w:w="7360"/>
      </w:tblGrid>
      <w:tr>
        <w:trPr>
          <w:cantSplit/>
          <w:tblHeader/>
        </w:trPr>
        <w:tc>
          <w:tcPr>
            <w:tcW w:type="dxa" w:w="2000"/>
            <w:shd w:fill="1F3A5F" w:val="clear"/>
            <w:tcMar>
              <w:top w:type="dxa" w:w="80"/>
              <w:left w:type="dxa" w:w="120"/>
              <w:bottom w:type="dxa" w:w="80"/>
              <w:right w:type="dxa" w:w="120"/>
            </w:tcMar>
            <w:vAlign w:val="center"/>
          </w:tcPr>
          <w:p>
            <w:pPr>
              <w:jc w:val="left"/>
            </w:pPr>
            <w:r>
              <w:rPr>
                <w:b/>
                <w:bCs/>
                <w:color w:val="FFFFFF"/>
              </w:rPr>
              <w:t xml:space="preserve">Source</w:t>
            </w:r>
          </w:p>
        </w:tc>
        <w:tc>
          <w:tcPr>
            <w:tcW w:type="dxa" w:w="7360"/>
            <w:shd w:fill="1F3A5F" w:val="clear"/>
            <w:tcMar>
              <w:top w:type="dxa" w:w="80"/>
              <w:left w:type="dxa" w:w="120"/>
              <w:bottom w:type="dxa" w:w="80"/>
              <w:right w:type="dxa" w:w="120"/>
            </w:tcMar>
            <w:vAlign w:val="center"/>
          </w:tcPr>
          <w:p>
            <w:pPr>
              <w:jc w:val="left"/>
            </w:pPr>
            <w:r>
              <w:rPr>
                <w:b/>
                <w:bCs/>
                <w:color w:val="FFFFFF"/>
              </w:rPr>
              <w:t xml:space="preserve">What it provides</w:t>
            </w:r>
          </w:p>
        </w:tc>
      </w:tr>
      <w:tr>
        <w:trPr>
          <w:cantSplit/>
        </w:trPr>
        <w:tc>
          <w:tcPr>
            <w:tcW w:type="dxa" w:w="2000"/>
            <w:tcMar>
              <w:top w:type="dxa" w:w="80"/>
              <w:left w:type="dxa" w:w="120"/>
              <w:bottom w:type="dxa" w:w="80"/>
              <w:right w:type="dxa" w:w="120"/>
            </w:tcMar>
            <w:vAlign w:val="center"/>
          </w:tcPr>
          <w:p>
            <w:pPr>
              <w:jc w:val="left"/>
            </w:pPr>
            <w:r>
              <w:rPr>
                <w:b w:val="false"/>
                <w:bCs w:val="false"/>
              </w:rPr>
              <w:t xml:space="preserve">ServiceNow</w:t>
            </w:r>
          </w:p>
        </w:tc>
        <w:tc>
          <w:tcPr>
            <w:tcW w:type="dxa" w:w="7360"/>
            <w:tcMar>
              <w:top w:type="dxa" w:w="80"/>
              <w:left w:type="dxa" w:w="120"/>
              <w:bottom w:type="dxa" w:w="80"/>
              <w:right w:type="dxa" w:w="120"/>
            </w:tcMar>
            <w:vAlign w:val="center"/>
          </w:tcPr>
          <w:p>
            <w:pPr>
              <w:jc w:val="left"/>
            </w:pPr>
            <w:r>
              <w:rPr>
                <w:b w:val="false"/>
                <w:bCs w:val="false"/>
              </w:rPr>
              <w:t xml:space="preserve">The incident's own fields — what alert fired, on which device, when, and its current status.</w:t>
            </w:r>
          </w:p>
        </w:tc>
      </w:tr>
      <w:tr>
        <w:trPr>
          <w:cantSplit/>
        </w:trPr>
        <w:tc>
          <w:tcPr>
            <w:tcW w:type="dxa" w:w="2000"/>
            <w:shd w:fill="EEF2F7" w:val="clear"/>
            <w:tcMar>
              <w:top w:type="dxa" w:w="80"/>
              <w:left w:type="dxa" w:w="120"/>
              <w:bottom w:type="dxa" w:w="80"/>
              <w:right w:type="dxa" w:w="120"/>
            </w:tcMar>
            <w:vAlign w:val="center"/>
          </w:tcPr>
          <w:p>
            <w:pPr>
              <w:jc w:val="left"/>
            </w:pPr>
            <w:r>
              <w:rPr>
                <w:b w:val="false"/>
                <w:bCs w:val="false"/>
              </w:rPr>
              <w:t xml:space="preserve">NetBox</w:t>
            </w:r>
          </w:p>
        </w:tc>
        <w:tc>
          <w:tcPr>
            <w:tcW w:type="dxa" w:w="7360"/>
            <w:shd w:fill="EEF2F7" w:val="clear"/>
            <w:tcMar>
              <w:top w:type="dxa" w:w="80"/>
              <w:left w:type="dxa" w:w="120"/>
              <w:bottom w:type="dxa" w:w="80"/>
              <w:right w:type="dxa" w:w="120"/>
            </w:tcMar>
            <w:vAlign w:val="center"/>
          </w:tcPr>
          <w:p>
            <w:pPr>
              <w:jc w:val="left"/>
            </w:pPr>
            <w:r>
              <w:rPr>
                <w:b w:val="false"/>
                <w:bCs w:val="false"/>
              </w:rPr>
              <w:t xml:space="preserve">Basic device information — name, role, and site — used to confirm this evidence really belongs to the right device.</w:t>
            </w:r>
          </w:p>
        </w:tc>
      </w:tr>
      <w:tr>
        <w:trPr>
          <w:cantSplit/>
        </w:trPr>
        <w:tc>
          <w:tcPr>
            <w:tcW w:type="dxa" w:w="2000"/>
            <w:tcMar>
              <w:top w:type="dxa" w:w="80"/>
              <w:left w:type="dxa" w:w="120"/>
              <w:bottom w:type="dxa" w:w="80"/>
              <w:right w:type="dxa" w:w="120"/>
            </w:tcMar>
            <w:vAlign w:val="center"/>
          </w:tcPr>
          <w:p>
            <w:pPr>
              <w:jc w:val="left"/>
            </w:pPr>
            <w:r>
              <w:rPr>
                <w:b w:val="false"/>
                <w:bCs w:val="false"/>
              </w:rPr>
              <w:t xml:space="preserve">Prometheus</w:t>
            </w:r>
          </w:p>
        </w:tc>
        <w:tc>
          <w:tcPr>
            <w:tcW w:type="dxa" w:w="7360"/>
            <w:tcMar>
              <w:top w:type="dxa" w:w="80"/>
              <w:left w:type="dxa" w:w="120"/>
              <w:bottom w:type="dxa" w:w="80"/>
              <w:right w:type="dxa" w:w="120"/>
            </w:tcMar>
            <w:vAlign w:val="center"/>
          </w:tcPr>
          <w:p>
            <w:pPr>
              <w:jc w:val="left"/>
            </w:pPr>
            <w:r>
              <w:rPr>
                <w:b w:val="false"/>
                <w:bCs w:val="false"/>
              </w:rPr>
              <w:t xml:space="preserve">Recent metrics for that device around the time of the incident — for example, whether it was actually reachable.</w:t>
            </w:r>
          </w:p>
        </w:tc>
      </w:tr>
      <w:tr>
        <w:trPr>
          <w:cantSplit/>
        </w:trPr>
        <w:tc>
          <w:tcPr>
            <w:tcW w:type="dxa" w:w="2000"/>
            <w:shd w:fill="EEF2F7" w:val="clear"/>
            <w:tcMar>
              <w:top w:type="dxa" w:w="80"/>
              <w:left w:type="dxa" w:w="120"/>
              <w:bottom w:type="dxa" w:w="80"/>
              <w:right w:type="dxa" w:w="120"/>
            </w:tcMar>
            <w:vAlign w:val="center"/>
          </w:tcPr>
          <w:p>
            <w:pPr>
              <w:jc w:val="left"/>
            </w:pPr>
            <w:r>
              <w:rPr>
                <w:b w:val="false"/>
                <w:bCs w:val="false"/>
              </w:rPr>
              <w:t xml:space="preserve">Loki</w:t>
            </w:r>
          </w:p>
        </w:tc>
        <w:tc>
          <w:tcPr>
            <w:tcW w:type="dxa" w:w="7360"/>
            <w:shd w:fill="EEF2F7" w:val="clear"/>
            <w:tcMar>
              <w:top w:type="dxa" w:w="80"/>
              <w:left w:type="dxa" w:w="120"/>
              <w:bottom w:type="dxa" w:w="80"/>
              <w:right w:type="dxa" w:w="120"/>
            </w:tcMar>
            <w:vAlign w:val="center"/>
          </w:tcPr>
          <w:p>
            <w:pPr>
              <w:jc w:val="left"/>
            </w:pPr>
            <w:r>
              <w:rPr>
                <w:b w:val="false"/>
                <w:bCs w:val="false"/>
              </w:rPr>
              <w:t xml:space="preserve">Recent log lines for that device around the time of the incident.</w:t>
            </w:r>
          </w:p>
        </w:tc>
      </w:tr>
      <w:tr>
        <w:trPr>
          <w:cantSplit/>
        </w:trPr>
        <w:tc>
          <w:tcPr>
            <w:tcW w:type="dxa" w:w="2000"/>
            <w:tcMar>
              <w:top w:type="dxa" w:w="80"/>
              <w:left w:type="dxa" w:w="120"/>
              <w:bottom w:type="dxa" w:w="80"/>
              <w:right w:type="dxa" w:w="120"/>
            </w:tcMar>
            <w:vAlign w:val="center"/>
          </w:tcPr>
          <w:p>
            <w:pPr>
              <w:jc w:val="left"/>
            </w:pPr>
            <w:r>
              <w:rPr>
                <w:b w:val="false"/>
                <w:bCs w:val="false"/>
              </w:rPr>
              <w:t xml:space="preserve">Maintenance Mode</w:t>
            </w:r>
          </w:p>
        </w:tc>
        <w:tc>
          <w:tcPr>
            <w:tcW w:type="dxa" w:w="7360"/>
            <w:tcMar>
              <w:top w:type="dxa" w:w="80"/>
              <w:left w:type="dxa" w:w="120"/>
              <w:bottom w:type="dxa" w:w="80"/>
              <w:right w:type="dxa" w:w="120"/>
            </w:tcMar>
            <w:vAlign w:val="center"/>
          </w:tcPr>
          <w:p>
            <w:pPr>
              <w:jc w:val="left"/>
            </w:pPr>
            <w:r>
              <w:rPr>
                <w:b w:val="false"/>
                <w:bCs w:val="false"/>
              </w:rPr>
              <w:t xml:space="preserve">Whether the device or site was under a planned maintenance window at the time — so a planned event is never mistaken for a real problem.</w:t>
            </w:r>
          </w:p>
        </w:tc>
      </w:tr>
    </w:tbl>
    <w:p>
      <w:pPr>
        <w:pStyle w:val="Heading2"/>
        <w:spacing w:after="130" w:before="260"/>
      </w:pPr>
      <w:r>
        <w:t xml:space="preserve">Two firm rules</w:t>
      </w:r>
    </w:p>
    <w:p>
      <w:pPr>
        <w:pStyle w:val="ListParagraph"/>
        <w:numPr>
          <w:ilvl w:val="0"/>
          <w:numId w:val="2"/>
        </w:numPr>
        <w:spacing w:after="90" w:line="276"/>
      </w:pPr>
      <w:r>
        <w:t xml:space="preserve">Live telemetry is always fetched through a direct API call at the moment it's needed. It is never stored in advance and never mixed together with unrelated background knowledge.</w:t>
      </w:r>
    </w:p>
    <w:p>
      <w:pPr>
        <w:pStyle w:val="ListParagraph"/>
        <w:numPr>
          <w:ilvl w:val="0"/>
          <w:numId w:val="2"/>
        </w:numPr>
        <w:spacing w:after="90" w:line="276"/>
      </w:pPr>
      <w:r>
        <w:t xml:space="preserve">No guessing about network topology (which device connects to which). This project's current NetBox data does not reliably record cable or connection information, so the AI is never allowed to assume or infer which devices are neighbours.</w:t>
      </w:r>
    </w:p>
    <w:p>
      <w:r>
        <w:br w:type="page"/>
      </w:r>
    </w:p>
    <w:p>
      <w:pPr>
        <w:pStyle w:val="Heading1"/>
        <w:spacing w:after="180" w:before="380"/>
      </w:pPr>
      <w:r>
        <w:t xml:space="preserve">9. Evidence Quality Engine</w:t>
      </w:r>
    </w:p>
    <w:p>
      <w:pPr>
        <w:spacing w:after="150" w:line="276"/>
      </w:pPr>
      <w:r>
        <w:t xml:space="preserve">Before the AI is ever asked a single question, plain Python code — not the AI — decides how trustworthy the evidence actually is. This matters because "every system responded" is not the same thing as "the evidence actually makes sense."</w:t>
      </w:r>
    </w:p>
    <w:p>
      <w:pPr>
        <w:pStyle w:val="Heading2"/>
        <w:spacing w:after="130" w:before="260"/>
      </w:pPr>
      <w:r>
        <w:t xml:space="preserve">Three checks</w:t>
      </w:r>
    </w:p>
    <w:p>
      <w:pPr>
        <w:pStyle w:val="ListParagraph"/>
        <w:numPr>
          <w:ilvl w:val="0"/>
          <w:numId w:val="2"/>
        </w:numPr>
        <w:spacing w:after="90" w:line="276"/>
      </w:pPr>
      <w:r>
        <w:t xml:space="preserve">Availability — did the source return real data, or just an empty/fallback result?</w:t>
      </w:r>
    </w:p>
    <w:p>
      <w:pPr>
        <w:pStyle w:val="ListParagraph"/>
        <w:numPr>
          <w:ilvl w:val="0"/>
          <w:numId w:val="2"/>
        </w:numPr>
        <w:spacing w:after="90" w:line="276"/>
      </w:pPr>
      <w:r>
        <w:t xml:space="preserve">Time correlation — does the data's own timestamp actually fall close enough to when the incident happened?</w:t>
      </w:r>
    </w:p>
    <w:p>
      <w:pPr>
        <w:pStyle w:val="ListParagraph"/>
        <w:numPr>
          <w:ilvl w:val="0"/>
          <w:numId w:val="2"/>
        </w:numPr>
        <w:spacing w:after="90" w:line="276"/>
      </w:pPr>
      <w:r>
        <w:t xml:space="preserve">Consistency — does the evidence actually agree with the type of alert? (For example: if the alert says the device is down, but Prometheus says it's up, that is a contradiction, not good evidence.)</w:t>
      </w:r>
    </w:p>
    <w:p>
      <w:pPr>
        <w:pStyle w:val="Heading2"/>
        <w:spacing w:after="130" w:before="260"/>
      </w:pPr>
      <w:r>
        <w:t xml:space="preserve">The five possible outcomes</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2200"/>
        <w:gridCol w:w="7160"/>
      </w:tblGrid>
      <w:tr>
        <w:trPr>
          <w:cantSplit/>
          <w:tblHeader/>
        </w:trPr>
        <w:tc>
          <w:tcPr>
            <w:tcW w:type="dxa" w:w="2200"/>
            <w:shd w:fill="1F3A5F" w:val="clear"/>
            <w:tcMar>
              <w:top w:type="dxa" w:w="80"/>
              <w:left w:type="dxa" w:w="120"/>
              <w:bottom w:type="dxa" w:w="80"/>
              <w:right w:type="dxa" w:w="120"/>
            </w:tcMar>
            <w:vAlign w:val="center"/>
          </w:tcPr>
          <w:p>
            <w:pPr>
              <w:jc w:val="left"/>
            </w:pPr>
            <w:r>
              <w:rPr>
                <w:b/>
                <w:bCs/>
                <w:color w:val="FFFFFF"/>
              </w:rPr>
              <w:t xml:space="preserve">Outcome</w:t>
            </w:r>
          </w:p>
        </w:tc>
        <w:tc>
          <w:tcPr>
            <w:tcW w:type="dxa" w:w="7160"/>
            <w:shd w:fill="1F3A5F" w:val="clear"/>
            <w:tcMar>
              <w:top w:type="dxa" w:w="80"/>
              <w:left w:type="dxa" w:w="120"/>
              <w:bottom w:type="dxa" w:w="80"/>
              <w:right w:type="dxa" w:w="120"/>
            </w:tcMar>
            <w:vAlign w:val="center"/>
          </w:tcPr>
          <w:p>
            <w:pPr>
              <w:jc w:val="left"/>
            </w:pPr>
            <w:r>
              <w:rPr>
                <w:b/>
                <w:bCs/>
                <w:color w:val="FFFFFF"/>
              </w:rPr>
              <w:t xml:space="preserve">What it means</w:t>
            </w:r>
          </w:p>
        </w:tc>
      </w:tr>
      <w:tr>
        <w:trPr>
          <w:cantSplit/>
        </w:trPr>
        <w:tc>
          <w:tcPr>
            <w:tcW w:type="dxa" w:w="2200"/>
            <w:tcMar>
              <w:top w:type="dxa" w:w="80"/>
              <w:left w:type="dxa" w:w="120"/>
              <w:bottom w:type="dxa" w:w="80"/>
              <w:right w:type="dxa" w:w="120"/>
            </w:tcMar>
            <w:vAlign w:val="center"/>
          </w:tcPr>
          <w:p>
            <w:pPr>
              <w:jc w:val="left"/>
            </w:pPr>
            <w:r>
              <w:rPr>
                <w:b w:val="false"/>
                <w:bCs w:val="false"/>
              </w:rPr>
              <w:t xml:space="preserve">INSUFFICIENT</w:t>
            </w:r>
          </w:p>
        </w:tc>
        <w:tc>
          <w:tcPr>
            <w:tcW w:type="dxa" w:w="7160"/>
            <w:tcMar>
              <w:top w:type="dxa" w:w="80"/>
              <w:left w:type="dxa" w:w="120"/>
              <w:bottom w:type="dxa" w:w="80"/>
              <w:right w:type="dxa" w:w="120"/>
            </w:tcMar>
            <w:vAlign w:val="center"/>
          </w:tcPr>
          <w:p>
            <w:pPr>
              <w:jc w:val="left"/>
            </w:pPr>
            <w:r>
              <w:rPr>
                <w:b w:val="false"/>
                <w:bCs w:val="false"/>
              </w:rPr>
              <w:t xml:space="preserve">Not enough usable evidence was found. The AI is not called at all — the result is recorded directly as "insufficient evidence."</w:t>
            </w:r>
          </w:p>
        </w:tc>
      </w:tr>
      <w:tr>
        <w:trPr>
          <w:cantSplit/>
        </w:trPr>
        <w:tc>
          <w:tcPr>
            <w:tcW w:type="dxa" w:w="2200"/>
            <w:shd w:fill="EEF2F7" w:val="clear"/>
            <w:tcMar>
              <w:top w:type="dxa" w:w="80"/>
              <w:left w:type="dxa" w:w="120"/>
              <w:bottom w:type="dxa" w:w="80"/>
              <w:right w:type="dxa" w:w="120"/>
            </w:tcMar>
            <w:vAlign w:val="center"/>
          </w:tcPr>
          <w:p>
            <w:pPr>
              <w:jc w:val="left"/>
            </w:pPr>
            <w:r>
              <w:rPr>
                <w:b w:val="false"/>
                <w:bCs w:val="false"/>
              </w:rPr>
              <w:t xml:space="preserve">LOW</w:t>
            </w:r>
          </w:p>
        </w:tc>
        <w:tc>
          <w:tcPr>
            <w:tcW w:type="dxa" w:w="7160"/>
            <w:shd w:fill="EEF2F7" w:val="clear"/>
            <w:tcMar>
              <w:top w:type="dxa" w:w="80"/>
              <w:left w:type="dxa" w:w="120"/>
              <w:bottom w:type="dxa" w:w="80"/>
              <w:right w:type="dxa" w:w="120"/>
            </w:tcMar>
            <w:vAlign w:val="center"/>
          </w:tcPr>
          <w:p>
            <w:pPr>
              <w:jc w:val="left"/>
            </w:pPr>
            <w:r>
              <w:rPr>
                <w:b w:val="false"/>
                <w:bCs w:val="false"/>
              </w:rPr>
              <w:t xml:space="preserve">Some evidence exists, but it doesn't correlate well with the device or the time of the incident.</w:t>
            </w:r>
          </w:p>
        </w:tc>
      </w:tr>
      <w:tr>
        <w:trPr>
          <w:cantSplit/>
        </w:trPr>
        <w:tc>
          <w:tcPr>
            <w:tcW w:type="dxa" w:w="2200"/>
            <w:tcMar>
              <w:top w:type="dxa" w:w="80"/>
              <w:left w:type="dxa" w:w="120"/>
              <w:bottom w:type="dxa" w:w="80"/>
              <w:right w:type="dxa" w:w="120"/>
            </w:tcMar>
            <w:vAlign w:val="center"/>
          </w:tcPr>
          <w:p>
            <w:pPr>
              <w:jc w:val="left"/>
            </w:pPr>
            <w:r>
              <w:rPr>
                <w:b w:val="false"/>
                <w:bCs w:val="false"/>
              </w:rPr>
              <w:t xml:space="preserve">MEDIUM</w:t>
            </w:r>
          </w:p>
        </w:tc>
        <w:tc>
          <w:tcPr>
            <w:tcW w:type="dxa" w:w="7160"/>
            <w:tcMar>
              <w:top w:type="dxa" w:w="80"/>
              <w:left w:type="dxa" w:w="120"/>
              <w:bottom w:type="dxa" w:w="80"/>
              <w:right w:type="dxa" w:w="120"/>
            </w:tcMar>
            <w:vAlign w:val="center"/>
          </w:tcPr>
          <w:p>
            <w:pPr>
              <w:jc w:val="left"/>
            </w:pPr>
            <w:r>
              <w:rPr>
                <w:b w:val="false"/>
                <w:bCs w:val="false"/>
              </w:rPr>
              <w:t xml:space="preserve">At least one good, trustworthy piece of evidence was found.</w:t>
            </w:r>
          </w:p>
        </w:tc>
      </w:tr>
      <w:tr>
        <w:trPr>
          <w:cantSplit/>
        </w:trPr>
        <w:tc>
          <w:tcPr>
            <w:tcW w:type="dxa" w:w="2200"/>
            <w:shd w:fill="EEF2F7" w:val="clear"/>
            <w:tcMar>
              <w:top w:type="dxa" w:w="80"/>
              <w:left w:type="dxa" w:w="120"/>
              <w:bottom w:type="dxa" w:w="80"/>
              <w:right w:type="dxa" w:w="120"/>
            </w:tcMar>
            <w:vAlign w:val="center"/>
          </w:tcPr>
          <w:p>
            <w:pPr>
              <w:jc w:val="left"/>
            </w:pPr>
            <w:r>
              <w:rPr>
                <w:b w:val="false"/>
                <w:bCs w:val="false"/>
              </w:rPr>
              <w:t xml:space="preserve">HIGH</w:t>
            </w:r>
          </w:p>
        </w:tc>
        <w:tc>
          <w:tcPr>
            <w:tcW w:type="dxa" w:w="7160"/>
            <w:shd w:fill="EEF2F7" w:val="clear"/>
            <w:tcMar>
              <w:top w:type="dxa" w:w="80"/>
              <w:left w:type="dxa" w:w="120"/>
              <w:bottom w:type="dxa" w:w="80"/>
              <w:right w:type="dxa" w:w="120"/>
            </w:tcMar>
            <w:vAlign w:val="center"/>
          </w:tcPr>
          <w:p>
            <w:pPr>
              <w:jc w:val="left"/>
            </w:pPr>
            <w:r>
              <w:rPr>
                <w:b w:val="false"/>
                <w:bCs w:val="false"/>
              </w:rPr>
              <w:t xml:space="preserve">Strong, well-correlated evidence was found from more than one source, and it all agrees.</w:t>
            </w:r>
          </w:p>
        </w:tc>
      </w:tr>
      <w:tr>
        <w:trPr>
          <w:cantSplit/>
        </w:trPr>
        <w:tc>
          <w:tcPr>
            <w:tcW w:type="dxa" w:w="2200"/>
            <w:tcMar>
              <w:top w:type="dxa" w:w="80"/>
              <w:left w:type="dxa" w:w="120"/>
              <w:bottom w:type="dxa" w:w="80"/>
              <w:right w:type="dxa" w:w="120"/>
            </w:tcMar>
            <w:vAlign w:val="center"/>
          </w:tcPr>
          <w:p>
            <w:pPr>
              <w:jc w:val="left"/>
            </w:pPr>
            <w:r>
              <w:rPr>
                <w:b w:val="false"/>
                <w:bCs w:val="false"/>
              </w:rPr>
              <w:t xml:space="preserve">CONTRADICTORY</w:t>
            </w:r>
          </w:p>
        </w:tc>
        <w:tc>
          <w:tcPr>
            <w:tcW w:type="dxa" w:w="7160"/>
            <w:tcMar>
              <w:top w:type="dxa" w:w="80"/>
              <w:left w:type="dxa" w:w="120"/>
              <w:bottom w:type="dxa" w:w="80"/>
              <w:right w:type="dxa" w:w="120"/>
            </w:tcMar>
            <w:vAlign w:val="center"/>
          </w:tcPr>
          <w:p>
            <w:pPr>
              <w:jc w:val="left"/>
            </w:pPr>
            <w:r>
              <w:rPr>
                <w:b w:val="false"/>
                <w:bCs w:val="false"/>
              </w:rPr>
              <w:t xml:space="preserve">Evidence was found and does correlate, but it actively disagrees with the alert itself — flagged clearly, never hidden inside a lower score.</w:t>
            </w:r>
          </w:p>
        </w:tc>
      </w:tr>
    </w:tbl>
    <w:p>
      <w:pPr>
        <w:pBdr>
          <w:left w:val="single" w:color="2E5395" w:sz="18"/>
        </w:pBdr>
        <w:shd w:fill="F4F6F9" w:val="clear"/>
        <w:spacing w:after="180" w:before="90"/>
        <w:ind w:left="120"/>
      </w:pPr>
      <w:r>
        <w:rPr>
          <w:b/>
          <w:bCs/>
          <w:color w:val="2E5395"/>
        </w:rPr>
        <w:t xml:space="preserve">Note: </w:t>
      </w:r>
      <w:r>
        <w:t xml:space="preserve">The AI never calculates this score itself. Python calculates it first, and tells the AI what the result is. If the result is INSUFFICIENT, the AI is never called at all for that incident.</w:t>
      </w:r>
    </w:p>
    <w:p>
      <w:r>
        <w:br w:type="page"/>
      </w:r>
    </w:p>
    <w:p>
      <w:pPr>
        <w:pStyle w:val="Heading1"/>
        <w:spacing w:after="180" w:before="380"/>
      </w:pPr>
      <w:r>
        <w:t xml:space="preserve">10. LLM Investigation Layer</w:t>
      </w:r>
    </w:p>
    <w:p>
      <w:pPr>
        <w:spacing w:after="150" w:line="276"/>
      </w:pPr>
      <w:r>
        <w:t xml:space="preserve">This section explains exactly how, and how little, the AI model is actually used.</w:t>
      </w:r>
    </w:p>
    <w:p>
      <w:pPr>
        <w:pStyle w:val="ListParagraph"/>
        <w:numPr>
          <w:ilvl w:val="0"/>
          <w:numId w:val="2"/>
        </w:numPr>
        <w:spacing w:after="90" w:line="276"/>
      </w:pPr>
      <w:r>
        <w:t xml:space="preserve">One single, controlled call to OpenAI per investigation — not a back-and-forth conversation.</w:t>
      </w:r>
    </w:p>
    <w:p>
      <w:pPr>
        <w:pStyle w:val="ListParagraph"/>
        <w:numPr>
          <w:ilvl w:val="0"/>
          <w:numId w:val="2"/>
        </w:numPr>
        <w:spacing w:after="90" w:line="276"/>
      </w:pPr>
      <w:r>
        <w:t xml:space="preserve">No autonomous agent loop: the AI is never allowed to decide on its own to go fetch more data.</w:t>
      </w:r>
    </w:p>
    <w:p>
      <w:pPr>
        <w:pStyle w:val="ListParagraph"/>
        <w:numPr>
          <w:ilvl w:val="0"/>
          <w:numId w:val="2"/>
        </w:numPr>
        <w:spacing w:after="90" w:line="276"/>
      </w:pPr>
      <w:r>
        <w:t xml:space="preserve">No tool-calling loop in this phase of the project.</w:t>
      </w:r>
    </w:p>
    <w:p>
      <w:pPr>
        <w:pStyle w:val="ListParagraph"/>
        <w:numPr>
          <w:ilvl w:val="0"/>
          <w:numId w:val="2"/>
        </w:numPr>
        <w:spacing w:after="90" w:line="276"/>
      </w:pPr>
      <w:r>
        <w:t xml:space="preserve">No extra AI framework or library is required to do this.</w:t>
      </w:r>
    </w:p>
    <w:p>
      <w:pPr>
        <w:pStyle w:val="ListParagraph"/>
        <w:numPr>
          <w:ilvl w:val="0"/>
          <w:numId w:val="2"/>
        </w:numPr>
        <w:spacing w:after="90" w:line="276"/>
      </w:pPr>
      <w:r>
        <w:t xml:space="preserve">No knowledge-base / RAG system is used in Phase 1 — that only comes later, in Phase 2, and even then in a very limited way (Section 17).</w:t>
      </w:r>
    </w:p>
    <w:p>
      <w:pPr>
        <w:pStyle w:val="Heading2"/>
        <w:spacing w:after="130" w:before="260"/>
      </w:pPr>
      <w:r>
        <w:t xml:space="preserve">The AI's answer must be structured, not free text</w:t>
      </w:r>
    </w:p>
    <w:p>
      <w:pPr>
        <w:spacing w:after="150" w:line="276"/>
      </w:pPr>
      <w:r>
        <w:t xml:space="preserve">Instead of one long paragraph, the AI must return its findings split into three clearly separate parts:</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2200"/>
        <w:gridCol w:w="7160"/>
      </w:tblGrid>
      <w:tr>
        <w:trPr>
          <w:cantSplit/>
          <w:tblHeader/>
        </w:trPr>
        <w:tc>
          <w:tcPr>
            <w:tcW w:type="dxa" w:w="2200"/>
            <w:shd w:fill="1F3A5F" w:val="clear"/>
            <w:tcMar>
              <w:top w:type="dxa" w:w="80"/>
              <w:left w:type="dxa" w:w="120"/>
              <w:bottom w:type="dxa" w:w="80"/>
              <w:right w:type="dxa" w:w="120"/>
            </w:tcMar>
            <w:vAlign w:val="center"/>
          </w:tcPr>
          <w:p>
            <w:pPr>
              <w:jc w:val="left"/>
            </w:pPr>
            <w:r>
              <w:rPr>
                <w:b/>
                <w:bCs/>
                <w:color w:val="FFFFFF"/>
              </w:rPr>
              <w:t xml:space="preserve">Part</w:t>
            </w:r>
          </w:p>
        </w:tc>
        <w:tc>
          <w:tcPr>
            <w:tcW w:type="dxa" w:w="7160"/>
            <w:shd w:fill="1F3A5F" w:val="clear"/>
            <w:tcMar>
              <w:top w:type="dxa" w:w="80"/>
              <w:left w:type="dxa" w:w="120"/>
              <w:bottom w:type="dxa" w:w="80"/>
              <w:right w:type="dxa" w:w="120"/>
            </w:tcMar>
            <w:vAlign w:val="center"/>
          </w:tcPr>
          <w:p>
            <w:pPr>
              <w:jc w:val="left"/>
            </w:pPr>
            <w:r>
              <w:rPr>
                <w:b/>
                <w:bCs/>
                <w:color w:val="FFFFFF"/>
              </w:rPr>
              <w:t xml:space="preserve">What goes here</w:t>
            </w:r>
          </w:p>
        </w:tc>
      </w:tr>
      <w:tr>
        <w:trPr>
          <w:cantSplit/>
        </w:trPr>
        <w:tc>
          <w:tcPr>
            <w:tcW w:type="dxa" w:w="2200"/>
            <w:tcMar>
              <w:top w:type="dxa" w:w="80"/>
              <w:left w:type="dxa" w:w="120"/>
              <w:bottom w:type="dxa" w:w="80"/>
              <w:right w:type="dxa" w:w="120"/>
            </w:tcMar>
            <w:vAlign w:val="center"/>
          </w:tcPr>
          <w:p>
            <w:pPr>
              <w:jc w:val="left"/>
            </w:pPr>
            <w:r>
              <w:rPr>
                <w:b w:val="false"/>
                <w:bCs w:val="false"/>
              </w:rPr>
              <w:t xml:space="preserve">Observations</w:t>
            </w:r>
          </w:p>
        </w:tc>
        <w:tc>
          <w:tcPr>
            <w:tcW w:type="dxa" w:w="7160"/>
            <w:tcMar>
              <w:top w:type="dxa" w:w="80"/>
              <w:left w:type="dxa" w:w="120"/>
              <w:bottom w:type="dxa" w:w="80"/>
              <w:right w:type="dxa" w:w="120"/>
            </w:tcMar>
            <w:vAlign w:val="center"/>
          </w:tcPr>
          <w:p>
            <w:pPr>
              <w:jc w:val="left"/>
            </w:pPr>
            <w:r>
              <w:rPr>
                <w:b w:val="false"/>
                <w:bCs w:val="false"/>
              </w:rPr>
              <w:t xml:space="preserve">Plain facts, each one pointing to exactly which piece of evidence it came from.</w:t>
            </w:r>
          </w:p>
        </w:tc>
      </w:tr>
      <w:tr>
        <w:trPr>
          <w:cantSplit/>
        </w:trPr>
        <w:tc>
          <w:tcPr>
            <w:tcW w:type="dxa" w:w="2200"/>
            <w:shd w:fill="EEF2F7" w:val="clear"/>
            <w:tcMar>
              <w:top w:type="dxa" w:w="80"/>
              <w:left w:type="dxa" w:w="120"/>
              <w:bottom w:type="dxa" w:w="80"/>
              <w:right w:type="dxa" w:w="120"/>
            </w:tcMar>
            <w:vAlign w:val="center"/>
          </w:tcPr>
          <w:p>
            <w:pPr>
              <w:jc w:val="left"/>
            </w:pPr>
            <w:r>
              <w:rPr>
                <w:b w:val="false"/>
                <w:bCs w:val="false"/>
              </w:rPr>
              <w:t xml:space="preserve">Hypotheses</w:t>
            </w:r>
          </w:p>
        </w:tc>
        <w:tc>
          <w:tcPr>
            <w:tcW w:type="dxa" w:w="7160"/>
            <w:shd w:fill="EEF2F7" w:val="clear"/>
            <w:tcMar>
              <w:top w:type="dxa" w:w="80"/>
              <w:left w:type="dxa" w:w="120"/>
              <w:bottom w:type="dxa" w:w="80"/>
              <w:right w:type="dxa" w:w="120"/>
            </w:tcMar>
            <w:vAlign w:val="center"/>
          </w:tcPr>
          <w:p>
            <w:pPr>
              <w:jc w:val="left"/>
            </w:pPr>
            <w:r>
              <w:rPr>
                <w:b w:val="false"/>
                <w:bCs w:val="false"/>
              </w:rPr>
              <w:t xml:space="preserve">Possible explanations, each one built on top of one or more of the observations above — never presented as a proven fact.</w:t>
            </w:r>
          </w:p>
        </w:tc>
      </w:tr>
      <w:tr>
        <w:trPr>
          <w:cantSplit/>
        </w:trPr>
        <w:tc>
          <w:tcPr>
            <w:tcW w:type="dxa" w:w="2200"/>
            <w:tcMar>
              <w:top w:type="dxa" w:w="80"/>
              <w:left w:type="dxa" w:w="120"/>
              <w:bottom w:type="dxa" w:w="80"/>
              <w:right w:type="dxa" w:w="120"/>
            </w:tcMar>
            <w:vAlign w:val="center"/>
          </w:tcPr>
          <w:p>
            <w:pPr>
              <w:jc w:val="left"/>
            </w:pPr>
            <w:r>
              <w:rPr>
                <w:b w:val="false"/>
                <w:bCs w:val="false"/>
              </w:rPr>
              <w:t xml:space="preserve">Evidence Gaps</w:t>
            </w:r>
          </w:p>
        </w:tc>
        <w:tc>
          <w:tcPr>
            <w:tcW w:type="dxa" w:w="7160"/>
            <w:tcMar>
              <w:top w:type="dxa" w:w="80"/>
              <w:left w:type="dxa" w:w="120"/>
              <w:bottom w:type="dxa" w:w="80"/>
              <w:right w:type="dxa" w:w="120"/>
            </w:tcMar>
            <w:vAlign w:val="center"/>
          </w:tcPr>
          <w:p>
            <w:pPr>
              <w:jc w:val="left"/>
            </w:pPr>
            <w:r>
              <w:rPr>
                <w:b w:val="false"/>
                <w:bCs w:val="false"/>
              </w:rPr>
              <w:t xml:space="preserve">Anything that would have helped but simply wasn't available.</w:t>
            </w:r>
          </w:p>
        </w:tc>
      </w:tr>
    </w:tbl>
    <w:p>
      <w:pPr>
        <w:spacing w:after="150" w:line="276"/>
      </w:pPr>
      <w:r>
        <w:t xml:space="preserve">Python then checks every observation: does it really point to a real, genuine piece of evidence that was actually collected? If not, that observation is downgraded automatically — the AI's own labelling is never simply trusted.</w:t>
      </w:r>
    </w:p>
    <w:p>
      <w:pPr>
        <w:pStyle w:val="Heading2"/>
        <w:spacing w:after="130" w:before="260"/>
      </w:pPr>
      <w:r>
        <w:t xml:space="preserve">Treating incident text and logs as data, not instructions</w:t>
      </w:r>
    </w:p>
    <w:p>
      <w:pPr>
        <w:pBdr>
          <w:left w:val="single" w:color="B23A2E" w:sz="18"/>
        </w:pBdr>
        <w:shd w:fill="F4F6F9" w:val="clear"/>
        <w:spacing w:after="180" w:before="90"/>
        <w:ind w:left="120"/>
      </w:pPr>
      <w:r>
        <w:rPr>
          <w:b/>
          <w:bCs/>
          <w:color w:val="B23A2E"/>
        </w:rPr>
        <w:t xml:space="preserve">Prompt-injection boundary: </w:t>
      </w:r>
      <w:r>
        <w:t xml:space="preserve">A log line or a work note is just text written by a device or a person. It must never be treated as a command. If a log line ever contained something like "ignore all previous instructions," the AI must still treat it as nothing more than a log line to analyse.</w:t>
      </w:r>
    </w:p>
    <w:p>
      <w:pPr>
        <w:spacing w:after="150" w:line="276"/>
      </w:pPr>
      <w:r>
        <w:t xml:space="preserve">To enforce this, all evidence text is clearly wrapped and labelled as untrusted data before it is shown to the AI, with an explicit standing instruction that content inside that wrapper is evidence only, never a command.</w:t>
      </w:r>
    </w:p>
    <w:p>
      <w:r>
        <w:br w:type="page"/>
      </w:r>
    </w:p>
    <w:p>
      <w:pPr>
        <w:pStyle w:val="Heading1"/>
        <w:spacing w:after="180" w:before="380"/>
      </w:pPr>
      <w:r>
        <w:t xml:space="preserve">11. Phase 1B — Controlled ServiceNow Work Notes</w:t>
      </w:r>
    </w:p>
    <w:p>
      <w:pPr>
        <w:spacing w:after="150" w:line="276"/>
      </w:pPr>
      <w:r>
        <w:t xml:space="preserve">Phase 1B only begins after Phase 1A has been running and been reviewed for a real period of time, and people are satisfied the AI's investigations are accurate and useful.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A7B8" w:sz="6"/>
              <w:left w:val="single" w:color="9AA7B8" w:sz="6"/>
              <w:bottom w:val="single" w:color="9AA7B8" w:sz="6"/>
              <w:right w:val="single" w:color="9AA7B8" w:sz="6"/>
            </w:tcBorders>
            <w:shd w:fill="F4F6F9" w:val="clear"/>
            <w:tcMar>
              <w:top w:type="dxa" w:w="140"/>
              <w:left w:type="dxa" w:w="160"/>
              <w:bottom w:type="dxa" w:w="140"/>
              <w:right w:type="dxa" w:w="160"/>
            </w:tcMar>
          </w:tcPr>
          <w:p>
            <w:pPr>
              <w:spacing w:after="0" w:line="240"/>
            </w:pPr>
            <w:r>
              <w:rPr>
                <w:rFonts w:ascii="Consolas" w:cs="Consolas" w:eastAsia="Consolas" w:hAnsi="Consolas"/>
                <w:b/>
                <w:bCs/>
                <w:color w:val="1B1B1F"/>
                <w:sz w:val="19"/>
                <w:szCs w:val="19"/>
              </w:rPr>
              <w:t xml:space="preserve">Validated AI Investigation</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Deterministic Safety Validation</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Previous AI Conclusion Comparison</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Supersession Check</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ServiceNow Work Note</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Re-fetch Incident</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Persist Updated State</w:t>
            </w:r>
          </w:p>
        </w:tc>
      </w:tr>
    </w:tbl>
    <w:p>
      <w:pPr>
        <w:pStyle w:val="Heading2"/>
        <w:spacing w:after="130" w:before="260"/>
      </w:pPr>
      <w:r>
        <w:t xml:space="preserve">The only thing the AI is allowed to write</w:t>
      </w:r>
    </w:p>
    <w:p>
      <w:pPr>
        <w:spacing w:after="150" w:line="276"/>
      </w:pPr>
      <w:r>
        <w:t xml:space="preserve">Only the work_notes field. Never state, never priority, never assignment group, never who the incident is assigned to. Every note is clearly labelled: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A7B8" w:sz="6"/>
              <w:left w:val="single" w:color="9AA7B8" w:sz="6"/>
              <w:bottom w:val="single" w:color="9AA7B8" w:sz="6"/>
              <w:right w:val="single" w:color="9AA7B8" w:sz="6"/>
            </w:tcBorders>
            <w:shd w:fill="F4F6F9" w:val="clear"/>
            <w:tcMar>
              <w:top w:type="dxa" w:w="140"/>
              <w:left w:type="dxa" w:w="160"/>
              <w:bottom w:type="dxa" w:w="140"/>
              <w:right w:type="dxa" w:w="160"/>
            </w:tcMar>
          </w:tcPr>
          <w:p>
            <w:pPr>
              <w:spacing w:after="0" w:line="240"/>
            </w:pPr>
            <w:r>
              <w:rPr>
                <w:rFonts w:ascii="Consolas" w:cs="Consolas" w:eastAsia="Consolas" w:hAnsi="Consolas"/>
                <w:b/>
                <w:bCs/>
                <w:color w:val="1B1B1F"/>
                <w:sz w:val="19"/>
                <w:szCs w:val="19"/>
              </w:rPr>
              <w:t xml:space="preserve">[AI-DRAFTED — NOT VERIFIED]</w:t>
            </w:r>
          </w:p>
        </w:tc>
      </w:tr>
    </w:tbl>
    <w:p>
      <w:pPr>
        <w:pStyle w:val="Heading2"/>
        <w:spacing w:after="130" w:before="260"/>
      </w:pPr>
      <w:r>
        <w:t xml:space="preserve">Deterministic supersession — a correction the AI cannot forget to make</w:t>
      </w:r>
    </w:p>
    <w:p>
      <w:pPr>
        <w:spacing w:after="150" w:line="276"/>
      </w:pPr>
      <w:r>
        <w:t xml:space="preserve">If the AI investigates the same incident a second time and reaches a different conclusion than it did before, the new note must clearly say so — it must never sit next to an old note with no explanation of what changed.</w:t>
      </w:r>
    </w:p>
    <w:p>
      <w:pPr>
        <w:pBdr>
          <w:left w:val="single" w:color="1E7B45" w:sz="18"/>
        </w:pBdr>
        <w:shd w:fill="F4F6F9" w:val="clear"/>
        <w:spacing w:after="180" w:before="90"/>
        <w:ind w:left="120"/>
      </w:pPr>
      <w:r>
        <w:rPr>
          <w:b/>
          <w:bCs/>
          <w:color w:val="1E7B45"/>
        </w:rPr>
        <w:t xml:space="preserve">Why this is safe: </w:t>
      </w:r>
      <w:r>
        <w:t xml:space="preserve">This is enforced by Python code, not by asking the AI nicely to remember. Python itself stores a short summary of each investigation's conclusion. Before posting a new note, Python compares the new conclusion to the stored previous one. If they are meaningfully different, Python — not the AI — adds the "this supersedes the earlier note" wording automatically.</w:t>
      </w:r>
    </w:p>
    <w:p>
      <w:pPr>
        <w:spacing w:after="150" w:line="276"/>
      </w:pPr>
      <w:r>
        <w:t xml:space="preserve">This replaces the earlier idea of "a human edits the AI's note." ServiceNow's work_notes field is an append-only log by design — entries are added, never edited in place. So the correct way to fix a wrong AI note was never "editing" it; it is simply adding a new note that clearly supersedes the old one, exactly the same way any human correction already works in this same field.</w:t>
      </w:r>
    </w:p>
    <w:p>
      <w:r>
        <w:br w:type="page"/>
      </w:r>
    </w:p>
    <w:p>
      <w:pPr>
        <w:pStyle w:val="Heading1"/>
        <w:spacing w:after="180" w:before="380"/>
      </w:pPr>
      <w:r>
        <w:t xml:space="preserve">12. Security Architecture</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2300"/>
        <w:gridCol w:w="7060"/>
      </w:tblGrid>
      <w:tr>
        <w:trPr>
          <w:cantSplit/>
          <w:tblHeader/>
        </w:trPr>
        <w:tc>
          <w:tcPr>
            <w:tcW w:type="dxa" w:w="2300"/>
            <w:shd w:fill="1F3A5F" w:val="clear"/>
            <w:tcMar>
              <w:top w:type="dxa" w:w="80"/>
              <w:left w:type="dxa" w:w="120"/>
              <w:bottom w:type="dxa" w:w="80"/>
              <w:right w:type="dxa" w:w="120"/>
            </w:tcMar>
            <w:vAlign w:val="center"/>
          </w:tcPr>
          <w:p>
            <w:pPr>
              <w:jc w:val="left"/>
            </w:pPr>
            <w:r>
              <w:rPr>
                <w:b/>
                <w:bCs/>
                <w:color w:val="FFFFFF"/>
              </w:rPr>
              <w:t xml:space="preserve">Area</w:t>
            </w:r>
          </w:p>
        </w:tc>
        <w:tc>
          <w:tcPr>
            <w:tcW w:type="dxa" w:w="7060"/>
            <w:shd w:fill="1F3A5F" w:val="clear"/>
            <w:tcMar>
              <w:top w:type="dxa" w:w="80"/>
              <w:left w:type="dxa" w:w="120"/>
              <w:bottom w:type="dxa" w:w="80"/>
              <w:right w:type="dxa" w:w="120"/>
            </w:tcMar>
            <w:vAlign w:val="center"/>
          </w:tcPr>
          <w:p>
            <w:pPr>
              <w:jc w:val="left"/>
            </w:pPr>
            <w:r>
              <w:rPr>
                <w:b/>
                <w:bCs/>
                <w:color w:val="FFFFFF"/>
              </w:rPr>
              <w:t xml:space="preserve">How it is handled</w:t>
            </w:r>
          </w:p>
        </w:tc>
      </w:tr>
      <w:tr>
        <w:trPr>
          <w:cantSplit/>
        </w:trPr>
        <w:tc>
          <w:tcPr>
            <w:tcW w:type="dxa" w:w="2300"/>
            <w:tcMar>
              <w:top w:type="dxa" w:w="80"/>
              <w:left w:type="dxa" w:w="120"/>
              <w:bottom w:type="dxa" w:w="80"/>
              <w:right w:type="dxa" w:w="120"/>
            </w:tcMar>
            <w:vAlign w:val="center"/>
          </w:tcPr>
          <w:p>
            <w:pPr>
              <w:jc w:val="left"/>
            </w:pPr>
            <w:r>
              <w:rPr>
                <w:b w:val="false"/>
                <w:bCs w:val="false"/>
              </w:rPr>
              <w:t xml:space="preserve">OpenAI API key</w:t>
            </w:r>
          </w:p>
        </w:tc>
        <w:tc>
          <w:tcPr>
            <w:tcW w:type="dxa" w:w="7060"/>
            <w:tcMar>
              <w:top w:type="dxa" w:w="80"/>
              <w:left w:type="dxa" w:w="120"/>
              <w:bottom w:type="dxa" w:w="80"/>
              <w:right w:type="dxa" w:w="120"/>
            </w:tcMar>
            <w:vAlign w:val="center"/>
          </w:tcPr>
          <w:p>
            <w:pPr>
              <w:jc w:val="left"/>
            </w:pPr>
            <w:r>
              <w:rPr>
                <w:b w:val="false"/>
                <w:bCs w:val="false"/>
              </w:rPr>
              <w:t xml:space="preserve">Stored only in the environment file, never in code, following the same pattern already used for every other secret in this project.</w:t>
            </w:r>
          </w:p>
        </w:tc>
      </w:tr>
      <w:tr>
        <w:trPr>
          <w:cantSplit/>
        </w:trPr>
        <w:tc>
          <w:tcPr>
            <w:tcW w:type="dxa" w:w="2300"/>
            <w:shd w:fill="EEF2F7" w:val="clear"/>
            <w:tcMar>
              <w:top w:type="dxa" w:w="80"/>
              <w:left w:type="dxa" w:w="120"/>
              <w:bottom w:type="dxa" w:w="80"/>
              <w:right w:type="dxa" w:w="120"/>
            </w:tcMar>
            <w:vAlign w:val="center"/>
          </w:tcPr>
          <w:p>
            <w:pPr>
              <w:jc w:val="left"/>
            </w:pPr>
            <w:r>
              <w:rPr>
                <w:b w:val="false"/>
                <w:bCs w:val="false"/>
              </w:rPr>
              <w:t xml:space="preserve">ServiceNow credentials</w:t>
            </w:r>
          </w:p>
        </w:tc>
        <w:tc>
          <w:tcPr>
            <w:tcW w:type="dxa" w:w="7060"/>
            <w:shd w:fill="EEF2F7" w:val="clear"/>
            <w:tcMar>
              <w:top w:type="dxa" w:w="80"/>
              <w:left w:type="dxa" w:w="120"/>
              <w:bottom w:type="dxa" w:w="80"/>
              <w:right w:type="dxa" w:w="120"/>
            </w:tcMar>
            <w:vAlign w:val="center"/>
          </w:tcPr>
          <w:p>
            <w:pPr>
              <w:jc w:val="left"/>
            </w:pPr>
            <w:r>
              <w:rPr>
                <w:b w:val="false"/>
                <w:bCs w:val="false"/>
              </w:rPr>
              <w:t xml:space="preserve">Reused from the existing integration for Phase 1 (see credential plan below).</w:t>
            </w:r>
          </w:p>
        </w:tc>
      </w:tr>
      <w:tr>
        <w:trPr>
          <w:cantSplit/>
        </w:trPr>
        <w:tc>
          <w:tcPr>
            <w:tcW w:type="dxa" w:w="2300"/>
            <w:tcMar>
              <w:top w:type="dxa" w:w="80"/>
              <w:left w:type="dxa" w:w="120"/>
              <w:bottom w:type="dxa" w:w="80"/>
              <w:right w:type="dxa" w:w="120"/>
            </w:tcMar>
            <w:vAlign w:val="center"/>
          </w:tcPr>
          <w:p>
            <w:pPr>
              <w:jc w:val="left"/>
            </w:pPr>
            <w:r>
              <w:rPr>
                <w:b w:val="false"/>
                <w:bCs w:val="false"/>
              </w:rPr>
              <w:t xml:space="preserve">NetBox credentials</w:t>
            </w:r>
          </w:p>
        </w:tc>
        <w:tc>
          <w:tcPr>
            <w:tcW w:type="dxa" w:w="7060"/>
            <w:tcMar>
              <w:top w:type="dxa" w:w="80"/>
              <w:left w:type="dxa" w:w="120"/>
              <w:bottom w:type="dxa" w:w="80"/>
              <w:right w:type="dxa" w:w="120"/>
            </w:tcMar>
            <w:vAlign w:val="center"/>
          </w:tcPr>
          <w:p>
            <w:pPr>
              <w:jc w:val="left"/>
            </w:pPr>
            <w:r>
              <w:rPr>
                <w:b w:val="false"/>
                <w:bCs w:val="false"/>
              </w:rPr>
              <w:t xml:space="preserve">Read-only use only; no write calls are ever made by the AI Copilot.</w:t>
            </w:r>
          </w:p>
        </w:tc>
      </w:tr>
      <w:tr>
        <w:trPr>
          <w:cantSplit/>
        </w:trPr>
        <w:tc>
          <w:tcPr>
            <w:tcW w:type="dxa" w:w="2300"/>
            <w:shd w:fill="EEF2F7" w:val="clear"/>
            <w:tcMar>
              <w:top w:type="dxa" w:w="80"/>
              <w:left w:type="dxa" w:w="120"/>
              <w:bottom w:type="dxa" w:w="80"/>
              <w:right w:type="dxa" w:w="120"/>
            </w:tcMar>
            <w:vAlign w:val="center"/>
          </w:tcPr>
          <w:p>
            <w:pPr>
              <w:jc w:val="left"/>
            </w:pPr>
            <w:r>
              <w:rPr>
                <w:b w:val="false"/>
                <w:bCs w:val="false"/>
              </w:rPr>
              <w:t xml:space="preserve">Redaction</w:t>
            </w:r>
          </w:p>
        </w:tc>
        <w:tc>
          <w:tcPr>
            <w:tcW w:type="dxa" w:w="7060"/>
            <w:shd w:fill="EEF2F7" w:val="clear"/>
            <w:tcMar>
              <w:top w:type="dxa" w:w="80"/>
              <w:left w:type="dxa" w:w="120"/>
              <w:bottom w:type="dxa" w:w="80"/>
              <w:right w:type="dxa" w:w="120"/>
            </w:tcMar>
            <w:vAlign w:val="center"/>
          </w:tcPr>
          <w:p>
            <w:pPr>
              <w:jc w:val="left"/>
            </w:pPr>
            <w:r>
              <w:rPr>
                <w:b w:val="false"/>
                <w:bCs w:val="false"/>
              </w:rPr>
              <w:t xml:space="preserve">A filter removes anything that looks like a password or secret token from evidence before it is stored or sent anywhere.</w:t>
            </w:r>
          </w:p>
        </w:tc>
      </w:tr>
      <w:tr>
        <w:trPr>
          <w:cantSplit/>
        </w:trPr>
        <w:tc>
          <w:tcPr>
            <w:tcW w:type="dxa" w:w="2300"/>
            <w:tcMar>
              <w:top w:type="dxa" w:w="80"/>
              <w:left w:type="dxa" w:w="120"/>
              <w:bottom w:type="dxa" w:w="80"/>
              <w:right w:type="dxa" w:w="120"/>
            </w:tcMar>
            <w:vAlign w:val="center"/>
          </w:tcPr>
          <w:p>
            <w:pPr>
              <w:jc w:val="left"/>
            </w:pPr>
            <w:r>
              <w:rPr>
                <w:b w:val="false"/>
                <w:bCs w:val="false"/>
              </w:rPr>
              <w:t xml:space="preserve">Prompt injection</w:t>
            </w:r>
          </w:p>
        </w:tc>
        <w:tc>
          <w:tcPr>
            <w:tcW w:type="dxa" w:w="7060"/>
            <w:tcMar>
              <w:top w:type="dxa" w:w="80"/>
              <w:left w:type="dxa" w:w="120"/>
              <w:bottom w:type="dxa" w:w="80"/>
              <w:right w:type="dxa" w:w="120"/>
            </w:tcMar>
            <w:vAlign w:val="center"/>
          </w:tcPr>
          <w:p>
            <w:pPr>
              <w:jc w:val="left"/>
            </w:pPr>
            <w:r>
              <w:rPr>
                <w:b w:val="false"/>
                <w:bCs w:val="false"/>
              </w:rPr>
              <w:t xml:space="preserve">Untrusted text (logs, incident notes) is clearly marked as data, never as instructions (Section 10).</w:t>
            </w:r>
          </w:p>
        </w:tc>
      </w:tr>
      <w:tr>
        <w:trPr>
          <w:cantSplit/>
        </w:trPr>
        <w:tc>
          <w:tcPr>
            <w:tcW w:type="dxa" w:w="2300"/>
            <w:shd w:fill="EEF2F7" w:val="clear"/>
            <w:tcMar>
              <w:top w:type="dxa" w:w="80"/>
              <w:left w:type="dxa" w:w="120"/>
              <w:bottom w:type="dxa" w:w="80"/>
              <w:right w:type="dxa" w:w="120"/>
            </w:tcMar>
            <w:vAlign w:val="center"/>
          </w:tcPr>
          <w:p>
            <w:pPr>
              <w:jc w:val="left"/>
            </w:pPr>
            <w:r>
              <w:rPr>
                <w:b w:val="false"/>
                <w:bCs w:val="false"/>
              </w:rPr>
              <w:t xml:space="preserve">Forbidden write methods</w:t>
            </w:r>
          </w:p>
        </w:tc>
        <w:tc>
          <w:tcPr>
            <w:tcW w:type="dxa" w:w="7060"/>
            <w:shd w:fill="EEF2F7" w:val="clear"/>
            <w:tcMar>
              <w:top w:type="dxa" w:w="80"/>
              <w:left w:type="dxa" w:w="120"/>
              <w:bottom w:type="dxa" w:w="80"/>
              <w:right w:type="dxa" w:w="120"/>
            </w:tcMar>
            <w:vAlign w:val="center"/>
          </w:tcPr>
          <w:p>
            <w:pPr>
              <w:jc w:val="left"/>
            </w:pPr>
            <w:r>
              <w:rPr>
                <w:b w:val="false"/>
                <w:bCs w:val="false"/>
              </w:rPr>
              <w:t xml:space="preserve">The AI Copilot's code is never allowed to call any of ServiceNow's or NetBox's write/change functions — only the one new "add a work note" function.</w:t>
            </w:r>
          </w:p>
        </w:tc>
      </w:tr>
      <w:tr>
        <w:trPr>
          <w:cantSplit/>
        </w:trPr>
        <w:tc>
          <w:tcPr>
            <w:tcW w:type="dxa" w:w="2300"/>
            <w:tcMar>
              <w:top w:type="dxa" w:w="80"/>
              <w:left w:type="dxa" w:w="120"/>
              <w:bottom w:type="dxa" w:w="80"/>
              <w:right w:type="dxa" w:w="120"/>
            </w:tcMar>
            <w:vAlign w:val="center"/>
          </w:tcPr>
          <w:p>
            <w:pPr>
              <w:jc w:val="left"/>
            </w:pPr>
            <w:r>
              <w:rPr>
                <w:b w:val="false"/>
                <w:bCs w:val="false"/>
              </w:rPr>
              <w:t xml:space="preserve">CI enforcement</w:t>
            </w:r>
          </w:p>
        </w:tc>
        <w:tc>
          <w:tcPr>
            <w:tcW w:type="dxa" w:w="7060"/>
            <w:tcMar>
              <w:top w:type="dxa" w:w="80"/>
              <w:left w:type="dxa" w:w="120"/>
              <w:bottom w:type="dxa" w:w="80"/>
              <w:right w:type="dxa" w:w="120"/>
            </w:tcMar>
            <w:vAlign w:val="center"/>
          </w:tcPr>
          <w:p>
            <w:pPr>
              <w:jc w:val="left"/>
            </w:pPr>
            <w:r>
              <w:rPr>
                <w:b w:val="false"/>
                <w:bCs w:val="false"/>
              </w:rPr>
              <w:t xml:space="preserve">An automated test scans the AI Copilot's code on every build and fails it if a forbidden write call is ever added.</w:t>
            </w:r>
          </w:p>
        </w:tc>
      </w:tr>
      <w:tr>
        <w:trPr>
          <w:cantSplit/>
        </w:trPr>
        <w:tc>
          <w:tcPr>
            <w:tcW w:type="dxa" w:w="2300"/>
            <w:shd w:fill="EEF2F7" w:val="clear"/>
            <w:tcMar>
              <w:top w:type="dxa" w:w="80"/>
              <w:left w:type="dxa" w:w="120"/>
              <w:bottom w:type="dxa" w:w="80"/>
              <w:right w:type="dxa" w:w="120"/>
            </w:tcMar>
            <w:vAlign w:val="center"/>
          </w:tcPr>
          <w:p>
            <w:pPr>
              <w:jc w:val="left"/>
            </w:pPr>
            <w:r>
              <w:rPr>
                <w:b w:val="false"/>
                <w:bCs w:val="false"/>
              </w:rPr>
              <w:t xml:space="preserve">Audit trail</w:t>
            </w:r>
          </w:p>
        </w:tc>
        <w:tc>
          <w:tcPr>
            <w:tcW w:type="dxa" w:w="7060"/>
            <w:shd w:fill="EEF2F7" w:val="clear"/>
            <w:tcMar>
              <w:top w:type="dxa" w:w="80"/>
              <w:left w:type="dxa" w:w="120"/>
              <w:bottom w:type="dxa" w:w="80"/>
              <w:right w:type="dxa" w:w="120"/>
            </w:tcMar>
            <w:vAlign w:val="center"/>
          </w:tcPr>
          <w:p>
            <w:pPr>
              <w:jc w:val="left"/>
            </w:pPr>
            <w:r>
              <w:rPr>
                <w:b w:val="false"/>
                <w:bCs w:val="false"/>
              </w:rPr>
              <w:t xml:space="preserve">Every investigation is fully recorded and can be reconstructed later (Section 13).</w:t>
            </w:r>
          </w:p>
        </w:tc>
      </w:tr>
      <w:tr>
        <w:trPr>
          <w:cantSplit/>
        </w:trPr>
        <w:tc>
          <w:tcPr>
            <w:tcW w:type="dxa" w:w="2300"/>
            <w:tcMar>
              <w:top w:type="dxa" w:w="80"/>
              <w:left w:type="dxa" w:w="120"/>
              <w:bottom w:type="dxa" w:w="80"/>
              <w:right w:type="dxa" w:w="120"/>
            </w:tcMar>
            <w:vAlign w:val="center"/>
          </w:tcPr>
          <w:p>
            <w:pPr>
              <w:jc w:val="left"/>
            </w:pPr>
            <w:r>
              <w:rPr>
                <w:b w:val="false"/>
                <w:bCs w:val="false"/>
              </w:rPr>
              <w:t xml:space="preserve">Storage permissions</w:t>
            </w:r>
          </w:p>
        </w:tc>
        <w:tc>
          <w:tcPr>
            <w:tcW w:type="dxa" w:w="7060"/>
            <w:tcMar>
              <w:top w:type="dxa" w:w="80"/>
              <w:left w:type="dxa" w:w="120"/>
              <w:bottom w:type="dxa" w:w="80"/>
              <w:right w:type="dxa" w:w="120"/>
            </w:tcMar>
            <w:vAlign w:val="center"/>
          </w:tcPr>
          <w:p>
            <w:pPr>
              <w:jc w:val="left"/>
            </w:pPr>
            <w:r>
              <w:rPr>
                <w:b w:val="false"/>
                <w:bCs w:val="false"/>
              </w:rPr>
              <w:t xml:space="preserve">All AI Copilot storage is locked down to the AI Copilot process only, and excluded from version control.</w:t>
            </w:r>
          </w:p>
        </w:tc>
      </w:tr>
      <w:tr>
        <w:trPr>
          <w:cantSplit/>
        </w:trPr>
        <w:tc>
          <w:tcPr>
            <w:tcW w:type="dxa" w:w="2300"/>
            <w:shd w:fill="EEF2F7" w:val="clear"/>
            <w:tcMar>
              <w:top w:type="dxa" w:w="80"/>
              <w:left w:type="dxa" w:w="120"/>
              <w:bottom w:type="dxa" w:w="80"/>
              <w:right w:type="dxa" w:w="120"/>
            </w:tcMar>
            <w:vAlign w:val="center"/>
          </w:tcPr>
          <w:p>
            <w:pPr>
              <w:jc w:val="left"/>
            </w:pPr>
            <w:r>
              <w:rPr>
                <w:b w:val="false"/>
                <w:bCs w:val="false"/>
              </w:rPr>
              <w:t xml:space="preserve">Retention</w:t>
            </w:r>
          </w:p>
        </w:tc>
        <w:tc>
          <w:tcPr>
            <w:tcW w:type="dxa" w:w="7060"/>
            <w:shd w:fill="EEF2F7" w:val="clear"/>
            <w:tcMar>
              <w:top w:type="dxa" w:w="80"/>
              <w:left w:type="dxa" w:w="120"/>
              <w:bottom w:type="dxa" w:w="80"/>
              <w:right w:type="dxa" w:w="120"/>
            </w:tcMar>
            <w:vAlign w:val="center"/>
          </w:tcPr>
          <w:p>
            <w:pPr>
              <w:jc w:val="left"/>
            </w:pPr>
            <w:r>
              <w:rPr>
                <w:b w:val="false"/>
                <w:bCs w:val="false"/>
              </w:rPr>
              <w:t xml:space="preserve">Detailed investigation records are automatically deleted after a set number of days.</w:t>
            </w:r>
          </w:p>
        </w:tc>
      </w:tr>
      <w:tr>
        <w:trPr>
          <w:cantSplit/>
        </w:trPr>
        <w:tc>
          <w:tcPr>
            <w:tcW w:type="dxa" w:w="2300"/>
            <w:tcMar>
              <w:top w:type="dxa" w:w="80"/>
              <w:left w:type="dxa" w:w="120"/>
              <w:bottom w:type="dxa" w:w="80"/>
              <w:right w:type="dxa" w:w="120"/>
            </w:tcMar>
            <w:vAlign w:val="center"/>
          </w:tcPr>
          <w:p>
            <w:pPr>
              <w:jc w:val="left"/>
            </w:pPr>
            <w:r>
              <w:rPr>
                <w:b w:val="false"/>
                <w:bCs w:val="false"/>
              </w:rPr>
              <w:t xml:space="preserve">Least privilege</w:t>
            </w:r>
          </w:p>
        </w:tc>
        <w:tc>
          <w:tcPr>
            <w:tcW w:type="dxa" w:w="7060"/>
            <w:tcMar>
              <w:top w:type="dxa" w:w="80"/>
              <w:left w:type="dxa" w:w="120"/>
              <w:bottom w:type="dxa" w:w="80"/>
              <w:right w:type="dxa" w:w="120"/>
            </w:tcMar>
            <w:vAlign w:val="center"/>
          </w:tcPr>
          <w:p>
            <w:pPr>
              <w:jc w:val="left"/>
            </w:pPr>
            <w:r>
              <w:rPr>
                <w:b w:val="false"/>
                <w:bCs w:val="false"/>
              </w:rPr>
              <w:t xml:space="preserve">The AI only ever reads what it needs, and writes only one specific field, only in Phase 1B.</w:t>
            </w:r>
          </w:p>
        </w:tc>
      </w:tr>
      <w:tr>
        <w:trPr>
          <w:cantSplit/>
        </w:trPr>
        <w:tc>
          <w:tcPr>
            <w:tcW w:type="dxa" w:w="2300"/>
            <w:shd w:fill="EEF2F7" w:val="clear"/>
            <w:tcMar>
              <w:top w:type="dxa" w:w="80"/>
              <w:left w:type="dxa" w:w="120"/>
              <w:bottom w:type="dxa" w:w="80"/>
              <w:right w:type="dxa" w:w="120"/>
            </w:tcMar>
            <w:vAlign w:val="center"/>
          </w:tcPr>
          <w:p>
            <w:pPr>
              <w:jc w:val="left"/>
            </w:pPr>
            <w:r>
              <w:rPr>
                <w:b w:val="false"/>
                <w:bCs w:val="false"/>
              </w:rPr>
              <w:t xml:space="preserve">Phase boundaries</w:t>
            </w:r>
          </w:p>
        </w:tc>
        <w:tc>
          <w:tcPr>
            <w:tcW w:type="dxa" w:w="7060"/>
            <w:shd w:fill="EEF2F7" w:val="clear"/>
            <w:tcMar>
              <w:top w:type="dxa" w:w="80"/>
              <w:left w:type="dxa" w:w="120"/>
              <w:bottom w:type="dxa" w:w="80"/>
              <w:right w:type="dxa" w:w="120"/>
            </w:tcMar>
            <w:vAlign w:val="center"/>
          </w:tcPr>
          <w:p>
            <w:pPr>
              <w:jc w:val="left"/>
            </w:pPr>
            <w:r>
              <w:rPr>
                <w:b w:val="false"/>
                <w:bCs w:val="false"/>
              </w:rPr>
              <w:t xml:space="preserve">Each phase only unlocks a small, specific new capability — nothing is unlocked early.</w:t>
            </w:r>
          </w:p>
        </w:tc>
      </w:tr>
    </w:tbl>
    <w:p>
      <w:pPr>
        <w:pStyle w:val="Heading2"/>
        <w:spacing w:after="130" w:before="260"/>
      </w:pPr>
      <w:r>
        <w:t xml:space="preserve">The credential plan</w:t>
      </w:r>
    </w:p>
    <w:p>
      <w:pPr>
        <w:pStyle w:val="ListParagraph"/>
        <w:numPr>
          <w:ilvl w:val="0"/>
          <w:numId w:val="2"/>
        </w:numPr>
        <w:spacing w:after="90" w:line="276"/>
      </w:pPr>
      <w:r>
        <w:t xml:space="preserve">A dedicated, limited-permission ServiceNow account is the preferred setup before Phase 1B begins.</w:t>
      </w:r>
    </w:p>
    <w:p>
      <w:pPr>
        <w:pStyle w:val="ListParagraph"/>
        <w:numPr>
          <w:ilvl w:val="0"/>
          <w:numId w:val="2"/>
        </w:numPr>
        <w:spacing w:after="90" w:line="276"/>
      </w:pPr>
      <w:r>
        <w:t xml:space="preserve">If the existing shared credentials are used temporarily instead, that must be a clear, deliberate, time-limited decision — never a silent default.</w:t>
      </w:r>
    </w:p>
    <w:p>
      <w:pPr>
        <w:pStyle w:val="ListParagraph"/>
        <w:numPr>
          <w:ilvl w:val="0"/>
          <w:numId w:val="2"/>
        </w:numPr>
        <w:spacing w:after="90" w:line="276"/>
      </w:pPr>
      <w:r>
        <w:t xml:space="preserve">A dedicated account is mandatory, with no more exceptions, before Phase 2 begins.</w:t>
      </w:r>
    </w:p>
    <w:p>
      <w:r>
        <w:br w:type="page"/>
      </w:r>
    </w:p>
    <w:p>
      <w:pPr>
        <w:pStyle w:val="Heading1"/>
        <w:spacing w:after="180" w:before="380"/>
      </w:pPr>
      <w:r>
        <w:t xml:space="preserve">13. Audit, Run Storage and Retention</w:t>
      </w:r>
    </w:p>
    <w:p>
      <w:pPr>
        <w:spacing w:after="150" w:line="276"/>
      </w:pPr>
      <w:r>
        <w:t xml:space="preserve">Every single investigation is recorded in two different places, for two different reasons.</w:t>
      </w:r>
    </w:p>
    <w:p>
      <w:pPr>
        <w:pStyle w:val="Heading2"/>
        <w:spacing w:after="130" w:before="260"/>
      </w:pPr>
      <w:r>
        <w:t xml:space="preserve">Tier 1 — the audit log (always on, lightweight)</w:t>
      </w:r>
    </w:p>
    <w:p>
      <w:pPr>
        <w:spacing w:after="150" w:line="276"/>
      </w:pPr>
      <w:r>
        <w:t xml:space="preserve">A simple, always-on log with just enough information to answer "what happened, and when" at a glance:</w:t>
      </w:r>
    </w:p>
    <w:p>
      <w:pPr>
        <w:pStyle w:val="ListParagraph"/>
        <w:numPr>
          <w:ilvl w:val="0"/>
          <w:numId w:val="2"/>
        </w:numPr>
        <w:spacing w:after="90" w:line="276"/>
      </w:pPr>
      <w:r>
        <w:t xml:space="preserve">run_id — a unique reference for this one investigation</w:t>
      </w:r>
    </w:p>
    <w:p>
      <w:pPr>
        <w:pStyle w:val="ListParagraph"/>
        <w:numPr>
          <w:ilvl w:val="0"/>
          <w:numId w:val="2"/>
        </w:numPr>
        <w:spacing w:after="90" w:line="276"/>
      </w:pPr>
      <w:r>
        <w:t xml:space="preserve">which incident it relates to</w:t>
      </w:r>
    </w:p>
    <w:p>
      <w:pPr>
        <w:pStyle w:val="ListParagraph"/>
        <w:numPr>
          <w:ilvl w:val="0"/>
          <w:numId w:val="2"/>
        </w:numPr>
        <w:spacing w:after="90" w:line="276"/>
      </w:pPr>
      <w:r>
        <w:t xml:space="preserve">which tools were used, and whether each one succeeded</w:t>
      </w:r>
    </w:p>
    <w:p>
      <w:pPr>
        <w:pStyle w:val="ListParagraph"/>
        <w:numPr>
          <w:ilvl w:val="0"/>
          <w:numId w:val="2"/>
        </w:numPr>
        <w:spacing w:after="90" w:line="276"/>
      </w:pPr>
      <w:r>
        <w:t xml:space="preserve">which AI model was used, and which version of the prompt</w:t>
      </w:r>
    </w:p>
    <w:p>
      <w:pPr>
        <w:pStyle w:val="ListParagraph"/>
        <w:numPr>
          <w:ilvl w:val="0"/>
          <w:numId w:val="2"/>
        </w:numPr>
        <w:spacing w:after="90" w:line="276"/>
      </w:pPr>
      <w:r>
        <w:t xml:space="preserve">the Evidence Quality result</w:t>
      </w:r>
    </w:p>
    <w:p>
      <w:pPr>
        <w:pStyle w:val="ListParagraph"/>
        <w:numPr>
          <w:ilvl w:val="0"/>
          <w:numId w:val="2"/>
        </w:numPr>
        <w:spacing w:after="90" w:line="276"/>
      </w:pPr>
      <w:r>
        <w:t xml:space="preserve">what was decided (shadow-only, or a work note was posted)</w:t>
      </w:r>
    </w:p>
    <w:p>
      <w:pPr>
        <w:pStyle w:val="ListParagraph"/>
        <w:numPr>
          <w:ilvl w:val="0"/>
          <w:numId w:val="2"/>
        </w:numPr>
        <w:spacing w:after="90" w:line="276"/>
      </w:pPr>
      <w:r>
        <w:t xml:space="preserve">whether a ServiceNow write actually happened</w:t>
      </w:r>
    </w:p>
    <w:p>
      <w:pPr>
        <w:pStyle w:val="Heading2"/>
        <w:spacing w:after="130" w:before="260"/>
      </w:pPr>
      <w:r>
        <w:t xml:space="preserve">Tier 2 — full run storage (detailed, for review)</w:t>
      </w:r>
    </w:p>
    <w:p>
      <w:pPr>
        <w:spacing w:after="150" w:line="276"/>
      </w:pPr>
      <w:r>
        <w:t xml:space="preserve">A separate, more detailed file for every investigation, containing the full evidence collected, the exact question sent to the AI, and the AI's full answer — with anything secret-looking already removed by the redaction filter (Section 12) before it is ever saved.</w:t>
      </w:r>
    </w:p>
    <w:p>
      <w:pPr>
        <w:pStyle w:val="Heading2"/>
        <w:spacing w:after="130" w:before="260"/>
      </w:pPr>
      <w:r>
        <w:t xml:space="preserve">Storage rules</w:t>
      </w:r>
    </w:p>
    <w:p>
      <w:pPr>
        <w:pStyle w:val="ListParagraph"/>
        <w:numPr>
          <w:ilvl w:val="0"/>
          <w:numId w:val="2"/>
        </w:numPr>
        <w:spacing w:after="90" w:line="276"/>
      </w:pPr>
      <w:r>
        <w:t xml:space="preserve">Excluded from version control (git) completely.</w:t>
      </w:r>
    </w:p>
    <w:p>
      <w:pPr>
        <w:pStyle w:val="ListParagraph"/>
        <w:numPr>
          <w:ilvl w:val="0"/>
          <w:numId w:val="2"/>
        </w:numPr>
        <w:spacing w:after="90" w:line="276"/>
      </w:pPr>
      <w:r>
        <w:t xml:space="preserve">Locked down with strict file permissions so only the AI Copilot process can read it.</w:t>
      </w:r>
    </w:p>
    <w:p>
      <w:pPr>
        <w:pStyle w:val="ListParagraph"/>
        <w:numPr>
          <w:ilvl w:val="0"/>
          <w:numId w:val="2"/>
        </w:numPr>
        <w:spacing w:after="90" w:line="276"/>
      </w:pPr>
      <w:r>
        <w:t xml:space="preserve">Automatically deleted after a set retention period (30 days by default) so detailed records don't build up forever.</w:t>
      </w:r>
    </w:p>
    <w:p>
      <w:r>
        <w:br w:type="page"/>
      </w:r>
    </w:p>
    <w:p>
      <w:pPr>
        <w:pStyle w:val="Heading1"/>
        <w:spacing w:after="180" w:before="380"/>
      </w:pPr>
      <w:r>
        <w:t xml:space="preserve">14. Docker and Runtime Architecture</w:t>
      </w:r>
    </w:p>
    <w:p>
      <w:pPr>
        <w:spacing w:after="150" w:line="276"/>
      </w:pPr>
      <w:r>
        <w:t xml:space="preserve">The AI Copilot runs as its own small, separate container, alongside the existing observability containers.</w:t>
      </w:r>
    </w:p>
    <w:p>
      <w:pPr>
        <w:pStyle w:val="Heading2"/>
        <w:spacing w:after="130" w:before="260"/>
      </w:pPr>
      <w:r>
        <w:t xml:space="preserve">Why its own Dockerfile</w:t>
      </w:r>
    </w:p>
    <w:p>
      <w:pPr>
        <w:spacing w:after="150" w:line="276"/>
      </w:pPr>
      <w:r>
        <w:t xml:space="preserve">Every other lightweight service in this project runs on a bare, minimal container image with no extra installation step, because they only use Python's own built-in tools. The AI Copilot is different — it needs the OpenAI library, which is a genuine third-party package. So it gets its own, small Dockerfile that installs exactly what it needs.</w:t>
      </w:r>
    </w:p>
    <w:p>
      <w:pPr>
        <w:pStyle w:val="Heading2"/>
        <w:spacing w:after="130" w:before="260"/>
      </w:pPr>
      <w:r>
        <w:t xml:space="preserve">Why Python 3.11-slim</w:t>
      </w:r>
    </w:p>
    <w:p>
      <w:pPr>
        <w:spacing w:after="150" w:line="276"/>
      </w:pPr>
      <w:r>
        <w:t xml:space="preserve">This is a standard, widely-compatible Python image that installs third-party packages reliably, avoiding the compatibility problems a more minimal image can run into with these specific packages.</w:t>
      </w:r>
    </w:p>
    <w:p>
      <w:pPr>
        <w:pStyle w:val="Heading2"/>
        <w:spacing w:after="130" w:before="260"/>
      </w:pPr>
      <w:r>
        <w:t xml:space="preserve">How it runs</w:t>
      </w:r>
    </w:p>
    <w:p>
      <w:pPr>
        <w:pStyle w:val="ListParagraph"/>
        <w:numPr>
          <w:ilvl w:val="0"/>
          <w:numId w:val="2"/>
        </w:numPr>
        <w:spacing w:after="90" w:line="276"/>
      </w:pPr>
      <w:r>
        <w:t xml:space="preserve">The container runs one long-lived process: the poller, checking ServiceNow on a timer.</w:t>
      </w:r>
    </w:p>
    <w:p>
      <w:pPr>
        <w:pStyle w:val="ListParagraph"/>
        <w:numPr>
          <w:ilvl w:val="0"/>
          <w:numId w:val="2"/>
        </w:numPr>
        <w:spacing w:after="90" w:line="276"/>
      </w:pPr>
      <w:r>
        <w:t xml:space="preserve">Its storage (audit logs, run records, and its own internal state) is kept in a dedicated, persistent location so nothing is lost if the container restarts.</w:t>
      </w:r>
    </w:p>
    <w:p>
      <w:pPr>
        <w:pStyle w:val="ListParagraph"/>
        <w:numPr>
          <w:ilvl w:val="0"/>
          <w:numId w:val="2"/>
        </w:numPr>
        <w:spacing w:after="90" w:line="276"/>
      </w:pPr>
      <w:r>
        <w:t xml:space="preserve">It writes a small "heartbeat" file every time it finishes a check cycle, recording whether it could actually reach ServiceNow and OpenAI, not just that it is technically still running.</w:t>
      </w:r>
    </w:p>
    <w:p>
      <w:pPr>
        <w:pStyle w:val="ListParagraph"/>
        <w:numPr>
          <w:ilvl w:val="0"/>
          <w:numId w:val="2"/>
        </w:numPr>
        <w:spacing w:after="90" w:line="276"/>
      </w:pPr>
      <w:r>
        <w:t xml:space="preserve">Docker's own healthcheck reads that heartbeat file, so "healthy" genuinely means "working," not just "alive."</w:t>
      </w:r>
    </w:p>
    <w:p>
      <w:pPr>
        <w:pStyle w:val="ListParagraph"/>
        <w:numPr>
          <w:ilvl w:val="0"/>
          <w:numId w:val="2"/>
        </w:numPr>
        <w:spacing w:after="90" w:line="276"/>
      </w:pPr>
      <w:r>
        <w:t xml:space="preserve">Only one copy of the Copilot is ever allowed to run at the same time, enforced both by the container configuration and by a simple internal lock — this stops the same incident from ever being investigated twice at once.</w:t>
      </w:r>
    </w:p>
    <w:p>
      <w:pPr>
        <w:pBdr>
          <w:left w:val="single" w:color="2E5395" w:sz="18"/>
        </w:pBdr>
        <w:shd w:fill="F4F6F9" w:val="clear"/>
        <w:spacing w:after="180" w:before="90"/>
        <w:ind w:left="120"/>
      </w:pPr>
      <w:r>
        <w:rPr>
          <w:b/>
          <w:bCs/>
          <w:color w:val="2E5395"/>
        </w:rPr>
        <w:t xml:space="preserve">Note: </w:t>
      </w:r>
      <w:r>
        <w:t xml:space="preserve">No Kubernetes or other new platform is introduced. This stays inside the same Docker Compose setup the rest of the project already uses.</w:t>
      </w:r>
    </w:p>
    <w:p>
      <w:r>
        <w:br w:type="page"/>
      </w:r>
    </w:p>
    <w:p>
      <w:pPr>
        <w:pStyle w:val="Heading1"/>
        <w:spacing w:after="180" w:before="380"/>
      </w:pPr>
      <w:r>
        <w:t xml:space="preserve">15. Testing and Validation Strategy</w:t>
      </w:r>
    </w:p>
    <w:p>
      <w:pPr>
        <w:pStyle w:val="Heading2"/>
        <w:spacing w:after="130" w:before="260"/>
      </w:pPr>
      <w:r>
        <w:t xml:space="preserve">Stages of testing</w:t>
      </w:r>
    </w:p>
    <w:p>
      <w:pPr>
        <w:pStyle w:val="ListParagraph"/>
        <w:numPr>
          <w:ilvl w:val="0"/>
          <w:numId w:val="2"/>
        </w:numPr>
        <w:spacing w:after="90" w:line="276"/>
      </w:pPr>
      <w:r>
        <w:t xml:space="preserve">Unit tests — checking each small piece of logic on its own (the filter, the evidence quality rules, the fingerprint logic, the redaction filter).</w:t>
      </w:r>
    </w:p>
    <w:p>
      <w:pPr>
        <w:pStyle w:val="ListParagraph"/>
        <w:numPr>
          <w:ilvl w:val="0"/>
          <w:numId w:val="2"/>
        </w:numPr>
        <w:spacing w:after="90" w:line="276"/>
      </w:pPr>
      <w:r>
        <w:t xml:space="preserve">Integration tests — checking that the pieces work correctly together.</w:t>
      </w:r>
    </w:p>
    <w:p>
      <w:pPr>
        <w:pStyle w:val="ListParagraph"/>
        <w:numPr>
          <w:ilvl w:val="0"/>
          <w:numId w:val="2"/>
        </w:numPr>
        <w:spacing w:after="90" w:line="276"/>
      </w:pPr>
      <w:r>
        <w:t xml:space="preserve">CI tests — run automatically on every code change.</w:t>
      </w:r>
    </w:p>
    <w:p>
      <w:pPr>
        <w:pStyle w:val="ListParagraph"/>
        <w:numPr>
          <w:ilvl w:val="0"/>
          <w:numId w:val="2"/>
        </w:numPr>
        <w:spacing w:after="90" w:line="276"/>
      </w:pPr>
      <w:r>
        <w:t xml:space="preserve">Forbidden write guard — an automated scan that fails the build if the AI Copilot's code ever tries to call a write action it isn't allowed to use.</w:t>
      </w:r>
    </w:p>
    <w:p>
      <w:pPr>
        <w:pStyle w:val="ListParagraph"/>
        <w:numPr>
          <w:ilvl w:val="0"/>
          <w:numId w:val="2"/>
        </w:numPr>
        <w:spacing w:after="90" w:line="276"/>
      </w:pPr>
      <w:r>
        <w:t xml:space="preserve">Golden Set testing — running the whole pipeline against a small set of known, realistic examples.</w:t>
      </w:r>
    </w:p>
    <w:p>
      <w:pPr>
        <w:pStyle w:val="ListParagraph"/>
        <w:numPr>
          <w:ilvl w:val="0"/>
          <w:numId w:val="2"/>
        </w:numPr>
        <w:spacing w:after="90" w:line="276"/>
      </w:pPr>
      <w:r>
        <w:t xml:space="preserve">Repeatability testing — checking the AI gives a consistent answer when asked the same question with the same evidence more than once.</w:t>
      </w:r>
    </w:p>
    <w:p>
      <w:pPr>
        <w:pStyle w:val="ListParagraph"/>
        <w:numPr>
          <w:ilvl w:val="0"/>
          <w:numId w:val="2"/>
        </w:numPr>
        <w:spacing w:after="90" w:line="276"/>
      </w:pPr>
      <w:r>
        <w:t xml:space="preserve">Live shadow testing — running the real pipeline against a real incident, with no ServiceNow write, to prove it behaves safely before Phase 1B is switched on.</w:t>
      </w:r>
    </w:p>
    <w:p>
      <w:pPr>
        <w:pStyle w:val="ListParagraph"/>
        <w:numPr>
          <w:ilvl w:val="0"/>
          <w:numId w:val="2"/>
        </w:numPr>
        <w:spacing w:after="90" w:line="276"/>
      </w:pPr>
      <w:r>
        <w:t xml:space="preserve">Phase 1B testing — the same live test, but confirming exactly one correctly labelled work note appears, and nothing else changes.</w:t>
      </w:r>
    </w:p>
    <w:p>
      <w:pPr>
        <w:pStyle w:val="Heading2"/>
        <w:spacing w:after="130" w:before="260"/>
      </w:pPr>
      <w:r>
        <w:t xml:space="preserve">The Golden Set — five real-world scenarios</w:t>
      </w:r>
    </w:p>
    <w:tbl>
      <w:tblPr>
        <w:tblW w:type="dxa" w:w="9360"/>
        <w:tblBorders>
          <w:top w:val="single" w:color="AAAAAA" w:sz="4"/>
          <w:left w:val="single" w:color="AAAAAA" w:sz="4"/>
          <w:bottom w:val="single" w:color="AAAAAA" w:sz="4"/>
          <w:right w:val="single" w:color="AAAAAA" w:sz="4"/>
          <w:insideH w:val="single" w:color="AAAAAA" w:sz="4"/>
          <w:insideV w:val="single" w:color="AAAAAA" w:sz="4"/>
        </w:tblBorders>
      </w:tblPr>
      <w:tblGrid>
        <w:gridCol w:w="500"/>
        <w:gridCol w:w="3400"/>
        <w:gridCol w:w="5460"/>
      </w:tblGrid>
      <w:tr>
        <w:trPr>
          <w:cantSplit/>
          <w:tblHeader/>
        </w:trPr>
        <w:tc>
          <w:tcPr>
            <w:tcW w:type="dxa" w:w="500"/>
            <w:shd w:fill="1F3A5F" w:val="clear"/>
            <w:tcMar>
              <w:top w:type="dxa" w:w="80"/>
              <w:left w:type="dxa" w:w="120"/>
              <w:bottom w:type="dxa" w:w="80"/>
              <w:right w:type="dxa" w:w="120"/>
            </w:tcMar>
            <w:vAlign w:val="center"/>
          </w:tcPr>
          <w:p>
            <w:pPr>
              <w:jc w:val="left"/>
            </w:pPr>
            <w:r>
              <w:rPr>
                <w:b/>
                <w:bCs/>
                <w:color w:val="FFFFFF"/>
              </w:rPr>
              <w:t xml:space="preserve">#</w:t>
            </w:r>
          </w:p>
        </w:tc>
        <w:tc>
          <w:tcPr>
            <w:tcW w:type="dxa" w:w="3400"/>
            <w:shd w:fill="1F3A5F" w:val="clear"/>
            <w:tcMar>
              <w:top w:type="dxa" w:w="80"/>
              <w:left w:type="dxa" w:w="120"/>
              <w:bottom w:type="dxa" w:w="80"/>
              <w:right w:type="dxa" w:w="120"/>
            </w:tcMar>
            <w:vAlign w:val="center"/>
          </w:tcPr>
          <w:p>
            <w:pPr>
              <w:jc w:val="left"/>
            </w:pPr>
            <w:r>
              <w:rPr>
                <w:b/>
                <w:bCs/>
                <w:color w:val="FFFFFF"/>
              </w:rPr>
              <w:t xml:space="preserve">Scenario</w:t>
            </w:r>
          </w:p>
        </w:tc>
        <w:tc>
          <w:tcPr>
            <w:tcW w:type="dxa" w:w="5460"/>
            <w:shd w:fill="1F3A5F" w:val="clear"/>
            <w:tcMar>
              <w:top w:type="dxa" w:w="80"/>
              <w:left w:type="dxa" w:w="120"/>
              <w:bottom w:type="dxa" w:w="80"/>
              <w:right w:type="dxa" w:w="120"/>
            </w:tcMar>
            <w:vAlign w:val="center"/>
          </w:tcPr>
          <w:p>
            <w:pPr>
              <w:jc w:val="left"/>
            </w:pPr>
            <w:r>
              <w:rPr>
                <w:b/>
                <w:bCs/>
                <w:color w:val="FFFFFF"/>
              </w:rPr>
              <w:t xml:space="preserve">What it proves</w:t>
            </w:r>
          </w:p>
        </w:tc>
      </w:tr>
      <w:tr>
        <w:trPr>
          <w:cantSplit/>
        </w:trPr>
        <w:tc>
          <w:tcPr>
            <w:tcW w:type="dxa" w:w="500"/>
            <w:tcMar>
              <w:top w:type="dxa" w:w="80"/>
              <w:left w:type="dxa" w:w="120"/>
              <w:bottom w:type="dxa" w:w="80"/>
              <w:right w:type="dxa" w:w="120"/>
            </w:tcMar>
            <w:vAlign w:val="center"/>
          </w:tcPr>
          <w:p>
            <w:pPr>
              <w:jc w:val="left"/>
            </w:pPr>
            <w:r>
              <w:rPr>
                <w:b w:val="false"/>
                <w:bCs w:val="false"/>
              </w:rPr>
              <w:t xml:space="preserve">1</w:t>
            </w:r>
          </w:p>
        </w:tc>
        <w:tc>
          <w:tcPr>
            <w:tcW w:type="dxa" w:w="3400"/>
            <w:tcMar>
              <w:top w:type="dxa" w:w="80"/>
              <w:left w:type="dxa" w:w="120"/>
              <w:bottom w:type="dxa" w:w="80"/>
              <w:right w:type="dxa" w:w="120"/>
            </w:tcMar>
            <w:vAlign w:val="center"/>
          </w:tcPr>
          <w:p>
            <w:pPr>
              <w:jc w:val="left"/>
            </w:pPr>
            <w:r>
              <w:rPr>
                <w:b w:val="false"/>
                <w:bCs w:val="false"/>
              </w:rPr>
              <w:t xml:space="preserve">A real, fully documented past incident</w:t>
            </w:r>
          </w:p>
        </w:tc>
        <w:tc>
          <w:tcPr>
            <w:tcW w:type="dxa" w:w="5460"/>
            <w:tcMar>
              <w:top w:type="dxa" w:w="80"/>
              <w:left w:type="dxa" w:w="120"/>
              <w:bottom w:type="dxa" w:w="80"/>
              <w:right w:type="dxa" w:w="120"/>
            </w:tcMar>
            <w:vAlign w:val="center"/>
          </w:tcPr>
          <w:p>
            <w:pPr>
              <w:jc w:val="left"/>
            </w:pPr>
            <w:r>
              <w:rPr>
                <w:b w:val="false"/>
                <w:bCs w:val="false"/>
              </w:rPr>
              <w:t xml:space="preserve">The whole pipeline produces a clean, accurate, high-quality investigation on a real case.</w:t>
            </w:r>
          </w:p>
        </w:tc>
      </w:tr>
      <w:tr>
        <w:trPr>
          <w:cantSplit/>
        </w:trPr>
        <w:tc>
          <w:tcPr>
            <w:tcW w:type="dxa" w:w="500"/>
            <w:shd w:fill="EEF2F7" w:val="clear"/>
            <w:tcMar>
              <w:top w:type="dxa" w:w="80"/>
              <w:left w:type="dxa" w:w="120"/>
              <w:bottom w:type="dxa" w:w="80"/>
              <w:right w:type="dxa" w:w="120"/>
            </w:tcMar>
            <w:vAlign w:val="center"/>
          </w:tcPr>
          <w:p>
            <w:pPr>
              <w:jc w:val="left"/>
            </w:pPr>
            <w:r>
              <w:rPr>
                <w:b w:val="false"/>
                <w:bCs w:val="false"/>
              </w:rPr>
              <w:t xml:space="preserve">2</w:t>
            </w:r>
          </w:p>
        </w:tc>
        <w:tc>
          <w:tcPr>
            <w:tcW w:type="dxa" w:w="3400"/>
            <w:shd w:fill="EEF2F7" w:val="clear"/>
            <w:tcMar>
              <w:top w:type="dxa" w:w="80"/>
              <w:left w:type="dxa" w:w="120"/>
              <w:bottom w:type="dxa" w:w="80"/>
              <w:right w:type="dxa" w:w="120"/>
            </w:tcMar>
            <w:vAlign w:val="center"/>
          </w:tcPr>
          <w:p>
            <w:pPr>
              <w:jc w:val="left"/>
            </w:pPr>
            <w:r>
              <w:rPr>
                <w:b w:val="false"/>
                <w:bCs w:val="false"/>
              </w:rPr>
              <w:t xml:space="preserve">NetBox lookup fails</w:t>
            </w:r>
          </w:p>
        </w:tc>
        <w:tc>
          <w:tcPr>
            <w:tcW w:type="dxa" w:w="5460"/>
            <w:shd w:fill="EEF2F7" w:val="clear"/>
            <w:tcMar>
              <w:top w:type="dxa" w:w="80"/>
              <w:left w:type="dxa" w:w="120"/>
              <w:bottom w:type="dxa" w:w="80"/>
              <w:right w:type="dxa" w:w="120"/>
            </w:tcMar>
            <w:vAlign w:val="center"/>
          </w:tcPr>
          <w:p>
            <w:pPr>
              <w:jc w:val="left"/>
            </w:pPr>
            <w:r>
              <w:rPr>
                <w:b w:val="false"/>
                <w:bCs w:val="false"/>
              </w:rPr>
              <w:t xml:space="preserve">The system correctly says "insufficient evidence" instead of guessing.</w:t>
            </w:r>
          </w:p>
        </w:tc>
      </w:tr>
      <w:tr>
        <w:trPr>
          <w:cantSplit/>
        </w:trPr>
        <w:tc>
          <w:tcPr>
            <w:tcW w:type="dxa" w:w="500"/>
            <w:tcMar>
              <w:top w:type="dxa" w:w="80"/>
              <w:left w:type="dxa" w:w="120"/>
              <w:bottom w:type="dxa" w:w="80"/>
              <w:right w:type="dxa" w:w="120"/>
            </w:tcMar>
            <w:vAlign w:val="center"/>
          </w:tcPr>
          <w:p>
            <w:pPr>
              <w:jc w:val="left"/>
            </w:pPr>
            <w:r>
              <w:rPr>
                <w:b w:val="false"/>
                <w:bCs w:val="false"/>
              </w:rPr>
              <w:t xml:space="preserve">3</w:t>
            </w:r>
          </w:p>
        </w:tc>
        <w:tc>
          <w:tcPr>
            <w:tcW w:type="dxa" w:w="3400"/>
            <w:tcMar>
              <w:top w:type="dxa" w:w="80"/>
              <w:left w:type="dxa" w:w="120"/>
              <w:bottom w:type="dxa" w:w="80"/>
              <w:right w:type="dxa" w:w="120"/>
            </w:tcMar>
            <w:vAlign w:val="center"/>
          </w:tcPr>
          <w:p>
            <w:pPr>
              <w:jc w:val="left"/>
            </w:pPr>
            <w:r>
              <w:rPr>
                <w:b w:val="false"/>
                <w:bCs w:val="false"/>
              </w:rPr>
              <w:t xml:space="preserve">Telemetry disagrees with the alert</w:t>
            </w:r>
          </w:p>
        </w:tc>
        <w:tc>
          <w:tcPr>
            <w:tcW w:type="dxa" w:w="5460"/>
            <w:tcMar>
              <w:top w:type="dxa" w:w="80"/>
              <w:left w:type="dxa" w:w="120"/>
              <w:bottom w:type="dxa" w:w="80"/>
              <w:right w:type="dxa" w:w="120"/>
            </w:tcMar>
            <w:vAlign w:val="center"/>
          </w:tcPr>
          <w:p>
            <w:pPr>
              <w:jc w:val="left"/>
            </w:pPr>
            <w:r>
              <w:rPr>
                <w:b w:val="false"/>
                <w:bCs w:val="false"/>
              </w:rPr>
              <w:t xml:space="preserve">The system correctly flags this as contradictory, instead of hiding the disagreement.</w:t>
            </w:r>
          </w:p>
        </w:tc>
      </w:tr>
      <w:tr>
        <w:trPr>
          <w:cantSplit/>
        </w:trPr>
        <w:tc>
          <w:tcPr>
            <w:tcW w:type="dxa" w:w="500"/>
            <w:shd w:fill="EEF2F7" w:val="clear"/>
            <w:tcMar>
              <w:top w:type="dxa" w:w="80"/>
              <w:left w:type="dxa" w:w="120"/>
              <w:bottom w:type="dxa" w:w="80"/>
              <w:right w:type="dxa" w:w="120"/>
            </w:tcMar>
            <w:vAlign w:val="center"/>
          </w:tcPr>
          <w:p>
            <w:pPr>
              <w:jc w:val="left"/>
            </w:pPr>
            <w:r>
              <w:rPr>
                <w:b w:val="false"/>
                <w:bCs w:val="false"/>
              </w:rPr>
              <w:t xml:space="preserve">4</w:t>
            </w:r>
          </w:p>
        </w:tc>
        <w:tc>
          <w:tcPr>
            <w:tcW w:type="dxa" w:w="3400"/>
            <w:shd w:fill="EEF2F7" w:val="clear"/>
            <w:tcMar>
              <w:top w:type="dxa" w:w="80"/>
              <w:left w:type="dxa" w:w="120"/>
              <w:bottom w:type="dxa" w:w="80"/>
              <w:right w:type="dxa" w:w="120"/>
            </w:tcMar>
            <w:vAlign w:val="center"/>
          </w:tcPr>
          <w:p>
            <w:pPr>
              <w:jc w:val="left"/>
            </w:pPr>
            <w:r>
              <w:rPr>
                <w:b w:val="false"/>
                <w:bCs w:val="false"/>
              </w:rPr>
              <w:t xml:space="preserve">An active maintenance window overlaps the incident</w:t>
            </w:r>
          </w:p>
        </w:tc>
        <w:tc>
          <w:tcPr>
            <w:tcW w:type="dxa" w:w="5460"/>
            <w:shd w:fill="EEF2F7" w:val="clear"/>
            <w:tcMar>
              <w:top w:type="dxa" w:w="80"/>
              <w:left w:type="dxa" w:w="120"/>
              <w:bottom w:type="dxa" w:w="80"/>
              <w:right w:type="dxa" w:w="120"/>
            </w:tcMar>
            <w:vAlign w:val="center"/>
          </w:tcPr>
          <w:p>
            <w:pPr>
              <w:jc w:val="left"/>
            </w:pPr>
            <w:r>
              <w:rPr>
                <w:b w:val="false"/>
                <w:bCs w:val="false"/>
              </w:rPr>
              <w:t xml:space="preserve">The system correctly understands this context instead of treating it as a mystery gap.</w:t>
            </w:r>
          </w:p>
        </w:tc>
      </w:tr>
      <w:tr>
        <w:trPr>
          <w:cantSplit/>
        </w:trPr>
        <w:tc>
          <w:tcPr>
            <w:tcW w:type="dxa" w:w="500"/>
            <w:tcMar>
              <w:top w:type="dxa" w:w="80"/>
              <w:left w:type="dxa" w:w="120"/>
              <w:bottom w:type="dxa" w:w="80"/>
              <w:right w:type="dxa" w:w="120"/>
            </w:tcMar>
            <w:vAlign w:val="center"/>
          </w:tcPr>
          <w:p>
            <w:pPr>
              <w:jc w:val="left"/>
            </w:pPr>
            <w:r>
              <w:rPr>
                <w:b w:val="false"/>
                <w:bCs w:val="false"/>
              </w:rPr>
              <w:t xml:space="preserve">5</w:t>
            </w:r>
          </w:p>
        </w:tc>
        <w:tc>
          <w:tcPr>
            <w:tcW w:type="dxa" w:w="3400"/>
            <w:tcMar>
              <w:top w:type="dxa" w:w="80"/>
              <w:left w:type="dxa" w:w="120"/>
              <w:bottom w:type="dxa" w:w="80"/>
              <w:right w:type="dxa" w:w="120"/>
            </w:tcMar>
            <w:vAlign w:val="center"/>
          </w:tcPr>
          <w:p>
            <w:pPr>
              <w:jc w:val="left"/>
            </w:pPr>
            <w:r>
              <w:rPr>
                <w:b w:val="false"/>
                <w:bCs w:val="false"/>
              </w:rPr>
              <w:t xml:space="preserve">A repeated alert firing</w:t>
            </w:r>
          </w:p>
        </w:tc>
        <w:tc>
          <w:tcPr>
            <w:tcW w:type="dxa" w:w="5460"/>
            <w:tcMar>
              <w:top w:type="dxa" w:w="80"/>
              <w:left w:type="dxa" w:w="120"/>
              <w:bottom w:type="dxa" w:w="80"/>
              <w:right w:type="dxa" w:w="120"/>
            </w:tcMar>
            <w:vAlign w:val="center"/>
          </w:tcPr>
          <w:p>
            <w:pPr>
              <w:jc w:val="left"/>
            </w:pPr>
            <w:r>
              <w:rPr>
                <w:b w:val="false"/>
                <w:bCs w:val="false"/>
              </w:rPr>
              <w:t xml:space="preserve">The re-analysis and cooldown logic behaves correctly on realistic, repeated data.</w:t>
            </w:r>
          </w:p>
        </w:tc>
      </w:tr>
    </w:tbl>
    <w:p>
      <w:pPr>
        <w:pStyle w:val="Heading2"/>
        <w:spacing w:after="130" w:before="260"/>
      </w:pPr>
      <w:r>
        <w:t xml:space="preserve">Repeatability testing</w:t>
      </w:r>
    </w:p>
    <w:p>
      <w:pPr>
        <w:spacing w:after="150" w:line="276"/>
      </w:pPr>
      <w:r>
        <w:t xml:space="preserve">Each of the five cases above is run five separate times, using the exact same evidence every time. Two different things are checked:</w:t>
      </w:r>
    </w:p>
    <w:p>
      <w:pPr>
        <w:pStyle w:val="ListParagraph"/>
        <w:numPr>
          <w:ilvl w:val="0"/>
          <w:numId w:val="2"/>
        </w:numPr>
        <w:spacing w:after="90" w:line="276"/>
      </w:pPr>
      <w:r>
        <w:t xml:space="preserve">The Evidence Quality result (calculated by Python) must be exactly the same, every single time — since it never involves the AI, any difference here would point to a genuine bug.</w:t>
      </w:r>
    </w:p>
    <w:p>
      <w:pPr>
        <w:pStyle w:val="ListParagraph"/>
        <w:numPr>
          <w:ilvl w:val="0"/>
          <w:numId w:val="2"/>
        </w:numPr>
        <w:spacing w:after="90" w:line="276"/>
      </w:pPr>
      <w:r>
        <w:t xml:space="preserve">The AI's investigation conclusion is checked for consistency across the five runs — it should not confidently identify a root cause in one run and say "insufficient evidence" for the exact same case in another.</w:t>
      </w:r>
    </w:p>
    <w:p>
      <w:pPr>
        <w:pBdr>
          <w:left w:val="single" w:color="2E5395" w:sz="18"/>
        </w:pBdr>
        <w:shd w:fill="F4F6F9" w:val="clear"/>
        <w:spacing w:after="180" w:before="90"/>
        <w:ind w:left="120"/>
      </w:pPr>
      <w:r>
        <w:rPr>
          <w:b/>
          <w:bCs/>
          <w:color w:val="2E5395"/>
        </w:rPr>
        <w:t xml:space="preserve">Note: </w:t>
      </w:r>
      <w:r>
        <w:t xml:space="preserve">Setting the AI's "temperature" (a setting that controls how random its answers are) to a low value is a simple, cheap way to reduce this kind of inconsistency. It reduces the risk — it does not guarantee a perfectly identical answer every time, and this plan does not pretend otherwise.</w:t>
      </w:r>
    </w:p>
    <w:p>
      <w:pPr>
        <w:pStyle w:val="Heading2"/>
        <w:spacing w:after="130" w:before="260"/>
      </w:pPr>
      <w:r>
        <w:t xml:space="preserve">Evaluation rubric (used to judge each Golden Set case)</w:t>
      </w:r>
    </w:p>
    <w:p>
      <w:pPr>
        <w:pStyle w:val="ListParagraph"/>
        <w:numPr>
          <w:ilvl w:val="0"/>
          <w:numId w:val="2"/>
        </w:numPr>
        <w:spacing w:after="90" w:line="276"/>
      </w:pPr>
      <w:r>
        <w:t xml:space="preserve">Hallucination rate — did it mention any device name, IP address, or fact that wasn't actually in the evidence? (Target: zero, always.)</w:t>
      </w:r>
    </w:p>
    <w:p>
      <w:pPr>
        <w:pStyle w:val="ListParagraph"/>
        <w:numPr>
          <w:ilvl w:val="0"/>
          <w:numId w:val="2"/>
        </w:numPr>
        <w:spacing w:after="90" w:line="276"/>
      </w:pPr>
      <w:r>
        <w:t xml:space="preserve">Unsupported-fact rate — did it call something "observed" that a human reviewer wouldn't agree was really observed?</w:t>
      </w:r>
    </w:p>
    <w:p>
      <w:pPr>
        <w:pStyle w:val="ListParagraph"/>
        <w:numPr>
          <w:ilvl w:val="0"/>
          <w:numId w:val="2"/>
        </w:numPr>
        <w:spacing w:after="90" w:line="276"/>
      </w:pPr>
      <w:r>
        <w:t xml:space="preserve">Citation correctness — does each hypothesis actually make sense given the observation it's built on?</w:t>
      </w:r>
    </w:p>
    <w:p>
      <w:pPr>
        <w:pStyle w:val="ListParagraph"/>
        <w:numPr>
          <w:ilvl w:val="0"/>
          <w:numId w:val="2"/>
        </w:numPr>
        <w:spacing w:after="90" w:line="276"/>
      </w:pPr>
      <w:r>
        <w:t xml:space="preserve">Usefulness — would a real engineer find this a genuinely useful starting point?</w:t>
      </w:r>
    </w:p>
    <w:p>
      <w:pPr>
        <w:pStyle w:val="ListParagraph"/>
        <w:numPr>
          <w:ilvl w:val="0"/>
          <w:numId w:val="2"/>
        </w:numPr>
        <w:spacing w:after="90" w:line="276"/>
      </w:pPr>
      <w:r>
        <w:t xml:space="preserve">Uncertainty behaviour — does it correctly say "insufficient" or "contradictory" exactly when the test case says it should?</w:t>
      </w:r>
    </w:p>
    <w:p>
      <w:r>
        <w:br w:type="page"/>
      </w:r>
    </w:p>
    <w:p>
      <w:pPr>
        <w:pStyle w:val="Heading1"/>
        <w:spacing w:after="180" w:before="380"/>
      </w:pPr>
      <w:r>
        <w:t xml:space="preserve">16. Phase 1 Exit Criteria</w:t>
      </w:r>
    </w:p>
    <w:p>
      <w:pPr>
        <w:pStyle w:val="Heading2"/>
        <w:spacing w:after="130" w:before="260"/>
      </w:pPr>
      <w:r>
        <w:t xml:space="preserve">Phase 1A → Phase 1B</w:t>
      </w:r>
    </w:p>
    <w:p>
      <w:pPr>
        <w:pStyle w:val="ListParagraph"/>
        <w:numPr>
          <w:ilvl w:val="0"/>
          <w:numId w:val="2"/>
        </w:numPr>
        <w:spacing w:after="90" w:line="276"/>
      </w:pPr>
      <w:r>
        <w:t xml:space="preserve">All automated tests pass, including the forbidden-write guard.</w:t>
      </w:r>
    </w:p>
    <w:p>
      <w:pPr>
        <w:pStyle w:val="ListParagraph"/>
        <w:numPr>
          <w:ilvl w:val="0"/>
          <w:numId w:val="2"/>
        </w:numPr>
        <w:spacing w:after="90" w:line="276"/>
      </w:pPr>
      <w:r>
        <w:t xml:space="preserve">All five Golden Set cases score well against the rubric above, with zero hallucinations.</w:t>
      </w:r>
    </w:p>
    <w:p>
      <w:pPr>
        <w:pStyle w:val="ListParagraph"/>
        <w:numPr>
          <w:ilvl w:val="0"/>
          <w:numId w:val="2"/>
        </w:numPr>
        <w:spacing w:after="90" w:line="276"/>
      </w:pPr>
      <w:r>
        <w:t xml:space="preserve">Repeatability testing shows stable, consistent behaviour.</w:t>
      </w:r>
    </w:p>
    <w:p>
      <w:pPr>
        <w:pStyle w:val="ListParagraph"/>
        <w:numPr>
          <w:ilvl w:val="0"/>
          <w:numId w:val="2"/>
        </w:numPr>
        <w:spacing w:after="90" w:line="276"/>
      </w:pPr>
      <w:r>
        <w:t xml:space="preserve">A conscious decision has been made about ServiceNow credentials (dedicated account, or an explicit, time-limited exception).</w:t>
      </w:r>
    </w:p>
    <w:p>
      <w:pPr>
        <w:pStyle w:val="Heading2"/>
        <w:spacing w:after="130" w:before="260"/>
      </w:pPr>
      <w:r>
        <w:t xml:space="preserve">Phase 1B → Phase 2</w:t>
      </w:r>
    </w:p>
    <w:p>
      <w:pPr>
        <w:pStyle w:val="ListParagraph"/>
        <w:numPr>
          <w:ilvl w:val="0"/>
          <w:numId w:val="2"/>
        </w:numPr>
        <w:spacing w:after="90" w:line="276"/>
      </w:pPr>
      <w:r>
        <w:t xml:space="preserve">Real work notes have been reviewed as genuinely useful over a real trial period.</w:t>
      </w:r>
    </w:p>
    <w:p>
      <w:pPr>
        <w:pStyle w:val="ListParagraph"/>
        <w:numPr>
          <w:ilvl w:val="0"/>
          <w:numId w:val="2"/>
        </w:numPr>
        <w:spacing w:after="90" w:line="276"/>
      </w:pPr>
      <w:r>
        <w:t xml:space="preserve">A dedicated, least-privilege ServiceNow account is now in place — this is no longer optional at this point.</w:t>
      </w:r>
    </w:p>
    <w:p>
      <w:r>
        <w:br w:type="page"/>
      </w:r>
    </w:p>
    <w:p>
      <w:pPr>
        <w:pStyle w:val="Heading1"/>
        <w:spacing w:after="180" w:before="380"/>
      </w:pPr>
      <w:r>
        <w:t xml:space="preserve">17. Phase 2 — Knowledge and Network Q&amp;A</w:t>
      </w:r>
    </w:p>
    <w:p>
      <w:pPr>
        <w:spacing w:after="150" w:line="276"/>
      </w:pPr>
      <w:r>
        <w:t xml:space="preserve">Phase 2 is not designed in full detail yet — this section describes only the agreed shape of it, so future work stays consistent with everything already decided.</w:t>
      </w:r>
    </w:p>
    <w:p>
      <w:pPr>
        <w:pStyle w:val="Heading2"/>
        <w:spacing w:after="130" w:before="260"/>
      </w:pPr>
      <w:r>
        <w:t xml:space="preserve">What Phase 2 adds</w:t>
      </w:r>
    </w:p>
    <w:p>
      <w:pPr>
        <w:pStyle w:val="ListParagraph"/>
        <w:numPr>
          <w:ilvl w:val="0"/>
          <w:numId w:val="2"/>
        </w:numPr>
        <w:spacing w:after="90" w:line="276"/>
      </w:pPr>
      <w:r>
        <w:t xml:space="preserve">The ability to answer questions using static knowledge: architecture documents, runbooks, and approved documentation.</w:t>
      </w:r>
    </w:p>
    <w:p>
      <w:pPr>
        <w:pStyle w:val="ListParagraph"/>
        <w:numPr>
          <w:ilvl w:val="0"/>
          <w:numId w:val="2"/>
        </w:numPr>
        <w:spacing w:after="90" w:line="276"/>
      </w:pPr>
      <w:r>
        <w:t xml:space="preserve">Approved topology snapshots, once they exist and are reliable.</w:t>
      </w:r>
    </w:p>
    <w:p>
      <w:pPr>
        <w:pStyle w:val="ListParagraph"/>
        <w:numPr>
          <w:ilvl w:val="0"/>
          <w:numId w:val="2"/>
        </w:numPr>
        <w:spacing w:after="90" w:line="276"/>
      </w:pPr>
      <w:r>
        <w:t xml:space="preserve">The ability to answer simple questions about NetBox data.</w:t>
      </w:r>
    </w:p>
    <w:p>
      <w:pPr>
        <w:pStyle w:val="Heading2"/>
        <w:spacing w:after="130" w:before="260"/>
      </w:pPr>
      <w:r>
        <w:t xml:space="preserve">No automatic vector database</w:t>
      </w:r>
    </w:p>
    <w:p>
      <w:pPr>
        <w:pBdr>
          <w:left w:val="single" w:color="2E5395" w:sz="18"/>
        </w:pBdr>
        <w:shd w:fill="F4F6F9" w:val="clear"/>
        <w:spacing w:after="180" w:before="90"/>
        <w:ind w:left="120"/>
      </w:pPr>
      <w:r>
        <w:rPr>
          <w:b/>
          <w:bCs/>
          <w:color w:val="2E5395"/>
        </w:rPr>
        <w:t xml:space="preserve">Note: </w:t>
      </w:r>
      <w:r>
        <w:t xml:space="preserve">A vector database (used for advanced "AI search" over documents) is not introduced just because it sounds like a natural fit for an AI feature. This project's actual document library is small, so simple file-based search is enough to start. A vector database is only introduced later if the document library genuinely grows large enough to need it.</w:t>
      </w:r>
    </w:p>
    <w:p>
      <w:pPr>
        <w:pStyle w:val="Heading2"/>
        <w:spacing w:after="130" w:before="260"/>
      </w:pPr>
      <w:r>
        <w:t xml:space="preserve">The AI never chooses which source of truth to trust</w:t>
      </w:r>
    </w:p>
    <w:p>
      <w:pPr>
        <w:spacing w:after="150" w:line="276"/>
      </w:pPr>
      <w:r>
        <w:t xml:space="preserve">When a question is asked, plain Python code — not the AI — first decides which source the answer should come from:</w:t>
      </w:r>
    </w:p>
    <w:p>
      <w:pPr>
        <w:pStyle w:val="ListParagraph"/>
        <w:numPr>
          <w:ilvl w:val="0"/>
          <w:numId w:val="2"/>
        </w:numPr>
        <w:spacing w:after="90" w:line="276"/>
      </w:pPr>
      <w:r>
        <w:t xml:space="preserve">Questions about intended configuration → answered from the CSV files.</w:t>
      </w:r>
    </w:p>
    <w:p>
      <w:pPr>
        <w:pStyle w:val="ListParagraph"/>
        <w:numPr>
          <w:ilvl w:val="0"/>
          <w:numId w:val="2"/>
        </w:numPr>
        <w:spacing w:after="90" w:line="276"/>
      </w:pPr>
      <w:r>
        <w:t xml:space="preserve">Questions about inventory records → answered directly from NetBox.</w:t>
      </w:r>
    </w:p>
    <w:p>
      <w:pPr>
        <w:pStyle w:val="ListParagraph"/>
        <w:numPr>
          <w:ilvl w:val="0"/>
          <w:numId w:val="2"/>
        </w:numPr>
        <w:spacing w:after="90" w:line="276"/>
      </w:pPr>
      <w:r>
        <w:t xml:space="preserve">Questions about current live state → answered from a live API call, the same way Phase 1 already works.</w:t>
      </w:r>
    </w:p>
    <w:p>
      <w:pPr>
        <w:spacing w:after="150" w:line="276"/>
      </w:pPr>
      <w:r>
        <w:t xml:space="preserve">If a question is unclear about which of these it means, the system asks the user to clarify — it never lets the AI silently guess which source to trust.</w:t>
      </w:r>
    </w:p>
    <w:p>
      <w:pPr>
        <w:pBdr>
          <w:left w:val="single" w:color="2E5395" w:sz="18"/>
        </w:pBdr>
        <w:shd w:fill="F4F6F9" w:val="clear"/>
        <w:spacing w:after="180" w:before="90"/>
        <w:ind w:left="120"/>
      </w:pPr>
      <w:r>
        <w:rPr>
          <w:b/>
          <w:bCs/>
          <w:color w:val="2E5395"/>
        </w:rPr>
        <w:t xml:space="preserve">Note: </w:t>
      </w:r>
      <w:r>
        <w:t xml:space="preserve">The Drift Explanation Assistant (a feature that explains configuration drift) stays blocked until there is at least one real, successful compliance check to learn from. It will not be built around made-up or placeholder data.</w:t>
      </w:r>
    </w:p>
    <w:p>
      <w:r>
        <w:br w:type="page"/>
      </w:r>
    </w:p>
    <w:p>
      <w:pPr>
        <w:pStyle w:val="Heading1"/>
        <w:spacing w:after="180" w:before="380"/>
      </w:pPr>
      <w:r>
        <w:t xml:space="preserve">18. Phase 3 — AI Recommendation Layer</w:t>
      </w:r>
    </w:p>
    <w:p>
      <w:pPr>
        <w:spacing w:after="150" w:line="276"/>
      </w:pPr>
      <w:r>
        <w:t xml:space="preserve">Phase 3 is the final stopping point for this project. The AI is allowed to suggest things — never to do them.</w:t>
      </w:r>
    </w:p>
    <w:p>
      <w:pPr>
        <w:pStyle w:val="Heading2"/>
        <w:spacing w:after="130" w:before="260"/>
      </w:pPr>
      <w:r>
        <w:t xml:space="preserve">What the AI may suggest</w:t>
      </w:r>
    </w:p>
    <w:p>
      <w:pPr>
        <w:pStyle w:val="ListParagraph"/>
        <w:numPr>
          <w:ilvl w:val="0"/>
          <w:numId w:val="2"/>
        </w:numPr>
        <w:spacing w:after="90" w:line="276"/>
      </w:pPr>
      <w:r>
        <w:t xml:space="preserve">Investigation recommendations — what to check next.</w:t>
      </w:r>
    </w:p>
    <w:p>
      <w:pPr>
        <w:pStyle w:val="ListParagraph"/>
        <w:numPr>
          <w:ilvl w:val="0"/>
          <w:numId w:val="2"/>
        </w:numPr>
        <w:spacing w:after="90" w:line="276"/>
      </w:pPr>
      <w:r>
        <w:t xml:space="preserve">Troubleshooting recommendations.</w:t>
      </w:r>
    </w:p>
    <w:p>
      <w:pPr>
        <w:pStyle w:val="ListParagraph"/>
        <w:numPr>
          <w:ilvl w:val="0"/>
          <w:numId w:val="2"/>
        </w:numPr>
        <w:spacing w:after="90" w:line="276"/>
      </w:pPr>
      <w:r>
        <w:t xml:space="preserve">Remediation suggestions — what could fix the problem.</w:t>
      </w:r>
    </w:p>
    <w:p>
      <w:pPr>
        <w:pStyle w:val="ListParagraph"/>
        <w:numPr>
          <w:ilvl w:val="0"/>
          <w:numId w:val="2"/>
        </w:numPr>
        <w:spacing w:after="90" w:line="276"/>
      </w:pPr>
      <w:r>
        <w:t xml:space="preserve">Configuration-risk observations.</w:t>
      </w:r>
    </w:p>
    <w:p>
      <w:pPr>
        <w:pStyle w:val="ListParagraph"/>
        <w:numPr>
          <w:ilvl w:val="0"/>
          <w:numId w:val="2"/>
        </w:numPr>
        <w:spacing w:after="90" w:line="276"/>
      </w:pPr>
      <w:r>
        <w:t xml:space="preserve">Change-risk observations.</w:t>
      </w:r>
    </w:p>
    <w:p>
      <w:pPr>
        <w:pStyle w:val="Heading2"/>
        <w:spacing w:after="130" w:before="260"/>
      </w:pPr>
      <w:r>
        <w:t xml:space="preserve">What always happens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A7B8" w:sz="6"/>
              <w:left w:val="single" w:color="9AA7B8" w:sz="6"/>
              <w:bottom w:val="single" w:color="9AA7B8" w:sz="6"/>
              <w:right w:val="single" w:color="9AA7B8" w:sz="6"/>
            </w:tcBorders>
            <w:shd w:fill="F4F6F9" w:val="clear"/>
            <w:tcMar>
              <w:top w:type="dxa" w:w="140"/>
              <w:left w:type="dxa" w:w="160"/>
              <w:bottom w:type="dxa" w:w="140"/>
              <w:right w:type="dxa" w:w="160"/>
            </w:tcMar>
          </w:tcPr>
          <w:p>
            <w:pPr>
              <w:spacing w:after="0" w:line="240"/>
            </w:pPr>
            <w:r>
              <w:rPr>
                <w:rFonts w:ascii="Consolas" w:cs="Consolas" w:eastAsia="Consolas" w:hAnsi="Consolas"/>
                <w:b/>
                <w:bCs/>
                <w:color w:val="1B1B1F"/>
                <w:sz w:val="19"/>
                <w:szCs w:val="19"/>
              </w:rPr>
              <w:t xml:space="preserve">Human Decision</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NWAP Configuration Pipeline</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Pre-Deployment Validation</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Approval</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Deployment</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Post-Deployment Validation</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Rollback, if required</w:t>
            </w:r>
          </w:p>
        </w:tc>
      </w:tr>
    </w:tbl>
    <w:p>
      <w:pPr>
        <w:spacing w:after="150" w:line="276"/>
      </w:pPr>
      <w:r>
        <w:rPr>
          <w:b/>
          <w:bCs/>
          <w:color w:val="B23A2E"/>
          <w:sz w:val="20"/>
          <w:szCs w:val="20"/>
        </w:rPr>
        <w:t xml:space="preserve">Phase 3 is recommendation only. The AI never executes a change, under any circumstance in this project.</w:t>
      </w:r>
    </w:p>
    <w:p>
      <w:r>
        <w:br w:type="page"/>
      </w:r>
    </w:p>
    <w:p>
      <w:pPr>
        <w:pStyle w:val="Heading1"/>
        <w:spacing w:after="180" w:before="380"/>
      </w:pPr>
      <w:r>
        <w:t xml:space="preserve">19. Final End-to-End Flow</w:t>
      </w:r>
    </w:p>
    <w:p>
      <w:pPr>
        <w:spacing w:after="150" w:line="276"/>
      </w:pPr>
      <w:r>
        <w:t xml:space="preserve">This is the complete picture, start to finish, of the whole platform with the AI layer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A7B8" w:sz="6"/>
              <w:left w:val="single" w:color="9AA7B8" w:sz="6"/>
              <w:bottom w:val="single" w:color="9AA7B8" w:sz="6"/>
              <w:right w:val="single" w:color="9AA7B8" w:sz="6"/>
            </w:tcBorders>
            <w:shd w:fill="F4F6F9" w:val="clear"/>
            <w:tcMar>
              <w:top w:type="dxa" w:w="140"/>
              <w:left w:type="dxa" w:w="160"/>
              <w:bottom w:type="dxa" w:w="140"/>
              <w:right w:type="dxa" w:w="160"/>
            </w:tcMar>
          </w:tcPr>
          <w:p>
            <w:pPr>
              <w:spacing w:after="0" w:line="240"/>
            </w:pPr>
            <w:r>
              <w:rPr>
                <w:rFonts w:ascii="Consolas" w:cs="Consolas" w:eastAsia="Consolas" w:hAnsi="Consolas"/>
                <w:b/>
                <w:bCs/>
                <w:color w:val="1B1B1F"/>
                <w:sz w:val="19"/>
                <w:szCs w:val="19"/>
              </w:rPr>
              <w:t xml:space="preserve">NetBox / Source of Truth</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Configuration Generation</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Pre-Deployment Validation</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Deployment</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Post-Deployment Validation</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Compliance / Drift</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Observability</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Alertmanager</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ServiceNow Incident</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AI Copilot Phase 1A  (Shadow Mode — investigate only)</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Evidence Collection</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Evidence Quality</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LLM Investigation</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Shadow Validation  (human review period)</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Phase 1B Work Note  (labelled, auto-posted after proven period)</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Phase 2 Knowledge / Q&amp;A  (roadmap)</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Phase 3 AI Recommendation  (roadmap, suggest only)</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Human Decision</w:t>
            </w:r>
          </w:p>
          <w:p>
            <w:pPr>
              <w:spacing w:after="0" w:line="240"/>
            </w:pPr>
            <w:r>
              <w:rPr>
                <w:rFonts w:ascii="Consolas" w:cs="Consolas" w:eastAsia="Consolas" w:hAnsi="Consolas"/>
                <w:b/>
                <w:bCs/>
                <w:color w:val="1B1B1F"/>
                <w:sz w:val="19"/>
                <w:szCs w:val="19"/>
              </w:rPr>
              <w:t xml:space="preserve">        ↓</w:t>
            </w:r>
          </w:p>
          <w:p>
            <w:pPr>
              <w:spacing w:after="0" w:line="240"/>
            </w:pPr>
            <w:r>
              <w:rPr>
                <w:rFonts w:ascii="Consolas" w:cs="Consolas" w:eastAsia="Consolas" w:hAnsi="Consolas"/>
                <w:b/>
                <w:bCs/>
                <w:color w:val="1B1B1F"/>
                <w:sz w:val="19"/>
                <w:szCs w:val="19"/>
              </w:rPr>
              <w:t xml:space="preserve">Existing NWAP Pipeline  (configuration, deployment, rollback — unchanged)</w:t>
            </w:r>
          </w:p>
        </w:tc>
      </w:tr>
    </w:tbl>
    <w:p>
      <w:pPr>
        <w:spacing w:after="300"/>
      </w:pPr>
    </w:p>
    <w:p>
      <w:pPr>
        <w:spacing w:after="150" w:line="276"/>
      </w:pPr>
      <w:r>
        <w:rPr>
          <w:i/>
          <w:iCs/>
          <w:color w:val="555555"/>
        </w:rPr>
        <w:t xml:space="preserve">This document represents the final, agreed architecture at the time of writing. It intentionally documents what has already been decided across multiple review rounds — it is not itself a new review.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right"/>
    </w:pPr>
    <w:r>
      <w:rPr>
        <w:i/>
        <w:iCs/>
        <w:color w:val="888888"/>
        <w:sz w:val="16"/>
        <w:szCs w:val="16"/>
      </w:rPr>
      <w:t xml:space="preserve">AI Copilot Integration Plan — NWAP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E6DA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Copilot Integration Plan for NWAP</dc:title>
  <dc:creator>NWAP AI Copilot Plan</dc:creator>
  <dc:description>Final, agreed end-to-end implementation blueprint for the NWAP AI Copilot (Phase 0 through Phase 3 roadmap).</dc:description>
  <cp:lastModifiedBy>Un-named</cp:lastModifiedBy>
  <cp:revision>1</cp:revision>
  <dcterms:created xsi:type="dcterms:W3CDTF">2026-09-09T16:10:58.302Z</dcterms:created>
  <dcterms:modified xsi:type="dcterms:W3CDTF">2026-09-09T16:10:58.302Z</dcterms:modified>
</cp:coreProperties>
</file>

<file path=docProps/custom.xml><?xml version="1.0" encoding="utf-8"?>
<Properties xmlns="http://schemas.openxmlformats.org/officeDocument/2006/custom-properties" xmlns:vt="http://schemas.openxmlformats.org/officeDocument/2006/docPropsVTypes"/>
</file>