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CC0000"/>
          <w:sz w:val="20"/>
          <w:szCs w:val="20"/>
        </w:rPr>
        <w:t xml:space="preserve">WEB &amp; OWASP SECURITY</w:t>
      </w:r>
    </w:p>
    <w:p>
      <w:pPr>
        <w:spacing w:after="240"/>
      </w:pPr>
      <w:r>
        <w:rPr>
          <w:rFonts w:ascii="Arial" w:cs="Arial" w:eastAsia="Arial" w:hAnsi="Arial"/>
          <w:b/>
          <w:bCs/>
          <w:color w:val="0D0D0D"/>
          <w:sz w:val="44"/>
          <w:szCs w:val="44"/>
        </w:rPr>
        <w:t xml:space="preserve">OWASP Top 10 Summary</w:t>
      </w:r>
    </w:p>
    <w:p>
      <w:pPr>
        <w:spacing w:after="320"/>
      </w:pPr>
      <w:r>
        <w:rPr>
          <w:rFonts w:ascii="Arial" w:cs="Arial" w:eastAsia="Arial" w:hAnsi="Arial"/>
          <w:i/>
          <w:iCs/>
          <w:color w:val="555555"/>
          <w:sz w:val="24"/>
          <w:szCs w:val="24"/>
        </w:rPr>
        <w:t xml:space="preserve">Walking Through All Ten Risks, With a Real-World Example for Each</w:t>
      </w:r>
    </w:p>
    <w:tbl>
      <w:tblPr>
        <w:tblW w:type="pct" w:w="100%"/>
        <w:tblBorders>
          <w:top w:val="none" w:color="FFFFFF" w:sz="0"/>
          <w:left w:val="none" w:color="FFFFFF" w:sz="0"/>
          <w:bottom w:val="none" w:color="FFFFFF" w:sz="0"/>
          <w:right w:val="none" w:color="FFFFFF" w:sz="0"/>
          <w:insideH w:val="single" w:color="E0C6C6" w:sz="2"/>
          <w:insideV w:val="none" w:color="FFFFFF" w:sz="0"/>
        </w:tblBorders>
      </w:tblPr>
      <w:tblGrid>
        <w:gridCol w:w="100"/>
        <w:gridCol w:w="100"/>
      </w:tblGrid>
      <w:tr>
        <w:tc>
          <w:tcPr>
            <w:tcW w:type="pct" w:w="28%"/>
            <w:shd w:fill="F5E6E6" w:val="clear"/>
            <w:tcMar>
              <w:top w:type="dxa" w:w="100"/>
              <w:left w:type="dxa" w:w="150"/>
              <w:bottom w:type="dxa" w:w="100"/>
              <w:right w:type="dxa" w:w="150"/>
            </w:tcMar>
          </w:tcPr>
          <w:p>
            <w:r>
              <w:rPr>
                <w:rFonts w:ascii="Arial" w:cs="Arial" w:eastAsia="Arial" w:hAnsi="Arial"/>
                <w:b/>
                <w:bCs/>
                <w:color w:val="CC0000"/>
                <w:sz w:val="20"/>
                <w:szCs w:val="20"/>
              </w:rPr>
              <w:t xml:space="preserve">Prepared By</w:t>
            </w:r>
          </w:p>
        </w:tc>
        <w:tc>
          <w:tcPr>
            <w:tcW w:type="pct" w:w="72%"/>
            <w:tcMar>
              <w:top w:type="dxa" w:w="100"/>
              <w:left w:type="dxa" w:w="150"/>
              <w:bottom w:type="dxa" w:w="100"/>
              <w:right w:type="dxa" w:w="150"/>
            </w:tcMar>
          </w:tcPr>
          <w:p>
            <w:r>
              <w:rPr>
                <w:rFonts w:ascii="Arial" w:cs="Arial" w:eastAsia="Arial" w:hAnsi="Arial"/>
                <w:color w:val="1A1A1A"/>
                <w:sz w:val="20"/>
                <w:szCs w:val="20"/>
              </w:rPr>
              <w:t xml:space="preserve">Saim Rashid</w:t>
            </w:r>
          </w:p>
        </w:tc>
      </w:tr>
      <w:tr>
        <w:tc>
          <w:tcPr>
            <w:tcW w:type="pct" w:w="28%"/>
            <w:shd w:fill="F5E6E6" w:val="clear"/>
            <w:tcMar>
              <w:top w:type="dxa" w:w="100"/>
              <w:left w:type="dxa" w:w="150"/>
              <w:bottom w:type="dxa" w:w="100"/>
              <w:right w:type="dxa" w:w="150"/>
            </w:tcMar>
          </w:tcPr>
          <w:p>
            <w:r>
              <w:rPr>
                <w:rFonts w:ascii="Arial" w:cs="Arial" w:eastAsia="Arial" w:hAnsi="Arial"/>
                <w:b/>
                <w:bCs/>
                <w:color w:val="CC0000"/>
                <w:sz w:val="20"/>
                <w:szCs w:val="20"/>
              </w:rPr>
              <w:t xml:space="preserve">Topic Area</w:t>
            </w:r>
          </w:p>
        </w:tc>
        <w:tc>
          <w:tcPr>
            <w:tcW w:type="pct" w:w="72%"/>
            <w:tcMar>
              <w:top w:type="dxa" w:w="100"/>
              <w:left w:type="dxa" w:w="150"/>
              <w:bottom w:type="dxa" w:w="100"/>
              <w:right w:type="dxa" w:w="150"/>
            </w:tcMar>
          </w:tcPr>
          <w:p>
            <w:r>
              <w:rPr>
                <w:rFonts w:ascii="Arial" w:cs="Arial" w:eastAsia="Arial" w:hAnsi="Arial"/>
                <w:color w:val="1A1A1A"/>
                <w:sz w:val="20"/>
                <w:szCs w:val="20"/>
              </w:rPr>
              <w:t xml:space="preserve">Web &amp; OWASP</w:t>
            </w:r>
          </w:p>
        </w:tc>
      </w:tr>
      <w:tr>
        <w:tc>
          <w:tcPr>
            <w:tcW w:type="pct" w:w="28%"/>
            <w:shd w:fill="F5E6E6" w:val="clear"/>
            <w:tcMar>
              <w:top w:type="dxa" w:w="100"/>
              <w:left w:type="dxa" w:w="150"/>
              <w:bottom w:type="dxa" w:w="100"/>
              <w:right w:type="dxa" w:w="150"/>
            </w:tcMar>
          </w:tcPr>
          <w:p>
            <w:r>
              <w:rPr>
                <w:rFonts w:ascii="Arial" w:cs="Arial" w:eastAsia="Arial" w:hAnsi="Arial"/>
                <w:b/>
                <w:bCs/>
                <w:color w:val="CC0000"/>
                <w:sz w:val="20"/>
                <w:szCs w:val="20"/>
              </w:rPr>
              <w:t xml:space="preserve">Scope</w:t>
            </w:r>
          </w:p>
        </w:tc>
        <w:tc>
          <w:tcPr>
            <w:tcW w:type="pct" w:w="72%"/>
            <w:tcMar>
              <w:top w:type="dxa" w:w="100"/>
              <w:left w:type="dxa" w:w="150"/>
              <w:bottom w:type="dxa" w:w="100"/>
              <w:right w:type="dxa" w:w="150"/>
            </w:tcMar>
          </w:tcPr>
          <w:p>
            <w:r>
              <w:rPr>
                <w:rFonts w:ascii="Arial" w:cs="Arial" w:eastAsia="Arial" w:hAnsi="Arial"/>
                <w:color w:val="1A1A1A"/>
                <w:sz w:val="20"/>
                <w:szCs w:val="20"/>
              </w:rPr>
              <w:t xml:space="preserve">Summarize all OWASP Top 10 risks with one real-world example each</w:t>
            </w:r>
          </w:p>
        </w:tc>
      </w:tr>
      <w:tr>
        <w:tc>
          <w:tcPr>
            <w:tcW w:type="pct" w:w="28%"/>
            <w:shd w:fill="F5E6E6" w:val="clear"/>
            <w:tcMar>
              <w:top w:type="dxa" w:w="100"/>
              <w:left w:type="dxa" w:w="150"/>
              <w:bottom w:type="dxa" w:w="100"/>
              <w:right w:type="dxa" w:w="150"/>
            </w:tcMar>
          </w:tcPr>
          <w:p>
            <w:r>
              <w:rPr>
                <w:rFonts w:ascii="Arial" w:cs="Arial" w:eastAsia="Arial" w:hAnsi="Arial"/>
                <w:b/>
                <w:bCs/>
                <w:color w:val="CC0000"/>
                <w:sz w:val="20"/>
                <w:szCs w:val="20"/>
              </w:rPr>
              <w:t xml:space="preserve">Source</w:t>
            </w:r>
          </w:p>
        </w:tc>
        <w:tc>
          <w:tcPr>
            <w:tcW w:type="pct" w:w="72%"/>
            <w:tcMar>
              <w:top w:type="dxa" w:w="100"/>
              <w:left w:type="dxa" w:w="150"/>
              <w:bottom w:type="dxa" w:w="100"/>
              <w:right w:type="dxa" w:w="150"/>
            </w:tcMar>
          </w:tcPr>
          <w:p>
            <w:r>
              <w:rPr>
                <w:rFonts w:ascii="Arial" w:cs="Arial" w:eastAsia="Arial" w:hAnsi="Arial"/>
                <w:color w:val="1A1A1A"/>
                <w:sz w:val="20"/>
                <w:szCs w:val="20"/>
              </w:rPr>
              <w:t xml:space="preserve">owasp.org (OWASP Top 10:2025)</w:t>
            </w:r>
          </w:p>
        </w:tc>
      </w:tr>
      <w:tr>
        <w:tc>
          <w:tcPr>
            <w:tcW w:type="pct" w:w="28%"/>
            <w:shd w:fill="F5E6E6" w:val="clear"/>
            <w:tcMar>
              <w:top w:type="dxa" w:w="100"/>
              <w:left w:type="dxa" w:w="150"/>
              <w:bottom w:type="dxa" w:w="100"/>
              <w:right w:type="dxa" w:w="150"/>
            </w:tcMar>
          </w:tcPr>
          <w:p>
            <w:r>
              <w:rPr>
                <w:rFonts w:ascii="Arial" w:cs="Arial" w:eastAsia="Arial" w:hAnsi="Arial"/>
                <w:b/>
                <w:bCs/>
                <w:color w:val="CC0000"/>
                <w:sz w:val="20"/>
                <w:szCs w:val="20"/>
              </w:rPr>
              <w:t xml:space="preserve">Format</w:t>
            </w:r>
          </w:p>
        </w:tc>
        <w:tc>
          <w:tcPr>
            <w:tcW w:type="pct" w:w="72%"/>
            <w:tcMar>
              <w:top w:type="dxa" w:w="100"/>
              <w:left w:type="dxa" w:w="150"/>
              <w:bottom w:type="dxa" w:w="100"/>
              <w:right w:type="dxa" w:w="150"/>
            </w:tcMar>
          </w:tcPr>
          <w:p>
            <w:r>
              <w:rPr>
                <w:rFonts w:ascii="Arial" w:cs="Arial" w:eastAsia="Arial" w:hAnsi="Arial"/>
                <w:color w:val="1A1A1A"/>
                <w:sz w:val="20"/>
                <w:szCs w:val="20"/>
              </w:rPr>
              <w:t xml:space="preserve">One-page style summary report, concept level</w:t>
            </w:r>
          </w:p>
        </w:tc>
      </w:tr>
      <w:tr>
        <w:tc>
          <w:tcPr>
            <w:tcW w:type="pct" w:w="28%"/>
            <w:shd w:fill="F5E6E6" w:val="clear"/>
            <w:tcMar>
              <w:top w:type="dxa" w:w="100"/>
              <w:left w:type="dxa" w:w="150"/>
              <w:bottom w:type="dxa" w:w="100"/>
              <w:right w:type="dxa" w:w="150"/>
            </w:tcMar>
          </w:tcPr>
          <w:p>
            <w:r>
              <w:rPr>
                <w:rFonts w:ascii="Arial" w:cs="Arial" w:eastAsia="Arial" w:hAnsi="Arial"/>
                <w:b/>
                <w:bCs/>
                <w:color w:val="CC0000"/>
                <w:sz w:val="20"/>
                <w:szCs w:val="20"/>
              </w:rPr>
              <w:t xml:space="preserve">Level</w:t>
            </w:r>
          </w:p>
        </w:tc>
        <w:tc>
          <w:tcPr>
            <w:tcW w:type="pct" w:w="72%"/>
            <w:tcMar>
              <w:top w:type="dxa" w:w="100"/>
              <w:left w:type="dxa" w:w="150"/>
              <w:bottom w:type="dxa" w:w="100"/>
              <w:right w:type="dxa" w:w="150"/>
            </w:tcMar>
          </w:tcPr>
          <w:p>
            <w:r>
              <w:rPr>
                <w:rFonts w:ascii="Arial" w:cs="Arial" w:eastAsia="Arial" w:hAnsi="Arial"/>
                <w:color w:val="1A1A1A"/>
                <w:sz w:val="20"/>
                <w:szCs w:val="20"/>
              </w:rPr>
              <w:t xml:space="preserve">Intermediate</w:t>
            </w:r>
          </w:p>
        </w:tc>
      </w:tr>
    </w:tbl>
    <w:p>
      <w:r>
        <w:br w:type="page"/>
      </w:r>
    </w:p>
    <w:p>
      <w:pPr>
        <w:pStyle w:val="Heading1"/>
        <w:pBdr>
          <w:bottom w:val="single" w:color="CC0000" w:sz="8" w:space="4"/>
        </w:pBdr>
        <w:spacing w:after="140" w:before="320"/>
      </w:pPr>
      <w:r>
        <w:rPr>
          <w:rFonts w:ascii="Arial" w:cs="Arial" w:eastAsia="Arial" w:hAnsi="Arial"/>
          <w:b/>
          <w:bCs/>
          <w:color w:val="CC0000"/>
          <w:sz w:val="32"/>
          <w:szCs w:val="32"/>
        </w:rPr>
        <w:t xml:space="preserve">Introduction</w:t>
      </w:r>
    </w:p>
    <w:p>
      <w:pPr>
        <w:spacing w:after="140" w:line="300"/>
        <w:jc w:val="both"/>
      </w:pPr>
      <w:r>
        <w:rPr>
          <w:rFonts w:ascii="Arial" w:cs="Arial" w:eastAsia="Arial" w:hAnsi="Arial"/>
          <w:color w:val="1A1A1A"/>
          <w:sz w:val="20"/>
          <w:szCs w:val="20"/>
        </w:rPr>
        <w:t xml:space="preserve">I went into this expecting to just skim through the OWASP Top 10 and copy down definitions, but it turned out to be a lot more interesting once I actually read through owasp.org properly. The list just got updated this year too, so this isn't even the 2021 version most guides still talk about - it's the OWASP Top 10:2025, the first real update to the list in four years. A few categories got merged, a couple of brand-new ones showed up, and some old favorites moved around in ranking, which honestly says a lot about how application security has shifted recently.</w:t>
      </w:r>
    </w:p>
    <w:p>
      <w:pPr>
        <w:spacing w:after="140" w:line="300"/>
        <w:jc w:val="both"/>
      </w:pPr>
      <w:r>
        <w:rPr>
          <w:rFonts w:ascii="Arial" w:cs="Arial" w:eastAsia="Arial" w:hAnsi="Arial"/>
          <w:color w:val="1A1A1A"/>
          <w:sz w:val="20"/>
          <w:szCs w:val="20"/>
        </w:rPr>
        <w:t xml:space="preserve">Below I've gone through all ten risks in order, explained each one in my own words, and paired it with a real-world incident or case that actually shows the risk playing out - not just a textbook definition. The goal was to actually understand why each one matters, not just memorize a list.</w:t>
      </w:r>
    </w:p>
    <w:p>
      <w:pPr>
        <w:pStyle w:val="Heading2"/>
        <w:spacing w:after="90" w:before="240"/>
      </w:pPr>
      <w:r>
        <w:rPr>
          <w:rFonts w:ascii="Arial" w:cs="Arial" w:eastAsia="Arial" w:hAnsi="Arial"/>
          <w:b/>
          <w:bCs/>
          <w:color w:val="0D0D0D"/>
          <w:sz w:val="26"/>
          <w:szCs w:val="26"/>
        </w:rPr>
        <w:t xml:space="preserve">A01. Broken Access Control</w:t>
      </w:r>
    </w:p>
    <w:p>
      <w:pPr>
        <w:spacing w:after="140" w:line="300"/>
        <w:jc w:val="both"/>
      </w:pPr>
      <w:r>
        <w:rPr>
          <w:rFonts w:ascii="Arial" w:cs="Arial" w:eastAsia="Arial" w:hAnsi="Arial"/>
          <w:color w:val="1A1A1A"/>
          <w:sz w:val="20"/>
          <w:szCs w:val="20"/>
        </w:rPr>
        <w:t xml:space="preserve">This is still sitting at #1, and honestly it makes sense - it's the risk category that covers what happens when an app fails to properly enforce what a user is and isn't allowed to do. That could mean a regular user finding a way to view someone else's data, or figuring out how to reach an admin page they were never supposed to see. Interestingly, in the 2025 update, Server-Side Request Forgery (SSRF) got folded into this category too, since at its core SSRF is really about an app not restricting what internal resources it's allowed to reach - which is an access control failure at heart.</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A well-known example is the 2019 Capital One breach, where a misconfigured web application firewall let an attacker exploit an SSRF flaw to reach internal AWS metadata services and pull credentials that gave access to over 100 million customer records. It's frequently cited as a textbook case of an access-control failure with massive real-world consequences.</w:t>
      </w:r>
    </w:p>
    <w:p>
      <w:pPr>
        <w:pStyle w:val="Heading2"/>
        <w:spacing w:after="90" w:before="240"/>
      </w:pPr>
      <w:r>
        <w:rPr>
          <w:rFonts w:ascii="Arial" w:cs="Arial" w:eastAsia="Arial" w:hAnsi="Arial"/>
          <w:b/>
          <w:bCs/>
          <w:color w:val="0D0D0D"/>
          <w:sz w:val="26"/>
          <w:szCs w:val="26"/>
        </w:rPr>
        <w:t xml:space="preserve">A02. Security Misconfiguration</w:t>
      </w:r>
    </w:p>
    <w:p>
      <w:pPr>
        <w:spacing w:after="140" w:line="300"/>
        <w:jc w:val="both"/>
      </w:pPr>
      <w:r>
        <w:rPr>
          <w:rFonts w:ascii="Arial" w:cs="Arial" w:eastAsia="Arial" w:hAnsi="Arial"/>
          <w:color w:val="1A1A1A"/>
          <w:sz w:val="20"/>
          <w:szCs w:val="20"/>
        </w:rPr>
        <w:t xml:space="preserve">This one jumped from #5 all the way to #2 in the new list, which was actually one of the more surprising changes to me. It covers things like default accounts and passwords left enabled, unnecessary features or ports left open, overly verbose error messages that leak internal details, and cloud storage or services left improperly locked down. Basically: the app or infrastructure itself might be fine, but how it's set up isn't.</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The 2017 Equifax breach is a classic case here - attackers got in through an unpatched Apache Struts vulnerability that had a fix available for months before the breach happened. It ended up exposing personal data for roughly 147 million people, and it's still one of the most-cited examples of what happens when configuration and patching aren't kept on top of.</w:t>
      </w:r>
    </w:p>
    <w:p>
      <w:pPr>
        <w:pStyle w:val="Heading2"/>
        <w:spacing w:after="90" w:before="240"/>
      </w:pPr>
      <w:r>
        <w:rPr>
          <w:rFonts w:ascii="Arial" w:cs="Arial" w:eastAsia="Arial" w:hAnsi="Arial"/>
          <w:b/>
          <w:bCs/>
          <w:color w:val="0D0D0D"/>
          <w:sz w:val="26"/>
          <w:szCs w:val="26"/>
        </w:rPr>
        <w:t xml:space="preserve">A03. Software Supply Chain Failures</w:t>
      </w:r>
    </w:p>
    <w:p>
      <w:pPr>
        <w:spacing w:after="140" w:line="300"/>
        <w:jc w:val="both"/>
      </w:pPr>
      <w:r>
        <w:rPr>
          <w:rFonts w:ascii="Arial" w:cs="Arial" w:eastAsia="Arial" w:hAnsi="Arial"/>
          <w:color w:val="1A1A1A"/>
          <w:sz w:val="20"/>
          <w:szCs w:val="20"/>
        </w:rPr>
        <w:t xml:space="preserve">This is one of the two brand-new categories in the 2025 list, and it's a much bigger version of what used to just be "Vulnerable and Outdated Components." It's not just about using an old library anymore - it covers the whole chain: compromised build tools, malicious dependencies sneaking into a package registry, insecure CI/CD pipelines, basically anything in the pipeline between writing code and shipping it that an attacker could tamper with.</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The SolarWinds incident from 2020 is the example that basically defines this category. Attackers slipped malicious code into a routine software update for SolarWinds' Orion platform, and because that update went out through the company's own trusted build process, it ended up on the networks of thousands of customers, including multiple U.S. government agencies, without anyone suspecting a thing.</w:t>
      </w:r>
    </w:p>
    <w:p>
      <w:pPr>
        <w:pStyle w:val="Heading2"/>
        <w:spacing w:after="90" w:before="240"/>
      </w:pPr>
      <w:r>
        <w:rPr>
          <w:rFonts w:ascii="Arial" w:cs="Arial" w:eastAsia="Arial" w:hAnsi="Arial"/>
          <w:b/>
          <w:bCs/>
          <w:color w:val="0D0D0D"/>
          <w:sz w:val="26"/>
          <w:szCs w:val="26"/>
        </w:rPr>
        <w:t xml:space="preserve">A04. Cryptographic Failures</w:t>
      </w:r>
    </w:p>
    <w:p>
      <w:pPr>
        <w:spacing w:after="140" w:line="300"/>
        <w:jc w:val="both"/>
      </w:pPr>
      <w:r>
        <w:rPr>
          <w:rFonts w:ascii="Arial" w:cs="Arial" w:eastAsia="Arial" w:hAnsi="Arial"/>
          <w:color w:val="1A1A1A"/>
          <w:sz w:val="20"/>
          <w:szCs w:val="20"/>
        </w:rPr>
        <w:t xml:space="preserve">This dropped from #2 down to #4, but it's still a serious one. It's about sensitive data, passwords, credit card numbers, personal information, not being properly protected through encryption, either because it's stored or transmitted in plaintext, because outdated or weak algorithms are being used, or because encryption keys are managed carelessly.</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The Adobe breach in 2013 is a good example - around 153 million user records were exposed, and while passwords were technically encrypted rather than hashed, the encryption method used was weak enough (and password hints were stored right alongside them) that huge numbers of passwords were effectively recoverable anyway.</w:t>
      </w:r>
    </w:p>
    <w:p>
      <w:pPr>
        <w:pStyle w:val="Heading2"/>
        <w:spacing w:after="90" w:before="240"/>
      </w:pPr>
      <w:r>
        <w:rPr>
          <w:rFonts w:ascii="Arial" w:cs="Arial" w:eastAsia="Arial" w:hAnsi="Arial"/>
          <w:b/>
          <w:bCs/>
          <w:color w:val="0D0D0D"/>
          <w:sz w:val="26"/>
          <w:szCs w:val="26"/>
        </w:rPr>
        <w:t xml:space="preserve">A05. Injection</w:t>
      </w:r>
    </w:p>
    <w:p>
      <w:pPr>
        <w:spacing w:after="140" w:line="300"/>
        <w:jc w:val="both"/>
      </w:pPr>
      <w:r>
        <w:rPr>
          <w:rFonts w:ascii="Arial" w:cs="Arial" w:eastAsia="Arial" w:hAnsi="Arial"/>
          <w:color w:val="1A1A1A"/>
          <w:sz w:val="20"/>
          <w:szCs w:val="20"/>
        </w:rPr>
        <w:t xml:space="preserve">This is the one I actually already knew well going into this, since I wrote a whole separate report on SQL injection specifically. Injection covers any case where untrusted input gets interpreted as commands instead of just data - SQL injection is the most famous version, but the same idea applies to command injection, LDAP injection, and others. It's fallen a fair bit in ranking over the years (it used to be #1 for over a decade) but it's dropped mainly because defenses like parameterized queries have gotten so much more standard, not because the risk stopped mattering.</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Perhaps the most cited case is the 2008 Heartland Payment Systems breach, where attackers used SQL injection to plant malware on the network and ultimately intercepted roughly 130 million card numbers, one of the largest breaches at the time.</w:t>
      </w:r>
    </w:p>
    <w:p>
      <w:pPr>
        <w:pStyle w:val="Heading2"/>
        <w:spacing w:after="90" w:before="240"/>
      </w:pPr>
      <w:r>
        <w:rPr>
          <w:rFonts w:ascii="Arial" w:cs="Arial" w:eastAsia="Arial" w:hAnsi="Arial"/>
          <w:b/>
          <w:bCs/>
          <w:color w:val="0D0D0D"/>
          <w:sz w:val="26"/>
          <w:szCs w:val="26"/>
        </w:rPr>
        <w:t xml:space="preserve">A06. Insecure Design</w:t>
      </w:r>
    </w:p>
    <w:p>
      <w:pPr>
        <w:spacing w:after="140" w:line="300"/>
        <w:jc w:val="both"/>
      </w:pPr>
      <w:r>
        <w:rPr>
          <w:rFonts w:ascii="Arial" w:cs="Arial" w:eastAsia="Arial" w:hAnsi="Arial"/>
          <w:color w:val="1A1A1A"/>
          <w:sz w:val="20"/>
          <w:szCs w:val="20"/>
        </w:rPr>
        <w:t xml:space="preserve">This category is a bit different from the others because it's not about a specific coding mistake - it's about flaws baked into the architecture or design of the system itself, before a single line of vulnerable code was even written. You can implement a poorly designed system perfectly and it'll still be insecure, because the weakness was in the blueprint, not the execution. Threat modeling and secure design reviews are the usual fix here, and it's genuinely hard to catch with automated scanning tools since there's no "broken" code to flag.</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A commonly cited example is the design of many early e-commerce "forgot password" and account recovery flows, where systems asked security questions weak enough (mother's maiden name, first pet) that answers could often be found through basic research or social media, meaning the recovery process itself was the vulnerability, not any single bug in it.</w:t>
      </w:r>
    </w:p>
    <w:p>
      <w:pPr>
        <w:pStyle w:val="Heading2"/>
        <w:spacing w:after="90" w:before="240"/>
      </w:pPr>
      <w:r>
        <w:rPr>
          <w:rFonts w:ascii="Arial" w:cs="Arial" w:eastAsia="Arial" w:hAnsi="Arial"/>
          <w:b/>
          <w:bCs/>
          <w:color w:val="0D0D0D"/>
          <w:sz w:val="26"/>
          <w:szCs w:val="26"/>
        </w:rPr>
        <w:t xml:space="preserve">A07. Authentication Failures</w:t>
      </w:r>
    </w:p>
    <w:p>
      <w:pPr>
        <w:spacing w:after="140" w:line="300"/>
        <w:jc w:val="both"/>
      </w:pPr>
      <w:r>
        <w:rPr>
          <w:rFonts w:ascii="Arial" w:cs="Arial" w:eastAsia="Arial" w:hAnsi="Arial"/>
          <w:color w:val="1A1A1A"/>
          <w:sz w:val="20"/>
          <w:szCs w:val="20"/>
        </w:rPr>
        <w:t xml:space="preserve">This covers weaknesses in how a system verifies that someone is who they claim to be - things like allowing weak or common passwords, not protecting against brute-force login attempts, exposing session IDs in URLs, or failing to properly invalidate sessions after logout. It used to be grouped as "Broken Authentication" in older lists but the core idea hasn't really changed.</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Credential stuffing attacks are a good real-world illustration of this category in action - attackers take username/password combinations leaked from one breach and try them against completely unrelated services, banking on the fact that people reuse passwords. Several large streaming and retail platforms have publicly disclosed account takeovers traced directly back to credential stuffing, since accounts without protections like rate limiting or multi-factor authentication were easy targets.</w:t>
      </w:r>
    </w:p>
    <w:p>
      <w:pPr>
        <w:pStyle w:val="Heading2"/>
        <w:spacing w:after="90" w:before="240"/>
      </w:pPr>
      <w:r>
        <w:rPr>
          <w:rFonts w:ascii="Arial" w:cs="Arial" w:eastAsia="Arial" w:hAnsi="Arial"/>
          <w:b/>
          <w:bCs/>
          <w:color w:val="0D0D0D"/>
          <w:sz w:val="26"/>
          <w:szCs w:val="26"/>
        </w:rPr>
        <w:t xml:space="preserve">A08. Software or Data Integrity Failures</w:t>
      </w:r>
    </w:p>
    <w:p>
      <w:pPr>
        <w:spacing w:after="140" w:line="300"/>
        <w:jc w:val="both"/>
      </w:pPr>
      <w:r>
        <w:rPr>
          <w:rFonts w:ascii="Arial" w:cs="Arial" w:eastAsia="Arial" w:hAnsi="Arial"/>
          <w:color w:val="1A1A1A"/>
          <w:sz w:val="20"/>
          <w:szCs w:val="20"/>
        </w:rPr>
        <w:t xml:space="preserve">This one is about trusting code or data without actually verifying it came from where it claims to have come from, or that it hasn't been tampered with along the way. Think unsigned software updates, CI/CD pipelines without proper access controls, or deserializing data from an untrusted source without checking it first.</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The Codecov supply-chain incident in 2021 fits well here - attackers modified Codecov's Bash Uploader script (used by thousands of companies in their CI pipelines) without it being detected for months, allowing them to quietly harvest credentials and secrets from every organization that pulled and ran that script during that window.</w:t>
      </w:r>
    </w:p>
    <w:p>
      <w:pPr>
        <w:pStyle w:val="Heading2"/>
        <w:spacing w:after="90" w:before="240"/>
      </w:pPr>
      <w:r>
        <w:rPr>
          <w:rFonts w:ascii="Arial" w:cs="Arial" w:eastAsia="Arial" w:hAnsi="Arial"/>
          <w:b/>
          <w:bCs/>
          <w:color w:val="0D0D0D"/>
          <w:sz w:val="26"/>
          <w:szCs w:val="26"/>
        </w:rPr>
        <w:t xml:space="preserve">A09. Security Logging and Alerting Failures</w:t>
      </w:r>
    </w:p>
    <w:p>
      <w:pPr>
        <w:spacing w:after="140" w:line="300"/>
        <w:jc w:val="both"/>
      </w:pPr>
      <w:r>
        <w:rPr>
          <w:rFonts w:ascii="Arial" w:cs="Arial" w:eastAsia="Arial" w:hAnsi="Arial"/>
          <w:color w:val="1A1A1A"/>
          <w:sz w:val="20"/>
          <w:szCs w:val="20"/>
        </w:rPr>
        <w:t xml:space="preserve">This category is about what happens after something goes wrong - specifically, whether anyone actually notices. It covers insufficient logging of security-relevant events, logs that exist but are never monitored, and missing alerting so that even if something suspicious does get logged, no one is notified in time to act. The 2025 update slightly renamed this from "Logging and Monitoring" specifically to emphasize that alerting has to actually happen, not just logging.</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The Equifax breach comes up again here, since one of the contributing factors that let the breach continue undetected for as long as it did was that an internal system meant to inspect encrypted network traffic for malicious activity had an expired certificate, meaning that monitoring silently stopped working and nobody caught it in time.</w:t>
      </w:r>
    </w:p>
    <w:p>
      <w:pPr>
        <w:pStyle w:val="Heading2"/>
        <w:spacing w:after="90" w:before="240"/>
      </w:pPr>
      <w:r>
        <w:rPr>
          <w:rFonts w:ascii="Arial" w:cs="Arial" w:eastAsia="Arial" w:hAnsi="Arial"/>
          <w:b/>
          <w:bCs/>
          <w:color w:val="0D0D0D"/>
          <w:sz w:val="26"/>
          <w:szCs w:val="26"/>
        </w:rPr>
        <w:t xml:space="preserve">A10. Mishandling of Exceptional Conditions</w:t>
      </w:r>
    </w:p>
    <w:p>
      <w:pPr>
        <w:spacing w:after="140" w:line="300"/>
        <w:jc w:val="both"/>
      </w:pPr>
      <w:r>
        <w:rPr>
          <w:rFonts w:ascii="Arial" w:cs="Arial" w:eastAsia="Arial" w:hAnsi="Arial"/>
          <w:color w:val="1A1A1A"/>
          <w:sz w:val="20"/>
          <w:szCs w:val="20"/>
        </w:rPr>
        <w:t xml:space="preserve">This is the second brand-new category in the 2025 list, and it's specifically about what happens when a system hits an unexpected or abnormal state - an error, a timeout, an edge case nobody planned for - and handles it badly. That could mean failing "open" instead of "closed" (granting access when something goes wrong instead of denying it), leaking sensitive details in an error message, or logic errors that only surface under conditions the developers never tested for.</w:t>
      </w:r>
    </w:p>
    <w:p>
      <w:pPr>
        <w:spacing w:after="60" w:before="60"/>
      </w:pPr>
      <w:r>
        <w:rPr>
          <w:rFonts w:ascii="Arial" w:cs="Arial" w:eastAsia="Arial" w:hAnsi="Arial"/>
          <w:b/>
          <w:bCs/>
          <w:i/>
          <w:iCs/>
          <w:color w:val="CC0000"/>
          <w:sz w:val="18"/>
          <w:szCs w:val="18"/>
        </w:rPr>
        <w:t xml:space="preserve">Real-world example:</w:t>
      </w:r>
    </w:p>
    <w:p>
      <w:pPr>
        <w:spacing w:after="140" w:line="300"/>
        <w:jc w:val="both"/>
      </w:pPr>
      <w:r>
        <w:rPr>
          <w:rFonts w:ascii="Arial" w:cs="Arial" w:eastAsia="Arial" w:hAnsi="Arial"/>
          <w:color w:val="1A1A1A"/>
          <w:sz w:val="20"/>
          <w:szCs w:val="20"/>
        </w:rPr>
        <w:t xml:space="preserve">A widely discussed example is the pattern seen in several banking and fintech apps where a payment or transaction request that timed out or errored partway through was still processed on the backend, while the app itself reported the transaction as failed to the user - leading to duplicate charges or, in some documented cases, being exploited deliberately to trigger race conditions that credited an account twice for a single transaction.</w:t>
      </w:r>
    </w:p>
    <w:p>
      <w:pPr>
        <w:pStyle w:val="Heading1"/>
        <w:pBdr>
          <w:bottom w:val="single" w:color="CC0000" w:sz="8" w:space="4"/>
        </w:pBdr>
        <w:spacing w:after="140" w:before="320"/>
      </w:pPr>
      <w:r>
        <w:rPr>
          <w:rFonts w:ascii="Arial" w:cs="Arial" w:eastAsia="Arial" w:hAnsi="Arial"/>
          <w:b/>
          <w:bCs/>
          <w:color w:val="CC0000"/>
          <w:sz w:val="32"/>
          <w:szCs w:val="32"/>
        </w:rPr>
        <w:t xml:space="preserve">Conclusion</w:t>
      </w:r>
    </w:p>
    <w:p>
      <w:pPr>
        <w:spacing w:after="140" w:line="300"/>
        <w:jc w:val="both"/>
      </w:pPr>
      <w:r>
        <w:rPr>
          <w:rFonts w:ascii="Arial" w:cs="Arial" w:eastAsia="Arial" w:hAnsi="Arial"/>
          <w:color w:val="1A1A1A"/>
          <w:sz w:val="20"/>
          <w:szCs w:val="20"/>
        </w:rPr>
        <w:t xml:space="preserve">Going through the list properly instead of just skimming a cheat sheet actually changed how I think about it. It's easy to treat the OWASP Top 10 as ten separate boxes to check off, but reading real incidents next to each category made it obvious that a lot of the worst breaches in the last fifteen years, Equifax, SolarWinds, Capital One, Heartland, line up almost exactly with categories on this list. None of these were exotic, novel attacks - they were the same handful of well-documented weaknesses, just at a scale big enough to make headlines.</w:t>
      </w:r>
    </w:p>
    <w:p>
      <w:pPr>
        <w:spacing w:after="140" w:line="300"/>
        <w:jc w:val="both"/>
      </w:pPr>
      <w:r>
        <w:rPr>
          <w:rFonts w:ascii="Arial" w:cs="Arial" w:eastAsia="Arial" w:hAnsi="Arial"/>
          <w:color w:val="1A1A1A"/>
          <w:sz w:val="20"/>
          <w:szCs w:val="20"/>
        </w:rPr>
        <w:t xml:space="preserve">The 2025 update also made something clear that I hadn't really thought about before: the list isn't static because the industry isn't static. Supply chain attacks and exception-handling failures weren't separate categories in 2021 because they weren't showing up as often in the data yet - now they are, so OWASP added them. That's probably the biggest takeaway for me: this list is less a checklist and more a mirror of what's actually going wrong in production right now, and it's worth re-reading every time it updates rather than assuming the 2021 version I half-remember is still accurate.</w:t>
      </w:r>
    </w:p>
    <w:p>
      <w:pPr>
        <w:pStyle w:val="Heading1"/>
        <w:pBdr>
          <w:bottom w:val="single" w:color="CC0000" w:sz="8" w:space="4"/>
        </w:pBdr>
        <w:spacing w:after="140" w:before="320"/>
      </w:pPr>
      <w:r>
        <w:rPr>
          <w:rFonts w:ascii="Arial" w:cs="Arial" w:eastAsia="Arial" w:hAnsi="Arial"/>
          <w:b/>
          <w:bCs/>
          <w:color w:val="CC0000"/>
          <w:sz w:val="32"/>
          <w:szCs w:val="32"/>
        </w:rPr>
        <w:t xml:space="preserve">References</w:t>
      </w:r>
    </w:p>
    <w:p>
      <w:pPr>
        <w:pStyle w:val="ListParagraph"/>
        <w:numPr>
          <w:ilvl w:val="0"/>
          <w:numId w:val="2"/>
        </w:numPr>
        <w:spacing w:after="90" w:line="300"/>
      </w:pPr>
      <w:r>
        <w:rPr>
          <w:rFonts w:ascii="Arial" w:cs="Arial" w:eastAsia="Arial" w:hAnsi="Arial"/>
          <w:color w:val="1A1A1A"/>
          <w:sz w:val="20"/>
          <w:szCs w:val="20"/>
        </w:rPr>
        <w:t xml:space="preserve">OWASP Top 10:2025 — owasp.org/Top10/2025/ (official category list and introduction).</w:t>
      </w:r>
    </w:p>
    <w:p>
      <w:pPr>
        <w:pStyle w:val="ListParagraph"/>
        <w:numPr>
          <w:ilvl w:val="0"/>
          <w:numId w:val="2"/>
        </w:numPr>
        <w:spacing w:after="90" w:line="300"/>
      </w:pPr>
      <w:r>
        <w:rPr>
          <w:rFonts w:ascii="Arial" w:cs="Arial" w:eastAsia="Arial" w:hAnsi="Arial"/>
          <w:color w:val="1A1A1A"/>
          <w:sz w:val="20"/>
          <w:szCs w:val="20"/>
        </w:rPr>
        <w:t xml:space="preserve">Publicly reported breach case studies (Equifax, Capital One, SolarWinds, Heartland Payment Systems, Adobe, Codecov) referenced for real-world examples.</w:t>
      </w:r>
    </w:p>
    <w:p>
      <w:pPr>
        <w:pStyle w:val="ListParagraph"/>
        <w:numPr>
          <w:ilvl w:val="0"/>
          <w:numId w:val="2"/>
        </w:numPr>
        <w:spacing w:after="90" w:line="300"/>
      </w:pPr>
      <w:r>
        <w:rPr>
          <w:rFonts w:ascii="Arial" w:cs="Arial" w:eastAsia="Arial" w:hAnsi="Arial"/>
          <w:color w:val="1A1A1A"/>
          <w:sz w:val="20"/>
          <w:szCs w:val="20"/>
        </w:rPr>
        <w:t xml:space="preserve">Personal research and notes compiled while studying this topic.</w:t>
      </w:r>
    </w:p>
    <w:sectPr>
      <w:headerReference w:type="default" r:id="rId7"/>
      <w:footerReference w:type="default" r:id="rId8"/>
      <w:pgSz w:w="12240" w:h="15840" w:orient="portrait"/>
      <w:pgMar w:top="1600" w:right="1200" w:bottom="1500" w:left="12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CC0000" w:sz="6"/>
        <w:left w:val="none" w:color="FFFFFF" w:sz="0"/>
        <w:bottom w:val="none" w:color="FFFFFF" w:sz="0"/>
        <w:right w:val="none" w:color="FFFFFF" w:sz="0"/>
        <w:insideH w:val="single" w:color="auto" w:sz="4"/>
        <w:insideV w:val="single" w:color="auto" w:sz="4"/>
      </w:tblBorders>
    </w:tblPr>
    <w:tblGrid>
      <w:gridCol w:w="100"/>
    </w:tblGrid>
    <w:tr>
      <w:tc>
        <w:tcPr>
          <w:shd w:fill="0D0D0D" w:val="clear"/>
          <w:tcMar>
            <w:top w:type="dxa" w:w="120"/>
            <w:left w:type="dxa" w:w="200"/>
            <w:bottom w:type="dxa" w:w="120"/>
            <w:right w:type="dxa" w:w="200"/>
          </w:tcMar>
          <w:vAlign w:val="center"/>
        </w:tcPr>
        <w:p>
          <w:pPr>
            <w:spacing w:after="40"/>
          </w:pPr>
          <w:r>
            <w:rPr>
              <w:rFonts w:ascii="Arial" w:cs="Arial" w:eastAsia="Arial" w:hAnsi="Arial"/>
              <w:color w:val="AAAAAA"/>
              <w:sz w:val="14"/>
              <w:szCs w:val="14"/>
            </w:rPr>
            <w:t xml:space="preserve">https://mtechproduction.com/</w:t>
          </w:r>
        </w:p>
        <w:p>
          <w:pPr>
            <w:tabs>
              <w:tab w:val="center" w:pos="4680"/>
              <w:tab w:val="right" w:pos="9360"/>
            </w:tabs>
          </w:pPr>
          <w:r>
            <w:rPr>
              <w:rFonts w:ascii="Arial" w:cs="Arial" w:eastAsia="Arial" w:hAnsi="Arial"/>
              <w:b/>
              <w:bCs/>
              <w:color w:val="FFFFFF"/>
              <w:sz w:val="14"/>
              <w:szCs w:val="14"/>
            </w:rPr>
            <w:t xml:space="preserve">CONFIDENTIAL — M-TECH INTERNSHIP PROGRAM</w:t>
          </w:r>
          <w:r>
            <w:rPr>
              <w:rFonts w:ascii="Arial" w:cs="Arial" w:eastAsia="Arial" w:hAnsi="Arial"/>
              <w:b/>
              <w:bCs/>
              <w:color w:val="CC0000"/>
              <w:sz w:val="16"/>
              <w:szCs w:val="16"/>
            </w:rPr>
            <w:t xml:space="preserve">	Page </w:t>
          </w:r>
          <w:r>
            <w:rPr>
              <w:rFonts w:ascii="Arial" w:cs="Arial" w:eastAsia="Arial" w:hAnsi="Arial"/>
              <w:b/>
              <w:bCs/>
              <w:color w:val="CC0000"/>
              <w:sz w:val="16"/>
              <w:szCs w:val="16"/>
            </w:rPr>
            <w:fldChar w:fldCharType="begin"/>
            <w:instrText xml:space="preserve">PAGE</w:instrText>
            <w:fldChar w:fldCharType="separate"/>
            <w:fldChar w:fldCharType="end"/>
          </w:r>
          <w:r>
            <w:rPr>
              <w:rFonts w:ascii="Arial" w:cs="Arial" w:eastAsia="Arial" w:hAnsi="Arial"/>
              <w:color w:val="AAAAAA"/>
              <w:sz w:val="14"/>
              <w:szCs w:val="14"/>
            </w:rPr>
            <w:t xml:space="preserve">	mtechproductionandmarketing@gmail.com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CC0000" w:val="clear"/>
          <w:tcMar>
            <w:top w:type="dxa" w:w="60"/>
            <w:left w:type="dxa" w:w="200"/>
            <w:bottom w:type="dxa" w:w="60"/>
            <w:right w:type="dxa" w:w="200"/>
          </w:tcMar>
        </w:tcPr>
        <w:p>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p>
      </w:tc>
    </w:tr>
    <w:tr>
      <w:tc>
        <w:tcPr>
          <w:shd w:fill="0D0D0D" w:val="clear"/>
          <w:tcMar>
            <w:top w:type="dxa" w:w="80"/>
            <w:left w:type="dxa" w:w="200"/>
            <w:bottom w:type="dxa" w:w="80"/>
            <w:right w:type="dxa" w:w="200"/>
          </w:tcMar>
        </w:tcPr>
        <w:p>
          <w:pPr>
            <w:spacing w:after="20"/>
          </w:pPr>
          <w:r>
            <w:rPr>
              <w:rFonts w:ascii="Arial" w:cs="Arial" w:eastAsia="Arial" w:hAnsi="Arial"/>
              <w:b/>
              <w:bCs/>
              <w:color w:val="FFFFFF"/>
              <w:sz w:val="18"/>
              <w:szCs w:val="18"/>
            </w:rPr>
            <w:t xml:space="preserve">M-Tech Production &amp; Marketing</w:t>
          </w:r>
        </w:p>
        <w:p>
          <w:r>
            <w:rPr>
              <w:rFonts w:ascii="Arial" w:cs="Arial" w:eastAsia="Arial" w:hAnsi="Arial"/>
              <w:color w:val="AAAAAA"/>
              <w:sz w:val="14"/>
              <w:szCs w:val="14"/>
            </w:rPr>
            <w:t xml:space="preserve">OWASP Top 10 Summary  |  Cyber Security Internship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298ad5a3eec50705c243cac521ec0ea43e112cf.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2026-07-04T12:24:18.273Z</dcterms:created>
  <dcterms:modified xsi:type="dcterms:W3CDTF">2026-07-04T12:24:18.285Z</dcterms:modified>
</cp:coreProperties>
</file>

<file path=docProps/custom.xml><?xml version="1.0" encoding="utf-8"?>
<Properties xmlns="http://schemas.openxmlformats.org/officeDocument/2006/custom-properties" xmlns:vt="http://schemas.openxmlformats.org/officeDocument/2006/docPropsVTypes"/>
</file>