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22124F40" w:rsidR="00E1233B"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7345E3">
        <w:br/>
      </w:r>
      <w:r w:rsidRPr="3378EA2B">
        <w:rPr>
          <w:rFonts w:ascii="Arial" w:eastAsia="Arial" w:hAnsi="Arial" w:cs="Arial"/>
          <w:b/>
          <w:bCs/>
          <w:sz w:val="32"/>
          <w:szCs w:val="32"/>
        </w:rPr>
        <w:t>Report Template</w:t>
      </w:r>
    </w:p>
    <w:p w14:paraId="672A6659" w14:textId="77777777" w:rsidR="00E1233B" w:rsidRDefault="007345E3" w:rsidP="3378EA2B">
      <w:pPr>
        <w:rPr>
          <w:rFonts w:ascii="Arial" w:eastAsia="Arial" w:hAnsi="Arial" w:cs="Arial"/>
        </w:rPr>
      </w:pPr>
      <w:r>
        <w:br/>
      </w:r>
    </w:p>
    <w:p w14:paraId="32A36C38" w14:textId="77777777" w:rsidR="00E1233B"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78105012" w14:textId="77777777" w:rsidR="00786FE0" w:rsidRDefault="00786FE0" w:rsidP="3378EA2B">
      <w:pPr>
        <w:pStyle w:val="Heading1"/>
        <w:rPr>
          <w:rFonts w:ascii="Arial" w:eastAsia="Arial" w:hAnsi="Arial" w:cs="Arial"/>
          <w:b w:val="0"/>
          <w:bCs w:val="0"/>
          <w:color w:val="auto"/>
          <w:sz w:val="22"/>
          <w:szCs w:val="22"/>
        </w:rPr>
      </w:pPr>
      <w:r w:rsidRPr="00786FE0">
        <w:rPr>
          <w:rFonts w:ascii="Arial" w:eastAsia="Arial" w:hAnsi="Arial" w:cs="Arial"/>
          <w:b w:val="0"/>
          <w:bCs w:val="0"/>
          <w:color w:val="auto"/>
          <w:sz w:val="22"/>
          <w:szCs w:val="22"/>
        </w:rPr>
        <w:t>The purpose of this Exploratory Data Analysis (EDA) is to assess the quality, structure, and completeness of Geldium’s customer dataset in preparation for delinquency risk modeling. This analysis aims to uncover data integrity issues, identify missing or inconsistent values, and highlight early indicators that may contribute to credit delinquency. By understanding the relationships between key financial, behavioral, and demographic variables—such as income, credit score, credit utilization, and payment history—this EDA will help Tata iQ’s analytics team and Geldium’s decision-makers refine their predictive modeling strategies and improve customer risk management interventions.</w:t>
      </w:r>
    </w:p>
    <w:p w14:paraId="5F1C37D1" w14:textId="7EF0D460" w:rsidR="00E1233B"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395ED322" w14:textId="77777777" w:rsidR="00C34029" w:rsidRDefault="00C34029" w:rsidP="00C34029">
      <w:pPr>
        <w:pStyle w:val="NormalWeb"/>
      </w:pPr>
      <w:r>
        <w:t>This dataset contains financial and behavioral information for Geldium’s customers, designed to support delinquency risk prediction. It includes demographic attributes, credit performance metrics, and recent payment history across six months.</w:t>
      </w:r>
    </w:p>
    <w:p w14:paraId="05D67EF8" w14:textId="77777777" w:rsidR="00C34029" w:rsidRDefault="00C34029" w:rsidP="00C34029">
      <w:pPr>
        <w:pStyle w:val="NormalWeb"/>
      </w:pPr>
      <w:r>
        <w:rPr>
          <w:rStyle w:val="Strong"/>
        </w:rPr>
        <w:t>Key dataset attributes:</w:t>
      </w:r>
    </w:p>
    <w:p w14:paraId="10D1ABBD" w14:textId="77777777" w:rsidR="00C34029" w:rsidRDefault="00C34029" w:rsidP="00C34029">
      <w:pPr>
        <w:pStyle w:val="NormalWeb"/>
        <w:numPr>
          <w:ilvl w:val="0"/>
          <w:numId w:val="10"/>
        </w:numPr>
      </w:pPr>
      <w:r>
        <w:rPr>
          <w:rStyle w:val="Strong"/>
        </w:rPr>
        <w:t>Number of records:</w:t>
      </w:r>
      <w:r>
        <w:t xml:space="preserve"> 500</w:t>
      </w:r>
    </w:p>
    <w:p w14:paraId="56B63B9D" w14:textId="77777777" w:rsidR="00C34029" w:rsidRDefault="00C34029" w:rsidP="00C34029">
      <w:pPr>
        <w:pStyle w:val="NormalWeb"/>
        <w:numPr>
          <w:ilvl w:val="0"/>
          <w:numId w:val="10"/>
        </w:numPr>
      </w:pPr>
      <w:r>
        <w:rPr>
          <w:rStyle w:val="Strong"/>
        </w:rPr>
        <w:t>Number of variables:</w:t>
      </w:r>
      <w:r>
        <w:t xml:space="preserve"> 19</w:t>
      </w:r>
    </w:p>
    <w:p w14:paraId="2819DA97" w14:textId="77777777" w:rsidR="00C34029" w:rsidRDefault="00C34029" w:rsidP="00C34029">
      <w:pPr>
        <w:pStyle w:val="NormalWeb"/>
        <w:numPr>
          <w:ilvl w:val="0"/>
          <w:numId w:val="10"/>
        </w:numPr>
      </w:pPr>
      <w:r>
        <w:rPr>
          <w:rStyle w:val="Strong"/>
        </w:rPr>
        <w:t>Target variable:</w:t>
      </w:r>
      <w:r>
        <w:t xml:space="preserve"> </w:t>
      </w:r>
      <w:r>
        <w:rPr>
          <w:rStyle w:val="HTMLCode"/>
        </w:rPr>
        <w:t>Delinquent_Account</w:t>
      </w:r>
      <w:r>
        <w:t xml:space="preserve"> (Binary: 1 = Delinquent, 0 = Non-Delinquent)</w:t>
      </w:r>
    </w:p>
    <w:p w14:paraId="02E3A38F" w14:textId="77777777" w:rsidR="00C34029" w:rsidRDefault="00C34029" w:rsidP="00C34029">
      <w:pPr>
        <w:pStyle w:val="NormalWeb"/>
        <w:numPr>
          <w:ilvl w:val="0"/>
          <w:numId w:val="10"/>
        </w:numPr>
      </w:pPr>
      <w:r>
        <w:rPr>
          <w:rStyle w:val="Strong"/>
        </w:rPr>
        <w:t>Key variables and descriptions:</w:t>
      </w:r>
    </w:p>
    <w:p w14:paraId="72064A1C" w14:textId="77777777" w:rsidR="00C34029" w:rsidRDefault="00C34029" w:rsidP="00C34029">
      <w:pPr>
        <w:pStyle w:val="NormalWeb"/>
        <w:numPr>
          <w:ilvl w:val="1"/>
          <w:numId w:val="10"/>
        </w:numPr>
      </w:pPr>
      <w:r>
        <w:rPr>
          <w:rStyle w:val="HTMLCode"/>
        </w:rPr>
        <w:t>Age</w:t>
      </w:r>
      <w:r>
        <w:t>: Customer’s age in years (Numerical)</w:t>
      </w:r>
    </w:p>
    <w:p w14:paraId="765617F8" w14:textId="77777777" w:rsidR="00C34029" w:rsidRDefault="00C34029" w:rsidP="00C34029">
      <w:pPr>
        <w:pStyle w:val="NormalWeb"/>
        <w:numPr>
          <w:ilvl w:val="1"/>
          <w:numId w:val="10"/>
        </w:numPr>
      </w:pPr>
      <w:r>
        <w:rPr>
          <w:rStyle w:val="HTMLCode"/>
        </w:rPr>
        <w:t>Income</w:t>
      </w:r>
      <w:r>
        <w:t>: Annual income in USD (Numerical, contains ~7.8% missing values)</w:t>
      </w:r>
    </w:p>
    <w:p w14:paraId="5FE28957" w14:textId="77777777" w:rsidR="00C34029" w:rsidRDefault="00C34029" w:rsidP="00C34029">
      <w:pPr>
        <w:pStyle w:val="NormalWeb"/>
        <w:numPr>
          <w:ilvl w:val="1"/>
          <w:numId w:val="10"/>
        </w:numPr>
      </w:pPr>
      <w:r>
        <w:rPr>
          <w:rStyle w:val="HTMLCode"/>
        </w:rPr>
        <w:t>Credit_Score</w:t>
      </w:r>
      <w:r>
        <w:t>: Customer’s credit score (Numerical, 300–850 scale)</w:t>
      </w:r>
    </w:p>
    <w:p w14:paraId="10BBBF60" w14:textId="77777777" w:rsidR="00C34029" w:rsidRDefault="00C34029" w:rsidP="00C34029">
      <w:pPr>
        <w:pStyle w:val="NormalWeb"/>
        <w:numPr>
          <w:ilvl w:val="1"/>
          <w:numId w:val="10"/>
        </w:numPr>
      </w:pPr>
      <w:r>
        <w:rPr>
          <w:rStyle w:val="HTMLCode"/>
        </w:rPr>
        <w:t>Credit_Utilization</w:t>
      </w:r>
      <w:r>
        <w:t>: Percentage of available credit currently in use (Numerical, 0–1 range; 4 outliers &gt;1 detected)</w:t>
      </w:r>
    </w:p>
    <w:p w14:paraId="0DA98784" w14:textId="77777777" w:rsidR="00C34029" w:rsidRDefault="00C34029" w:rsidP="00C34029">
      <w:pPr>
        <w:pStyle w:val="NormalWeb"/>
        <w:numPr>
          <w:ilvl w:val="1"/>
          <w:numId w:val="10"/>
        </w:numPr>
      </w:pPr>
      <w:r>
        <w:rPr>
          <w:rStyle w:val="HTMLCode"/>
        </w:rPr>
        <w:t>Missed_Payments</w:t>
      </w:r>
      <w:r>
        <w:t>: Total missed payments in the last 12 months (Numerical)</w:t>
      </w:r>
    </w:p>
    <w:p w14:paraId="3BC08AED" w14:textId="77777777" w:rsidR="00C34029" w:rsidRDefault="00C34029" w:rsidP="00C34029">
      <w:pPr>
        <w:pStyle w:val="NormalWeb"/>
        <w:numPr>
          <w:ilvl w:val="1"/>
          <w:numId w:val="10"/>
        </w:numPr>
      </w:pPr>
      <w:r>
        <w:rPr>
          <w:rStyle w:val="HTMLCode"/>
        </w:rPr>
        <w:t>Loan_Balance</w:t>
      </w:r>
      <w:r>
        <w:t>: Outstanding loan balance in USD (Numerical, ~5.8% missing values)</w:t>
      </w:r>
    </w:p>
    <w:p w14:paraId="649E73DF" w14:textId="77777777" w:rsidR="00C34029" w:rsidRDefault="00C34029" w:rsidP="00C34029">
      <w:pPr>
        <w:pStyle w:val="NormalWeb"/>
        <w:numPr>
          <w:ilvl w:val="1"/>
          <w:numId w:val="10"/>
        </w:numPr>
      </w:pPr>
      <w:r>
        <w:rPr>
          <w:rStyle w:val="HTMLCode"/>
        </w:rPr>
        <w:lastRenderedPageBreak/>
        <w:t>Debt_to_Income_Ratio</w:t>
      </w:r>
      <w:r>
        <w:t>: Ratio of total debt to income (Numerical, 0–1 range)</w:t>
      </w:r>
    </w:p>
    <w:p w14:paraId="2DD020AF" w14:textId="77777777" w:rsidR="00C34029" w:rsidRDefault="00C34029" w:rsidP="00C34029">
      <w:pPr>
        <w:pStyle w:val="NormalWeb"/>
        <w:numPr>
          <w:ilvl w:val="1"/>
          <w:numId w:val="10"/>
        </w:numPr>
      </w:pPr>
      <w:r>
        <w:rPr>
          <w:rStyle w:val="HTMLCode"/>
        </w:rPr>
        <w:t>Employment_Status</w:t>
      </w:r>
      <w:r>
        <w:t>: Employment category (Categorical; includes inconsistent entries such as “EMP”, “Employed”, “employed”)</w:t>
      </w:r>
    </w:p>
    <w:p w14:paraId="248297EB" w14:textId="77777777" w:rsidR="00C34029" w:rsidRDefault="00C34029" w:rsidP="00C34029">
      <w:pPr>
        <w:pStyle w:val="NormalWeb"/>
        <w:numPr>
          <w:ilvl w:val="1"/>
          <w:numId w:val="10"/>
        </w:numPr>
      </w:pPr>
      <w:r>
        <w:rPr>
          <w:rStyle w:val="HTMLCode"/>
        </w:rPr>
        <w:t>Credit_Card_Type</w:t>
      </w:r>
      <w:r>
        <w:t>: Card type held (Categorical: Standard, Gold, Platinum, etc.)</w:t>
      </w:r>
    </w:p>
    <w:p w14:paraId="410ACAA4" w14:textId="77777777" w:rsidR="00C34029" w:rsidRDefault="00C34029" w:rsidP="00C34029">
      <w:pPr>
        <w:pStyle w:val="NormalWeb"/>
        <w:numPr>
          <w:ilvl w:val="1"/>
          <w:numId w:val="10"/>
        </w:numPr>
      </w:pPr>
      <w:r>
        <w:rPr>
          <w:rStyle w:val="HTMLCode"/>
        </w:rPr>
        <w:t>Location</w:t>
      </w:r>
      <w:r>
        <w:t>: Customer’s city or region (Categorical: Los Angeles, Phoenix, Chicago, Houston, New York)</w:t>
      </w:r>
    </w:p>
    <w:p w14:paraId="560CDF3A" w14:textId="77777777" w:rsidR="00C34029" w:rsidRDefault="00C34029" w:rsidP="00C34029">
      <w:pPr>
        <w:pStyle w:val="NormalWeb"/>
        <w:numPr>
          <w:ilvl w:val="1"/>
          <w:numId w:val="10"/>
        </w:numPr>
      </w:pPr>
      <w:r>
        <w:rPr>
          <w:rStyle w:val="HTMLCode"/>
        </w:rPr>
        <w:t>Month_1</w:t>
      </w:r>
      <w:r>
        <w:t>–</w:t>
      </w:r>
      <w:r>
        <w:rPr>
          <w:rStyle w:val="HTMLCode"/>
        </w:rPr>
        <w:t>Month_6</w:t>
      </w:r>
      <w:r>
        <w:t>: Payment behavior over past six months (Categorical: On-time, Late, Missed)</w:t>
      </w:r>
    </w:p>
    <w:p w14:paraId="46DC9241" w14:textId="77777777" w:rsidR="00C34029" w:rsidRDefault="00C34029" w:rsidP="00C34029">
      <w:pPr>
        <w:pStyle w:val="NormalWeb"/>
      </w:pPr>
      <w:r>
        <w:rPr>
          <w:rStyle w:val="Strong"/>
        </w:rPr>
        <w:t>Data types:</w:t>
      </w:r>
    </w:p>
    <w:p w14:paraId="16E3ADD1" w14:textId="77777777" w:rsidR="00C34029" w:rsidRDefault="00C34029" w:rsidP="00C34029">
      <w:pPr>
        <w:pStyle w:val="NormalWeb"/>
        <w:numPr>
          <w:ilvl w:val="0"/>
          <w:numId w:val="11"/>
        </w:numPr>
      </w:pPr>
      <w:r>
        <w:rPr>
          <w:rStyle w:val="Strong"/>
        </w:rPr>
        <w:t>Numerical features:</w:t>
      </w:r>
      <w:r>
        <w:t xml:space="preserve"> 8 (e.g., </w:t>
      </w:r>
      <w:r>
        <w:rPr>
          <w:rStyle w:val="HTMLCode"/>
        </w:rPr>
        <w:t>Age</w:t>
      </w:r>
      <w:r>
        <w:t xml:space="preserve">, </w:t>
      </w:r>
      <w:r>
        <w:rPr>
          <w:rStyle w:val="HTMLCode"/>
        </w:rPr>
        <w:t>Income</w:t>
      </w:r>
      <w:r>
        <w:t xml:space="preserve">, </w:t>
      </w:r>
      <w:r>
        <w:rPr>
          <w:rStyle w:val="HTMLCode"/>
        </w:rPr>
        <w:t>Credit_Score</w:t>
      </w:r>
      <w:r>
        <w:t xml:space="preserve">, </w:t>
      </w:r>
      <w:r>
        <w:rPr>
          <w:rStyle w:val="HTMLCode"/>
        </w:rPr>
        <w:t>Credit_Utilization</w:t>
      </w:r>
      <w:r>
        <w:t>)</w:t>
      </w:r>
    </w:p>
    <w:p w14:paraId="378FFB79" w14:textId="77777777" w:rsidR="00C34029" w:rsidRDefault="00C34029" w:rsidP="00C34029">
      <w:pPr>
        <w:pStyle w:val="NormalWeb"/>
        <w:numPr>
          <w:ilvl w:val="0"/>
          <w:numId w:val="11"/>
        </w:numPr>
      </w:pPr>
      <w:r>
        <w:rPr>
          <w:rStyle w:val="Strong"/>
        </w:rPr>
        <w:t>Categorical features:</w:t>
      </w:r>
      <w:r>
        <w:t xml:space="preserve"> 5 (e.g., </w:t>
      </w:r>
      <w:r>
        <w:rPr>
          <w:rStyle w:val="HTMLCode"/>
        </w:rPr>
        <w:t>Employment_Status</w:t>
      </w:r>
      <w:r>
        <w:t xml:space="preserve">, </w:t>
      </w:r>
      <w:r>
        <w:rPr>
          <w:rStyle w:val="HTMLCode"/>
        </w:rPr>
        <w:t>Credit_Card_Type</w:t>
      </w:r>
      <w:r>
        <w:t xml:space="preserve">, </w:t>
      </w:r>
      <w:r>
        <w:rPr>
          <w:rStyle w:val="HTMLCode"/>
        </w:rPr>
        <w:t>Location</w:t>
      </w:r>
      <w:r>
        <w:t>, and Month columns)</w:t>
      </w:r>
    </w:p>
    <w:p w14:paraId="29AF34EA" w14:textId="77777777" w:rsidR="00C34029" w:rsidRDefault="00C34029" w:rsidP="00C34029">
      <w:pPr>
        <w:pStyle w:val="NormalWeb"/>
        <w:numPr>
          <w:ilvl w:val="0"/>
          <w:numId w:val="11"/>
        </w:numPr>
      </w:pPr>
      <w:r>
        <w:rPr>
          <w:rStyle w:val="Strong"/>
        </w:rPr>
        <w:t>Target variable:</w:t>
      </w:r>
      <w:r>
        <w:t xml:space="preserve"> Binary (</w:t>
      </w:r>
      <w:r>
        <w:rPr>
          <w:rStyle w:val="HTMLCode"/>
        </w:rPr>
        <w:t>Delinquent_Account</w:t>
      </w:r>
      <w:r>
        <w:t>)</w:t>
      </w:r>
    </w:p>
    <w:p w14:paraId="418DB453" w14:textId="77777777" w:rsidR="00C34029" w:rsidRDefault="00C34029" w:rsidP="00C34029">
      <w:pPr>
        <w:pStyle w:val="NormalWeb"/>
      </w:pPr>
      <w:r>
        <w:rPr>
          <w:rStyle w:val="Strong"/>
        </w:rPr>
        <w:t>Anomalies and inconsistencies identified:</w:t>
      </w:r>
    </w:p>
    <w:p w14:paraId="744B9A48" w14:textId="77777777" w:rsidR="00C34029" w:rsidRDefault="00C34029" w:rsidP="00C34029">
      <w:pPr>
        <w:pStyle w:val="NormalWeb"/>
        <w:numPr>
          <w:ilvl w:val="0"/>
          <w:numId w:val="12"/>
        </w:numPr>
      </w:pPr>
      <w:r>
        <w:t xml:space="preserve">Missing values in </w:t>
      </w:r>
      <w:r>
        <w:rPr>
          <w:rStyle w:val="HTMLCode"/>
        </w:rPr>
        <w:t>Income</w:t>
      </w:r>
      <w:r>
        <w:t xml:space="preserve"> (7.8%) and </w:t>
      </w:r>
      <w:r>
        <w:rPr>
          <w:rStyle w:val="HTMLCode"/>
        </w:rPr>
        <w:t>Loan_Balance</w:t>
      </w:r>
      <w:r>
        <w:t xml:space="preserve"> (5.8%).</w:t>
      </w:r>
    </w:p>
    <w:p w14:paraId="136ABCF6" w14:textId="77777777" w:rsidR="00C34029" w:rsidRDefault="00C34029" w:rsidP="00C34029">
      <w:pPr>
        <w:pStyle w:val="NormalWeb"/>
        <w:numPr>
          <w:ilvl w:val="0"/>
          <w:numId w:val="12"/>
        </w:numPr>
      </w:pPr>
      <w:r>
        <w:t xml:space="preserve">Four instances of </w:t>
      </w:r>
      <w:r>
        <w:rPr>
          <w:rStyle w:val="HTMLCode"/>
        </w:rPr>
        <w:t>Credit_Utilization</w:t>
      </w:r>
      <w:r>
        <w:t xml:space="preserve"> greater than 1.0 (should be capped).</w:t>
      </w:r>
    </w:p>
    <w:p w14:paraId="00DFE623" w14:textId="77777777" w:rsidR="00C34029" w:rsidRDefault="00C34029" w:rsidP="00C34029">
      <w:pPr>
        <w:pStyle w:val="NormalWeb"/>
        <w:numPr>
          <w:ilvl w:val="0"/>
          <w:numId w:val="12"/>
        </w:numPr>
      </w:pPr>
      <w:r>
        <w:t xml:space="preserve">Inconsistent capitalization in </w:t>
      </w:r>
      <w:r>
        <w:rPr>
          <w:rStyle w:val="HTMLCode"/>
        </w:rPr>
        <w:t>Employment_Status</w:t>
      </w:r>
      <w:r>
        <w:t xml:space="preserve"> entries (e.g., EMP vs employed).</w:t>
      </w:r>
    </w:p>
    <w:p w14:paraId="288C8C1B" w14:textId="77777777" w:rsidR="00C34029" w:rsidRDefault="00C34029" w:rsidP="00C34029">
      <w:pPr>
        <w:pStyle w:val="NormalWeb"/>
        <w:numPr>
          <w:ilvl w:val="0"/>
          <w:numId w:val="12"/>
        </w:numPr>
      </w:pPr>
      <w:r>
        <w:t xml:space="preserve">No duplicate </w:t>
      </w:r>
      <w:r>
        <w:rPr>
          <w:rStyle w:val="HTMLCode"/>
        </w:rPr>
        <w:t>Customer_ID</w:t>
      </w:r>
      <w:r>
        <w:t>s detected.</w:t>
      </w:r>
    </w:p>
    <w:p w14:paraId="32E7B4E9" w14:textId="77777777" w:rsidR="00C34029" w:rsidRDefault="00C34029" w:rsidP="00C34029">
      <w:pPr>
        <w:pStyle w:val="NormalWeb"/>
        <w:numPr>
          <w:ilvl w:val="0"/>
          <w:numId w:val="12"/>
        </w:numPr>
      </w:pPr>
      <w:r>
        <w:t>All numerical features contain valid non-negative values.</w:t>
      </w:r>
    </w:p>
    <w:p w14:paraId="5A7A0835" w14:textId="77777777" w:rsidR="00E1233B"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1E547388" w14:textId="77777777" w:rsidR="002E6D22" w:rsidRDefault="002E6D22" w:rsidP="002E6D22">
      <w:pPr>
        <w:pStyle w:val="NormalWeb"/>
      </w:pPr>
      <w:r>
        <w:t xml:space="preserve">The dataset contained limited missing data in </w:t>
      </w:r>
      <w:r>
        <w:rPr>
          <w:rStyle w:val="HTMLCode"/>
        </w:rPr>
        <w:t>Credit_Score</w:t>
      </w:r>
      <w:r>
        <w:t xml:space="preserve">, </w:t>
      </w:r>
      <w:r>
        <w:rPr>
          <w:rStyle w:val="HTMLCode"/>
        </w:rPr>
        <w:t>Income</w:t>
      </w:r>
      <w:r>
        <w:t xml:space="preserve">, and </w:t>
      </w:r>
      <w:r>
        <w:rPr>
          <w:rStyle w:val="HTMLCode"/>
        </w:rPr>
        <w:t>Loan_Balance</w:t>
      </w:r>
      <w:r>
        <w:t>. Consistent with financial-industry standards and data-governance guidelines, the following treatments were applied to ensure completeness and reliability:</w:t>
      </w:r>
    </w:p>
    <w:p w14:paraId="28E0E0FB" w14:textId="77777777" w:rsidR="002E6D22" w:rsidRDefault="002E6D22" w:rsidP="002E6D22">
      <w:pPr>
        <w:pStyle w:val="NormalWeb"/>
      </w:pPr>
      <w:r>
        <w:t xml:space="preserve">• </w:t>
      </w:r>
      <w:r>
        <w:rPr>
          <w:rStyle w:val="Strong"/>
        </w:rPr>
        <w:t>Credit Score:</w:t>
      </w:r>
      <w:r>
        <w:t xml:space="preserve"> Since less than 1% of records were missing this critical variable, those rows were removed. Dropping them prevents introducing artificial credit scores and maintains data integrity for a key risk indicator.</w:t>
      </w:r>
    </w:p>
    <w:p w14:paraId="5623B5FA" w14:textId="77777777" w:rsidR="002E6D22" w:rsidRDefault="002E6D22" w:rsidP="002E6D22">
      <w:pPr>
        <w:pStyle w:val="NormalWeb"/>
      </w:pPr>
      <w:r>
        <w:t xml:space="preserve">• </w:t>
      </w:r>
      <w:r>
        <w:rPr>
          <w:rStyle w:val="Strong"/>
        </w:rPr>
        <w:t>Income:</w:t>
      </w:r>
      <w:r>
        <w:t xml:space="preserve"> Missing values (~7.8%) were imputed using the </w:t>
      </w:r>
      <w:r>
        <w:rPr>
          <w:rStyle w:val="Strong"/>
        </w:rPr>
        <w:t>mean value</w:t>
      </w:r>
      <w:r>
        <w:t>, as the variable exhibited a near-normal distribution with no significant outliers. This method preserves the overall financial distribution and average customer profile while ensuring numerical stability.</w:t>
      </w:r>
    </w:p>
    <w:p w14:paraId="33092BE3" w14:textId="77777777" w:rsidR="002E6D22" w:rsidRDefault="002E6D22" w:rsidP="002E6D22">
      <w:pPr>
        <w:pStyle w:val="NormalWeb"/>
      </w:pPr>
      <w:r>
        <w:t xml:space="preserve">• </w:t>
      </w:r>
      <w:r>
        <w:rPr>
          <w:rStyle w:val="Strong"/>
        </w:rPr>
        <w:t>Loan Balance:</w:t>
      </w:r>
      <w:r>
        <w:t xml:space="preserve"> Missing values (~5.8%) were replaced using an </w:t>
      </w:r>
      <w:r>
        <w:rPr>
          <w:rStyle w:val="Strong"/>
        </w:rPr>
        <w:t>AI-assisted synthetic data generation approach</w:t>
      </w:r>
      <w:r>
        <w:t xml:space="preserve">, where values were generated based on the statistical </w:t>
      </w:r>
      <w:r>
        <w:lastRenderedPageBreak/>
        <w:t xml:space="preserve">characteristics (mean and standard deviation) of customers with the same </w:t>
      </w:r>
      <w:r>
        <w:rPr>
          <w:rStyle w:val="HTMLCode"/>
        </w:rPr>
        <w:t>Credit_Card_Type</w:t>
      </w:r>
      <w:r>
        <w:t>. This ensures realistic, segment-consistent loan balances while maintaining data variability and fairness.</w:t>
      </w:r>
    </w:p>
    <w:p w14:paraId="5858F54C" w14:textId="77777777" w:rsidR="002E6D22" w:rsidRDefault="002E6D22" w:rsidP="002E6D22">
      <w:pPr>
        <w:pStyle w:val="NormalWeb"/>
      </w:pPr>
      <w:r>
        <w:t xml:space="preserve">These treatments align with </w:t>
      </w:r>
      <w:r>
        <w:rPr>
          <w:rStyle w:val="Strong"/>
        </w:rPr>
        <w:t>Basel II/III</w:t>
      </w:r>
      <w:r>
        <w:t xml:space="preserve"> data-quality expectations and financial-modeling best practices, ensuring the dataset remains both </w:t>
      </w:r>
      <w:r>
        <w:rPr>
          <w:rStyle w:val="Strong"/>
        </w:rPr>
        <w:t>statistically sound</w:t>
      </w:r>
      <w:r>
        <w:t xml:space="preserve"> and </w:t>
      </w:r>
      <w:r>
        <w:rPr>
          <w:rStyle w:val="Strong"/>
        </w:rPr>
        <w:t>ready for predictive modeling</w:t>
      </w:r>
      <w:r>
        <w:t xml:space="preserve"> while maintaining realistic financial relationships.</w:t>
      </w:r>
    </w:p>
    <w:p w14:paraId="42D602DA" w14:textId="77777777" w:rsidR="00E1233B"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5E50CD76" w14:textId="77777777" w:rsidR="00265E45" w:rsidRDefault="00265E45" w:rsidP="00265E45">
      <w:pPr>
        <w:pStyle w:val="NormalWeb"/>
      </w:pPr>
      <w:r>
        <w:t>Exploratory analysis and correlation assessment were conducted to identify key financial and behavioral variables influencing account delinquency. The correlations with the target variable (</w:t>
      </w:r>
      <w:r>
        <w:rPr>
          <w:rStyle w:val="HTMLCode"/>
        </w:rPr>
        <w:t>Delinquent_Account</w:t>
      </w:r>
      <w:r>
        <w:t xml:space="preserve">) were relatively weak overall, indicating that delinquency risk is likely driven by </w:t>
      </w:r>
      <w:r>
        <w:rPr>
          <w:rStyle w:val="Strong"/>
        </w:rPr>
        <w:t>multi-factor behavioral interactions</w:t>
      </w:r>
      <w:r>
        <w:t xml:space="preserve"> rather than a single dominant feature.</w:t>
      </w:r>
    </w:p>
    <w:p w14:paraId="5CE7091F" w14:textId="77777777" w:rsidR="00265E45" w:rsidRDefault="00265E45" w:rsidP="00265E45">
      <w:pPr>
        <w:pStyle w:val="NormalWeb"/>
      </w:pPr>
      <w:r>
        <w:rPr>
          <w:rStyle w:val="Strong"/>
        </w:rPr>
        <w:t>Correlation insights:</w:t>
      </w:r>
    </w:p>
    <w:p w14:paraId="2655E1A0" w14:textId="77777777" w:rsidR="00265E45" w:rsidRDefault="00265E45" w:rsidP="00265E45">
      <w:pPr>
        <w:pStyle w:val="NormalWeb"/>
        <w:numPr>
          <w:ilvl w:val="0"/>
          <w:numId w:val="22"/>
        </w:numPr>
      </w:pPr>
      <w:r>
        <w:t xml:space="preserve">The strongest positive relationships with delinquency were observed for </w:t>
      </w:r>
      <w:r>
        <w:rPr>
          <w:rStyle w:val="Strong"/>
        </w:rPr>
        <w:t>Income (r = 0.044)</w:t>
      </w:r>
      <w:r>
        <w:t xml:space="preserve">, </w:t>
      </w:r>
      <w:r>
        <w:rPr>
          <w:rStyle w:val="Strong"/>
        </w:rPr>
        <w:t>Credit Utilization (r = 0.036)</w:t>
      </w:r>
      <w:r>
        <w:t xml:space="preserve">, and </w:t>
      </w:r>
      <w:r>
        <w:rPr>
          <w:rStyle w:val="Strong"/>
        </w:rPr>
        <w:t>Credit Score (r = 0.035)</w:t>
      </w:r>
      <w:r>
        <w:t>, although these are weak linear correlations.</w:t>
      </w:r>
    </w:p>
    <w:p w14:paraId="47BD782A" w14:textId="77777777" w:rsidR="00265E45" w:rsidRDefault="00265E45" w:rsidP="00265E45">
      <w:pPr>
        <w:pStyle w:val="NormalWeb"/>
        <w:numPr>
          <w:ilvl w:val="0"/>
          <w:numId w:val="22"/>
        </w:numPr>
      </w:pPr>
      <w:r>
        <w:rPr>
          <w:rStyle w:val="Strong"/>
        </w:rPr>
        <w:t>Debt-to-Income Ratio (r = 0.035)</w:t>
      </w:r>
      <w:r>
        <w:t xml:space="preserve"> and </w:t>
      </w:r>
      <w:r>
        <w:rPr>
          <w:rStyle w:val="Strong"/>
        </w:rPr>
        <w:t>Age (r = 0.022)</w:t>
      </w:r>
      <w:r>
        <w:t xml:space="preserve"> also showed minor positive associations with delinquency, suggesting slightly higher risk among customers with heavier debt loads or older profiles.</w:t>
      </w:r>
    </w:p>
    <w:p w14:paraId="4AB7B035" w14:textId="77777777" w:rsidR="00265E45" w:rsidRDefault="00265E45" w:rsidP="00265E45">
      <w:pPr>
        <w:pStyle w:val="NormalWeb"/>
        <w:numPr>
          <w:ilvl w:val="0"/>
          <w:numId w:val="22"/>
        </w:numPr>
      </w:pPr>
      <w:r>
        <w:rPr>
          <w:rStyle w:val="Strong"/>
        </w:rPr>
        <w:t>Loan Balance (r = 0.007)</w:t>
      </w:r>
      <w:r>
        <w:t xml:space="preserve"> exhibited a negligible relationship with delinquency, implying that absolute loan size alone is not a strong predictor of default.</w:t>
      </w:r>
    </w:p>
    <w:p w14:paraId="03EFD000" w14:textId="77777777" w:rsidR="00265E45" w:rsidRDefault="00265E45" w:rsidP="00265E45">
      <w:pPr>
        <w:pStyle w:val="NormalWeb"/>
        <w:numPr>
          <w:ilvl w:val="0"/>
          <w:numId w:val="22"/>
        </w:numPr>
      </w:pPr>
      <w:r>
        <w:rPr>
          <w:rStyle w:val="Strong"/>
        </w:rPr>
        <w:t>Missed Payments (r = –0.025)</w:t>
      </w:r>
      <w:r>
        <w:t xml:space="preserve"> and </w:t>
      </w:r>
      <w:r>
        <w:rPr>
          <w:rStyle w:val="Strong"/>
        </w:rPr>
        <w:t>Account Tenure (r = –0.040)</w:t>
      </w:r>
      <w:r>
        <w:t xml:space="preserve"> showed weak negative correlations, indicating that some customers may miss occasional payments without becoming delinquent, and longer-tenure customers are marginally more stable.</w:t>
      </w:r>
    </w:p>
    <w:p w14:paraId="220B5550" w14:textId="77777777" w:rsidR="00265E45" w:rsidRDefault="00265E45" w:rsidP="00265E45">
      <w:pPr>
        <w:pStyle w:val="NormalWeb"/>
      </w:pPr>
      <w:r>
        <w:rPr>
          <w:rStyle w:val="Strong"/>
        </w:rPr>
        <w:t>Behavioral segmentation patterns:</w:t>
      </w:r>
    </w:p>
    <w:p w14:paraId="27D49237" w14:textId="77777777" w:rsidR="00265E45" w:rsidRDefault="00265E45" w:rsidP="00265E45">
      <w:pPr>
        <w:pStyle w:val="NormalWeb"/>
        <w:numPr>
          <w:ilvl w:val="0"/>
          <w:numId w:val="23"/>
        </w:numPr>
      </w:pPr>
      <w:r>
        <w:rPr>
          <w:rStyle w:val="Strong"/>
        </w:rPr>
        <w:t>Employment Status:</w:t>
      </w:r>
      <w:r>
        <w:t xml:space="preserve"> The highest delinquency rate was found among </w:t>
      </w:r>
      <w:r>
        <w:rPr>
          <w:rStyle w:val="Emphasis"/>
        </w:rPr>
        <w:t>Unemployed</w:t>
      </w:r>
      <w:r>
        <w:t xml:space="preserve"> customers (19.3%), followed by </w:t>
      </w:r>
      <w:r>
        <w:rPr>
          <w:rStyle w:val="Emphasis"/>
        </w:rPr>
        <w:t>Employed</w:t>
      </w:r>
      <w:r>
        <w:t xml:space="preserve"> (16.3%) and </w:t>
      </w:r>
      <w:r>
        <w:rPr>
          <w:rStyle w:val="Emphasis"/>
        </w:rPr>
        <w:t>Self-Employed</w:t>
      </w:r>
      <w:r>
        <w:t xml:space="preserve"> (16.3%). </w:t>
      </w:r>
      <w:r>
        <w:rPr>
          <w:rStyle w:val="Emphasis"/>
        </w:rPr>
        <w:t>Retired</w:t>
      </w:r>
      <w:r>
        <w:t xml:space="preserve"> customers had the lowest delinquency rate (11.6%), highlighting greater financial stability in that segment.</w:t>
      </w:r>
    </w:p>
    <w:p w14:paraId="20FA0BA5" w14:textId="77777777" w:rsidR="00265E45" w:rsidRDefault="00265E45" w:rsidP="00265E45">
      <w:pPr>
        <w:pStyle w:val="NormalWeb"/>
        <w:numPr>
          <w:ilvl w:val="0"/>
          <w:numId w:val="23"/>
        </w:numPr>
      </w:pPr>
      <w:r>
        <w:rPr>
          <w:rStyle w:val="Strong"/>
        </w:rPr>
        <w:t>Credit Card Type:</w:t>
      </w:r>
      <w:r>
        <w:t xml:space="preserve"> </w:t>
      </w:r>
      <w:r>
        <w:rPr>
          <w:rStyle w:val="Emphasis"/>
        </w:rPr>
        <w:t>Business</w:t>
      </w:r>
      <w:r>
        <w:t xml:space="preserve"> cardholders showed the highest delinquency rate (21.3%), followed by </w:t>
      </w:r>
      <w:r>
        <w:rPr>
          <w:rStyle w:val="Emphasis"/>
        </w:rPr>
        <w:t>Student</w:t>
      </w:r>
      <w:r>
        <w:t xml:space="preserve"> cards (17.9%). Premium segments such as </w:t>
      </w:r>
      <w:r>
        <w:rPr>
          <w:rStyle w:val="Emphasis"/>
        </w:rPr>
        <w:t>Gold</w:t>
      </w:r>
      <w:r>
        <w:t xml:space="preserve"> (14.5%) and </w:t>
      </w:r>
      <w:r>
        <w:rPr>
          <w:rStyle w:val="Emphasis"/>
        </w:rPr>
        <w:t>Platinum</w:t>
      </w:r>
      <w:r>
        <w:t xml:space="preserve"> (12.0%) were more creditworthy, reflecting stronger financial discipline.</w:t>
      </w:r>
    </w:p>
    <w:p w14:paraId="339D6D3E" w14:textId="77777777" w:rsidR="00265E45" w:rsidRDefault="00265E45" w:rsidP="00265E45">
      <w:pPr>
        <w:pStyle w:val="NormalWeb"/>
      </w:pPr>
      <w:r>
        <w:rPr>
          <w:rStyle w:val="Strong"/>
        </w:rPr>
        <w:t>Key risk indicators identified:</w:t>
      </w:r>
    </w:p>
    <w:p w14:paraId="3974B51F" w14:textId="77777777" w:rsidR="00265E45" w:rsidRDefault="00265E45" w:rsidP="00265E45">
      <w:pPr>
        <w:pStyle w:val="NormalWeb"/>
        <w:numPr>
          <w:ilvl w:val="0"/>
          <w:numId w:val="24"/>
        </w:numPr>
      </w:pPr>
      <w:r>
        <w:rPr>
          <w:rStyle w:val="Strong"/>
        </w:rPr>
        <w:lastRenderedPageBreak/>
        <w:t>Unemployment:</w:t>
      </w:r>
      <w:r>
        <w:t xml:space="preserve"> Strongly associated with higher delinquency probability due to income instability.</w:t>
      </w:r>
    </w:p>
    <w:p w14:paraId="4D5538AF" w14:textId="77777777" w:rsidR="00265E45" w:rsidRDefault="00265E45" w:rsidP="00265E45">
      <w:pPr>
        <w:pStyle w:val="NormalWeb"/>
        <w:numPr>
          <w:ilvl w:val="0"/>
          <w:numId w:val="24"/>
        </w:numPr>
      </w:pPr>
      <w:r>
        <w:rPr>
          <w:rStyle w:val="Strong"/>
        </w:rPr>
        <w:t>Business and Student cardholders:</w:t>
      </w:r>
      <w:r>
        <w:t xml:space="preserve"> Higher default rates, likely driven by cash flow uncertainty or limited credit experience.</w:t>
      </w:r>
    </w:p>
    <w:p w14:paraId="596C63EB" w14:textId="77777777" w:rsidR="00265E45" w:rsidRDefault="00265E45" w:rsidP="00265E45">
      <w:pPr>
        <w:pStyle w:val="NormalWeb"/>
        <w:numPr>
          <w:ilvl w:val="0"/>
          <w:numId w:val="24"/>
        </w:numPr>
      </w:pPr>
      <w:r>
        <w:rPr>
          <w:rStyle w:val="Strong"/>
        </w:rPr>
        <w:t>High Credit Utilization:</w:t>
      </w:r>
      <w:r>
        <w:t xml:space="preserve"> Mildly correlated with delinquency, suggesting that customers nearing their credit limits may face repayment pressure.</w:t>
      </w:r>
    </w:p>
    <w:p w14:paraId="2E42201D" w14:textId="77777777" w:rsidR="00265E45" w:rsidRDefault="00265E45" w:rsidP="00265E45">
      <w:pPr>
        <w:pStyle w:val="NormalWeb"/>
        <w:numPr>
          <w:ilvl w:val="0"/>
          <w:numId w:val="24"/>
        </w:numPr>
      </w:pPr>
      <w:r>
        <w:rPr>
          <w:rStyle w:val="Strong"/>
        </w:rPr>
        <w:t>Lower Account Tenure:</w:t>
      </w:r>
      <w:r>
        <w:t xml:space="preserve"> Newly opened accounts show slightly higher risk, consistent with limited repayment history.</w:t>
      </w:r>
    </w:p>
    <w:p w14:paraId="39D6C809" w14:textId="77777777" w:rsidR="00265E45" w:rsidRDefault="00265E45" w:rsidP="00265E45">
      <w:pPr>
        <w:pStyle w:val="NormalWeb"/>
      </w:pPr>
      <w:r>
        <w:rPr>
          <w:rStyle w:val="Strong"/>
        </w:rPr>
        <w:t>Unexpected findings:</w:t>
      </w:r>
    </w:p>
    <w:p w14:paraId="7FC4D064" w14:textId="77777777" w:rsidR="00265E45" w:rsidRDefault="00265E45" w:rsidP="00265E45">
      <w:pPr>
        <w:pStyle w:val="NormalWeb"/>
        <w:numPr>
          <w:ilvl w:val="0"/>
          <w:numId w:val="25"/>
        </w:numPr>
      </w:pPr>
      <w:r>
        <w:t>Higher-income customers displayed marginally higher delinquency rates, which may indicate over-leverage or lifestyle-driven borrowing patterns.</w:t>
      </w:r>
    </w:p>
    <w:p w14:paraId="3C7B8556" w14:textId="77777777" w:rsidR="00265E45" w:rsidRDefault="00265E45" w:rsidP="00265E45">
      <w:pPr>
        <w:pStyle w:val="NormalWeb"/>
        <w:numPr>
          <w:ilvl w:val="0"/>
          <w:numId w:val="25"/>
        </w:numPr>
      </w:pPr>
      <w:r>
        <w:t xml:space="preserve">The weak correlation between </w:t>
      </w:r>
      <w:r>
        <w:rPr>
          <w:rStyle w:val="HTMLCode"/>
        </w:rPr>
        <w:t>Missed_Payments</w:t>
      </w:r>
      <w:r>
        <w:t xml:space="preserve"> and </w:t>
      </w:r>
      <w:r>
        <w:rPr>
          <w:rStyle w:val="HTMLCode"/>
        </w:rPr>
        <w:t>Delinquent_Account</w:t>
      </w:r>
      <w:r>
        <w:t xml:space="preserve"> suggests that not all missed payments escalate to delinquency — implying possible recovery behavior.</w:t>
      </w:r>
    </w:p>
    <w:p w14:paraId="69B71B91" w14:textId="77777777" w:rsidR="00265E45" w:rsidRDefault="00265E45" w:rsidP="00265E45">
      <w:pPr>
        <w:pStyle w:val="NormalWeb"/>
      </w:pPr>
      <w:r>
        <w:t xml:space="preserve">In summary, while no single numeric variable strongly predicts delinquency, </w:t>
      </w:r>
      <w:r>
        <w:rPr>
          <w:rStyle w:val="Strong"/>
        </w:rPr>
        <w:t>segment-based behavioral differences</w:t>
      </w:r>
      <w:r>
        <w:t xml:space="preserve"> (e.g., employment type, card category, and utilization behavior) provide valuable signals for risk modeling and customer profiling.</w:t>
      </w:r>
    </w:p>
    <w:p w14:paraId="723692B8" w14:textId="77777777" w:rsidR="00E1233B"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4190D81E" w14:textId="77777777" w:rsidR="000A030D" w:rsidRDefault="000A030D" w:rsidP="000A030D">
      <w:pPr>
        <w:pStyle w:val="NormalWeb"/>
      </w:pPr>
      <w:r>
        <w:t>Generative AI tools were utilized throughout the exploratory data analysis (EDA) to enhance analytical efficiency, ensure methodological rigor, and support evidence-based decision-making. The AI tools assisted in identifying data quality issues, guiding imputation strategy design, and interpreting statistical results for risk assessment.</w:t>
      </w:r>
    </w:p>
    <w:p w14:paraId="6CBFC92B" w14:textId="77777777" w:rsidR="000A030D" w:rsidRDefault="000A030D" w:rsidP="000A030D">
      <w:pPr>
        <w:pStyle w:val="NormalWeb"/>
      </w:pPr>
      <w:r>
        <w:rPr>
          <w:rStyle w:val="Strong"/>
        </w:rPr>
        <w:t>Applications of AI &amp; GenAI in this analysis:</w:t>
      </w:r>
    </w:p>
    <w:p w14:paraId="14956166" w14:textId="77777777" w:rsidR="000A030D" w:rsidRDefault="000A030D" w:rsidP="000A030D">
      <w:pPr>
        <w:pStyle w:val="NormalWeb"/>
        <w:numPr>
          <w:ilvl w:val="0"/>
          <w:numId w:val="26"/>
        </w:numPr>
      </w:pPr>
      <w:r>
        <w:rPr>
          <w:rStyle w:val="Strong"/>
        </w:rPr>
        <w:t>Data Understanding &amp; Summarization:</w:t>
      </w:r>
      <w:r>
        <w:t xml:space="preserve"> ChatGPT was used to generate concise summaries of the dataset, helping identify key attributes, data types, and potential anomalies such as inconsistent employment labels and incomplete loan balances.</w:t>
      </w:r>
    </w:p>
    <w:p w14:paraId="41C63363" w14:textId="77777777" w:rsidR="000A030D" w:rsidRDefault="000A030D" w:rsidP="000A030D">
      <w:pPr>
        <w:pStyle w:val="NormalWeb"/>
        <w:numPr>
          <w:ilvl w:val="0"/>
          <w:numId w:val="26"/>
        </w:numPr>
      </w:pPr>
      <w:r>
        <w:rPr>
          <w:rStyle w:val="Strong"/>
        </w:rPr>
        <w:t>Missing Value Strategy Recommendation:</w:t>
      </w:r>
      <w:r>
        <w:t xml:space="preserve"> AI recommendations were leveraged to determine the most suitable imputation techniques. Based on the dataset’s distributional characteristics, mean imputation was applied to </w:t>
      </w:r>
      <w:r>
        <w:rPr>
          <w:rStyle w:val="HTMLCode"/>
        </w:rPr>
        <w:t>Income</w:t>
      </w:r>
      <w:r>
        <w:t xml:space="preserve">, while an AI-assisted </w:t>
      </w:r>
      <w:r>
        <w:rPr>
          <w:rStyle w:val="Strong"/>
        </w:rPr>
        <w:t>synthetic data generation</w:t>
      </w:r>
      <w:r>
        <w:t xml:space="preserve"> method was designed for </w:t>
      </w:r>
      <w:r>
        <w:rPr>
          <w:rStyle w:val="HTMLCode"/>
        </w:rPr>
        <w:t>Loan_Balance</w:t>
      </w:r>
      <w:r>
        <w:t xml:space="preserve"> using segment-based normal sampling.</w:t>
      </w:r>
    </w:p>
    <w:p w14:paraId="6BAE32AE" w14:textId="77777777" w:rsidR="000A030D" w:rsidRDefault="000A030D" w:rsidP="000A030D">
      <w:pPr>
        <w:pStyle w:val="NormalWeb"/>
        <w:numPr>
          <w:ilvl w:val="0"/>
          <w:numId w:val="26"/>
        </w:numPr>
      </w:pPr>
      <w:r>
        <w:rPr>
          <w:rStyle w:val="Strong"/>
        </w:rPr>
        <w:t>Data Validation &amp; Quality Checks:</w:t>
      </w:r>
      <w:r>
        <w:t xml:space="preserve"> AI support was used to confirm that imputations maintained realistic financial ranges and to ensure no outliers or statistical distortions were introduced during cleaning.</w:t>
      </w:r>
    </w:p>
    <w:p w14:paraId="14DB35A0" w14:textId="77777777" w:rsidR="000A030D" w:rsidRDefault="000A030D" w:rsidP="000A030D">
      <w:pPr>
        <w:pStyle w:val="NormalWeb"/>
        <w:numPr>
          <w:ilvl w:val="0"/>
          <w:numId w:val="26"/>
        </w:numPr>
      </w:pPr>
      <w:r>
        <w:rPr>
          <w:rStyle w:val="Strong"/>
        </w:rPr>
        <w:t>Insight Generation:</w:t>
      </w:r>
      <w:r>
        <w:t xml:space="preserve"> Generative AI was used to help interpret correlation patterns, summarize risk indicators, and structure findings into a professional analytical narrative consistent with financial reporting standards.</w:t>
      </w:r>
    </w:p>
    <w:p w14:paraId="38A4EAB5" w14:textId="77777777" w:rsidR="000A030D" w:rsidRDefault="000A030D" w:rsidP="000A030D">
      <w:pPr>
        <w:pStyle w:val="NormalWeb"/>
      </w:pPr>
      <w:r>
        <w:rPr>
          <w:rStyle w:val="Strong"/>
        </w:rPr>
        <w:lastRenderedPageBreak/>
        <w:t>Example AI prompts used during analysis:</w:t>
      </w:r>
    </w:p>
    <w:p w14:paraId="29CCE258" w14:textId="77777777" w:rsidR="000A030D" w:rsidRDefault="000A030D" w:rsidP="000A030D">
      <w:pPr>
        <w:pStyle w:val="NormalWeb"/>
        <w:numPr>
          <w:ilvl w:val="0"/>
          <w:numId w:val="27"/>
        </w:numPr>
      </w:pPr>
      <w:r>
        <w:rPr>
          <w:rStyle w:val="Emphasis"/>
        </w:rPr>
        <w:t>“Suggest an appropriate imputation method for financial data with no outliers but missing values.”</w:t>
      </w:r>
    </w:p>
    <w:p w14:paraId="34141379" w14:textId="77777777" w:rsidR="000A030D" w:rsidRDefault="000A030D" w:rsidP="000A030D">
      <w:pPr>
        <w:pStyle w:val="NormalWeb"/>
        <w:numPr>
          <w:ilvl w:val="0"/>
          <w:numId w:val="27"/>
        </w:numPr>
      </w:pPr>
      <w:r>
        <w:rPr>
          <w:rStyle w:val="Emphasis"/>
        </w:rPr>
        <w:t>“Explain how to generate realistic synthetic data based on group-level mean and standard deviation.”</w:t>
      </w:r>
    </w:p>
    <w:p w14:paraId="013BEA11" w14:textId="77777777" w:rsidR="000A030D" w:rsidRDefault="000A030D" w:rsidP="000A030D">
      <w:pPr>
        <w:pStyle w:val="NormalWeb"/>
        <w:numPr>
          <w:ilvl w:val="0"/>
          <w:numId w:val="27"/>
        </w:numPr>
      </w:pPr>
      <w:r>
        <w:rPr>
          <w:rStyle w:val="Emphasis"/>
        </w:rPr>
        <w:t>“Interpret correlation results and identify behavioral risk patterns in credit datasets.”</w:t>
      </w:r>
    </w:p>
    <w:p w14:paraId="728F513C" w14:textId="77777777" w:rsidR="000A030D" w:rsidRDefault="000A030D" w:rsidP="000A030D">
      <w:pPr>
        <w:pStyle w:val="NormalWeb"/>
        <w:numPr>
          <w:ilvl w:val="0"/>
          <w:numId w:val="27"/>
        </w:numPr>
      </w:pPr>
      <w:r>
        <w:rPr>
          <w:rStyle w:val="Emphasis"/>
        </w:rPr>
        <w:t>“Draft a professional summary of EDA findings aligned with credit-risk modeling standards.”</w:t>
      </w:r>
    </w:p>
    <w:p w14:paraId="7F2C5A70" w14:textId="77777777" w:rsidR="000A030D" w:rsidRDefault="000A030D" w:rsidP="000A030D">
      <w:pPr>
        <w:pStyle w:val="NormalWeb"/>
      </w:pPr>
      <w:r>
        <w:rPr>
          <w:rStyle w:val="Strong"/>
        </w:rPr>
        <w:t>Tools Used:</w:t>
      </w:r>
    </w:p>
    <w:p w14:paraId="639678CA" w14:textId="77777777" w:rsidR="000A030D" w:rsidRDefault="000A030D" w:rsidP="000A030D">
      <w:pPr>
        <w:pStyle w:val="NormalWeb"/>
        <w:numPr>
          <w:ilvl w:val="0"/>
          <w:numId w:val="28"/>
        </w:numPr>
      </w:pPr>
      <w:r>
        <w:rPr>
          <w:rStyle w:val="Emphasis"/>
        </w:rPr>
        <w:t>ChatGPT (OpenAI GPT-5)</w:t>
      </w:r>
      <w:r>
        <w:t xml:space="preserve"> for natural language reasoning, prompt engineering, and documentation drafting.</w:t>
      </w:r>
    </w:p>
    <w:p w14:paraId="1EA4D233" w14:textId="77777777" w:rsidR="000A030D" w:rsidRDefault="000A030D" w:rsidP="000A030D">
      <w:pPr>
        <w:pStyle w:val="NormalWeb"/>
        <w:numPr>
          <w:ilvl w:val="0"/>
          <w:numId w:val="28"/>
        </w:numPr>
      </w:pPr>
      <w:r>
        <w:rPr>
          <w:rStyle w:val="Emphasis"/>
        </w:rPr>
        <w:t>Python (Pandas, NumPy, Matplotlib, Seaborn)</w:t>
      </w:r>
      <w:r>
        <w:t xml:space="preserve"> for data processing, visualization, and statistical computation.</w:t>
      </w:r>
    </w:p>
    <w:p w14:paraId="3420A8D3" w14:textId="77777777" w:rsidR="000A030D" w:rsidRDefault="000A030D" w:rsidP="000A030D">
      <w:pPr>
        <w:pStyle w:val="NormalWeb"/>
      </w:pPr>
      <w:r>
        <w:t xml:space="preserve">Through AI-assisted guidance and human validation, the EDA was completed efficiently, with consistent alignment to </w:t>
      </w:r>
      <w:r>
        <w:rPr>
          <w:rStyle w:val="Strong"/>
        </w:rPr>
        <w:t>Basel II/III data-quality standards</w:t>
      </w:r>
      <w:r>
        <w:t xml:space="preserve"> and </w:t>
      </w:r>
      <w:r>
        <w:rPr>
          <w:rStyle w:val="Strong"/>
        </w:rPr>
        <w:t>credit-risk analytics best practices</w:t>
      </w:r>
      <w:r>
        <w:t>. The combination of AI insight and statistical validation ensured that the dataset is accurate, interpretable, and ready for predictive modeling.</w:t>
      </w:r>
    </w:p>
    <w:p w14:paraId="1065B625" w14:textId="77777777" w:rsidR="00E1233B"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34F37D61" w14:textId="77777777" w:rsidR="003B354E" w:rsidRPr="003B354E" w:rsidRDefault="003B354E" w:rsidP="003B354E">
      <w:pPr>
        <w:rPr>
          <w:rFonts w:ascii="Arial" w:eastAsia="Arial" w:hAnsi="Arial" w:cs="Arial"/>
        </w:rPr>
      </w:pPr>
      <w:r w:rsidRPr="003B354E">
        <w:rPr>
          <w:rFonts w:ascii="Arial" w:eastAsia="Arial" w:hAnsi="Arial" w:cs="Arial"/>
        </w:rPr>
        <w:t>The exploratory data analysis (EDA) of Geldium’s dataset successfully established a clean, consistent, and analytically robust foundation for delinquency risk modeling. The dataset was validated for completeness, accuracy, and consistency, with targeted treatments applied to address minor data quality issues.</w:t>
      </w:r>
    </w:p>
    <w:p w14:paraId="7C1DC063" w14:textId="77777777" w:rsidR="003B354E" w:rsidRPr="003B354E" w:rsidRDefault="003B354E" w:rsidP="003B354E">
      <w:pPr>
        <w:rPr>
          <w:rFonts w:ascii="Arial" w:eastAsia="Arial" w:hAnsi="Arial" w:cs="Arial"/>
        </w:rPr>
      </w:pPr>
      <w:r w:rsidRPr="003B354E">
        <w:rPr>
          <w:rFonts w:ascii="Arial" w:eastAsia="Arial" w:hAnsi="Arial" w:cs="Arial"/>
          <w:b/>
          <w:bCs/>
        </w:rPr>
        <w:t>Key conclusions:</w:t>
      </w:r>
    </w:p>
    <w:p w14:paraId="1C6A811D" w14:textId="77777777" w:rsidR="003B354E" w:rsidRPr="003B354E" w:rsidRDefault="003B354E" w:rsidP="003B354E">
      <w:pPr>
        <w:numPr>
          <w:ilvl w:val="0"/>
          <w:numId w:val="29"/>
        </w:numPr>
        <w:rPr>
          <w:rFonts w:ascii="Arial" w:eastAsia="Arial" w:hAnsi="Arial" w:cs="Arial"/>
        </w:rPr>
      </w:pPr>
      <w:r w:rsidRPr="003B354E">
        <w:rPr>
          <w:rFonts w:ascii="Arial" w:eastAsia="Arial" w:hAnsi="Arial" w:cs="Arial"/>
        </w:rPr>
        <w:t>The dataset comprises 500 customer records across 19 financial, demographic, and behavioral variables — now fully complete after missing value treatments.</w:t>
      </w:r>
    </w:p>
    <w:p w14:paraId="3CE805C9" w14:textId="77777777" w:rsidR="003B354E" w:rsidRPr="003B354E" w:rsidRDefault="003B354E" w:rsidP="003B354E">
      <w:pPr>
        <w:numPr>
          <w:ilvl w:val="0"/>
          <w:numId w:val="29"/>
        </w:numPr>
        <w:rPr>
          <w:rFonts w:ascii="Arial" w:eastAsia="Arial" w:hAnsi="Arial" w:cs="Arial"/>
        </w:rPr>
      </w:pPr>
      <w:r w:rsidRPr="003B354E">
        <w:rPr>
          <w:rFonts w:ascii="Arial" w:eastAsia="Arial" w:hAnsi="Arial" w:cs="Arial"/>
        </w:rPr>
        <w:t xml:space="preserve">Missing values were effectively managed using </w:t>
      </w:r>
      <w:r w:rsidRPr="003B354E">
        <w:rPr>
          <w:rFonts w:ascii="Arial" w:eastAsia="Arial" w:hAnsi="Arial" w:cs="Arial"/>
          <w:b/>
          <w:bCs/>
        </w:rPr>
        <w:t>mean imputation for Income</w:t>
      </w:r>
      <w:r w:rsidRPr="003B354E">
        <w:rPr>
          <w:rFonts w:ascii="Arial" w:eastAsia="Arial" w:hAnsi="Arial" w:cs="Arial"/>
        </w:rPr>
        <w:t xml:space="preserve"> and </w:t>
      </w:r>
      <w:r w:rsidRPr="003B354E">
        <w:rPr>
          <w:rFonts w:ascii="Arial" w:eastAsia="Arial" w:hAnsi="Arial" w:cs="Arial"/>
          <w:b/>
          <w:bCs/>
        </w:rPr>
        <w:t>AI-assisted synthetic data generation for Loan_Balance</w:t>
      </w:r>
      <w:r w:rsidRPr="003B354E">
        <w:rPr>
          <w:rFonts w:ascii="Arial" w:eastAsia="Arial" w:hAnsi="Arial" w:cs="Arial"/>
        </w:rPr>
        <w:t>, while records with missing Credit_Score were removed due to their low occurrence.</w:t>
      </w:r>
    </w:p>
    <w:p w14:paraId="2C32B81A" w14:textId="77777777" w:rsidR="003B354E" w:rsidRPr="003B354E" w:rsidRDefault="003B354E" w:rsidP="003B354E">
      <w:pPr>
        <w:numPr>
          <w:ilvl w:val="0"/>
          <w:numId w:val="29"/>
        </w:numPr>
        <w:rPr>
          <w:rFonts w:ascii="Arial" w:eastAsia="Arial" w:hAnsi="Arial" w:cs="Arial"/>
        </w:rPr>
      </w:pPr>
      <w:r w:rsidRPr="003B354E">
        <w:rPr>
          <w:rFonts w:ascii="Arial" w:eastAsia="Arial" w:hAnsi="Arial" w:cs="Arial"/>
        </w:rPr>
        <w:t>Outlier analysis confirmed no significant anomalies, supporting the reliability of summary statistics.</w:t>
      </w:r>
    </w:p>
    <w:p w14:paraId="30CD8D3F" w14:textId="77777777" w:rsidR="003B354E" w:rsidRPr="003B354E" w:rsidRDefault="003B354E" w:rsidP="003B354E">
      <w:pPr>
        <w:numPr>
          <w:ilvl w:val="0"/>
          <w:numId w:val="29"/>
        </w:numPr>
        <w:rPr>
          <w:rFonts w:ascii="Arial" w:eastAsia="Arial" w:hAnsi="Arial" w:cs="Arial"/>
        </w:rPr>
      </w:pPr>
      <w:r w:rsidRPr="003B354E">
        <w:rPr>
          <w:rFonts w:ascii="Arial" w:eastAsia="Arial" w:hAnsi="Arial" w:cs="Arial"/>
        </w:rPr>
        <w:t xml:space="preserve">Correlation and segmentation analysis revealed </w:t>
      </w:r>
      <w:r w:rsidRPr="003B354E">
        <w:rPr>
          <w:rFonts w:ascii="Arial" w:eastAsia="Arial" w:hAnsi="Arial" w:cs="Arial"/>
          <w:b/>
          <w:bCs/>
        </w:rPr>
        <w:t>behavioral patterns</w:t>
      </w:r>
      <w:r w:rsidRPr="003B354E">
        <w:rPr>
          <w:rFonts w:ascii="Arial" w:eastAsia="Arial" w:hAnsi="Arial" w:cs="Arial"/>
        </w:rPr>
        <w:t xml:space="preserve"> — such as higher delinquency among </w:t>
      </w:r>
      <w:r w:rsidRPr="003B354E">
        <w:rPr>
          <w:rFonts w:ascii="Arial" w:eastAsia="Arial" w:hAnsi="Arial" w:cs="Arial"/>
          <w:i/>
          <w:iCs/>
        </w:rPr>
        <w:t>Unemployed</w:t>
      </w:r>
      <w:r w:rsidRPr="003B354E">
        <w:rPr>
          <w:rFonts w:ascii="Arial" w:eastAsia="Arial" w:hAnsi="Arial" w:cs="Arial"/>
        </w:rPr>
        <w:t xml:space="preserve"> customers (19.3%) and </w:t>
      </w:r>
      <w:r w:rsidRPr="003B354E">
        <w:rPr>
          <w:rFonts w:ascii="Arial" w:eastAsia="Arial" w:hAnsi="Arial" w:cs="Arial"/>
          <w:i/>
          <w:iCs/>
        </w:rPr>
        <w:t>Business</w:t>
      </w:r>
      <w:r w:rsidRPr="003B354E">
        <w:rPr>
          <w:rFonts w:ascii="Arial" w:eastAsia="Arial" w:hAnsi="Arial" w:cs="Arial"/>
        </w:rPr>
        <w:t xml:space="preserve"> cardholders (21.3%) — indicating that </w:t>
      </w:r>
      <w:r w:rsidRPr="003B354E">
        <w:rPr>
          <w:rFonts w:ascii="Arial" w:eastAsia="Arial" w:hAnsi="Arial" w:cs="Arial"/>
          <w:b/>
          <w:bCs/>
        </w:rPr>
        <w:t>repayment behavior and occupation-related income stability</w:t>
      </w:r>
      <w:r w:rsidRPr="003B354E">
        <w:rPr>
          <w:rFonts w:ascii="Arial" w:eastAsia="Arial" w:hAnsi="Arial" w:cs="Arial"/>
        </w:rPr>
        <w:t xml:space="preserve"> are key drivers of delinquency.</w:t>
      </w:r>
    </w:p>
    <w:p w14:paraId="58B06E85" w14:textId="77777777" w:rsidR="003B354E" w:rsidRPr="003B354E" w:rsidRDefault="003B354E" w:rsidP="003B354E">
      <w:pPr>
        <w:numPr>
          <w:ilvl w:val="0"/>
          <w:numId w:val="29"/>
        </w:numPr>
        <w:rPr>
          <w:rFonts w:ascii="Arial" w:eastAsia="Arial" w:hAnsi="Arial" w:cs="Arial"/>
        </w:rPr>
      </w:pPr>
      <w:r w:rsidRPr="003B354E">
        <w:rPr>
          <w:rFonts w:ascii="Arial" w:eastAsia="Arial" w:hAnsi="Arial" w:cs="Arial"/>
        </w:rPr>
        <w:lastRenderedPageBreak/>
        <w:t xml:space="preserve">Generative AI tools (ChatGPT) played a vital role in summarizing patterns, optimizing data treatment strategies, and producing actionable analytical insights in compliance with </w:t>
      </w:r>
      <w:r w:rsidRPr="003B354E">
        <w:rPr>
          <w:rFonts w:ascii="Arial" w:eastAsia="Arial" w:hAnsi="Arial" w:cs="Arial"/>
          <w:b/>
          <w:bCs/>
        </w:rPr>
        <w:t>Basel II/III data-quality standards</w:t>
      </w:r>
      <w:r w:rsidRPr="003B354E">
        <w:rPr>
          <w:rFonts w:ascii="Arial" w:eastAsia="Arial" w:hAnsi="Arial" w:cs="Arial"/>
        </w:rPr>
        <w:t>.</w:t>
      </w:r>
    </w:p>
    <w:p w14:paraId="038CCCD8" w14:textId="77777777" w:rsidR="003B354E" w:rsidRPr="003B354E" w:rsidRDefault="003B354E" w:rsidP="003B354E">
      <w:pPr>
        <w:rPr>
          <w:rFonts w:ascii="Arial" w:eastAsia="Arial" w:hAnsi="Arial" w:cs="Arial"/>
        </w:rPr>
      </w:pPr>
      <w:r w:rsidRPr="003B354E">
        <w:rPr>
          <w:rFonts w:ascii="Arial" w:eastAsia="Arial" w:hAnsi="Arial" w:cs="Arial"/>
          <w:b/>
          <w:bCs/>
        </w:rPr>
        <w:t>Recommended next steps:</w:t>
      </w:r>
    </w:p>
    <w:p w14:paraId="4B9B3CDB" w14:textId="77777777" w:rsidR="003B354E" w:rsidRPr="003B354E" w:rsidRDefault="003B354E" w:rsidP="003B354E">
      <w:pPr>
        <w:numPr>
          <w:ilvl w:val="0"/>
          <w:numId w:val="30"/>
        </w:numPr>
        <w:rPr>
          <w:rFonts w:ascii="Arial" w:eastAsia="Arial" w:hAnsi="Arial" w:cs="Arial"/>
        </w:rPr>
      </w:pPr>
      <w:r w:rsidRPr="003B354E">
        <w:rPr>
          <w:rFonts w:ascii="Arial" w:eastAsia="Arial" w:hAnsi="Arial" w:cs="Arial"/>
          <w:b/>
          <w:bCs/>
        </w:rPr>
        <w:t>Feature Engineering:</w:t>
      </w:r>
    </w:p>
    <w:p w14:paraId="1D7A74DA"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Derive behavioral features such as “average on-time payment ratio” or “six-month delinquency trend” to enhance predictive power.</w:t>
      </w:r>
    </w:p>
    <w:p w14:paraId="7DE19A1F"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Create binary risk flags for customers with high credit utilization or short account tenure.</w:t>
      </w:r>
    </w:p>
    <w:p w14:paraId="52E289AD" w14:textId="77777777" w:rsidR="003B354E" w:rsidRPr="003B354E" w:rsidRDefault="003B354E" w:rsidP="003B354E">
      <w:pPr>
        <w:numPr>
          <w:ilvl w:val="0"/>
          <w:numId w:val="30"/>
        </w:numPr>
        <w:rPr>
          <w:rFonts w:ascii="Arial" w:eastAsia="Arial" w:hAnsi="Arial" w:cs="Arial"/>
        </w:rPr>
      </w:pPr>
      <w:r w:rsidRPr="003B354E">
        <w:rPr>
          <w:rFonts w:ascii="Arial" w:eastAsia="Arial" w:hAnsi="Arial" w:cs="Arial"/>
          <w:b/>
          <w:bCs/>
        </w:rPr>
        <w:t>Data Transformation:</w:t>
      </w:r>
    </w:p>
    <w:p w14:paraId="57C899C6"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Scale numerical features (e.g., Income, Debt_to_Income_Ratio) for model compatibility.</w:t>
      </w:r>
    </w:p>
    <w:p w14:paraId="45C0184C"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Encode categorical variables (Employment_Status, Credit_Card_Type, Location) using one-hot or target encoding.</w:t>
      </w:r>
    </w:p>
    <w:p w14:paraId="7570ED81" w14:textId="77777777" w:rsidR="003B354E" w:rsidRPr="003B354E" w:rsidRDefault="003B354E" w:rsidP="003B354E">
      <w:pPr>
        <w:numPr>
          <w:ilvl w:val="0"/>
          <w:numId w:val="30"/>
        </w:numPr>
        <w:rPr>
          <w:rFonts w:ascii="Arial" w:eastAsia="Arial" w:hAnsi="Arial" w:cs="Arial"/>
        </w:rPr>
      </w:pPr>
      <w:r w:rsidRPr="003B354E">
        <w:rPr>
          <w:rFonts w:ascii="Arial" w:eastAsia="Arial" w:hAnsi="Arial" w:cs="Arial"/>
          <w:b/>
          <w:bCs/>
        </w:rPr>
        <w:t>Model Development:</w:t>
      </w:r>
    </w:p>
    <w:p w14:paraId="08545C29"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 xml:space="preserve">Build and evaluate baseline classification models such as </w:t>
      </w:r>
      <w:r w:rsidRPr="003B354E">
        <w:rPr>
          <w:rFonts w:ascii="Arial" w:eastAsia="Arial" w:hAnsi="Arial" w:cs="Arial"/>
          <w:b/>
          <w:bCs/>
        </w:rPr>
        <w:t>Logistic Regression</w:t>
      </w:r>
      <w:r w:rsidRPr="003B354E">
        <w:rPr>
          <w:rFonts w:ascii="Arial" w:eastAsia="Arial" w:hAnsi="Arial" w:cs="Arial"/>
        </w:rPr>
        <w:t xml:space="preserve">, </w:t>
      </w:r>
      <w:r w:rsidRPr="003B354E">
        <w:rPr>
          <w:rFonts w:ascii="Arial" w:eastAsia="Arial" w:hAnsi="Arial" w:cs="Arial"/>
          <w:b/>
          <w:bCs/>
        </w:rPr>
        <w:t>Random Forest</w:t>
      </w:r>
      <w:r w:rsidRPr="003B354E">
        <w:rPr>
          <w:rFonts w:ascii="Arial" w:eastAsia="Arial" w:hAnsi="Arial" w:cs="Arial"/>
        </w:rPr>
        <w:t xml:space="preserve">, and </w:t>
      </w:r>
      <w:r w:rsidRPr="003B354E">
        <w:rPr>
          <w:rFonts w:ascii="Arial" w:eastAsia="Arial" w:hAnsi="Arial" w:cs="Arial"/>
          <w:b/>
          <w:bCs/>
        </w:rPr>
        <w:t>XGBoost</w:t>
      </w:r>
      <w:r w:rsidRPr="003B354E">
        <w:rPr>
          <w:rFonts w:ascii="Arial" w:eastAsia="Arial" w:hAnsi="Arial" w:cs="Arial"/>
        </w:rPr>
        <w:t xml:space="preserve"> to predict delinquency probability.</w:t>
      </w:r>
    </w:p>
    <w:p w14:paraId="276052C2"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 xml:space="preserve">Use metrics like </w:t>
      </w:r>
      <w:r w:rsidRPr="003B354E">
        <w:rPr>
          <w:rFonts w:ascii="Arial" w:eastAsia="Arial" w:hAnsi="Arial" w:cs="Arial"/>
          <w:b/>
          <w:bCs/>
        </w:rPr>
        <w:t>AUC-ROC</w:t>
      </w:r>
      <w:r w:rsidRPr="003B354E">
        <w:rPr>
          <w:rFonts w:ascii="Arial" w:eastAsia="Arial" w:hAnsi="Arial" w:cs="Arial"/>
        </w:rPr>
        <w:t xml:space="preserve">, </w:t>
      </w:r>
      <w:r w:rsidRPr="003B354E">
        <w:rPr>
          <w:rFonts w:ascii="Arial" w:eastAsia="Arial" w:hAnsi="Arial" w:cs="Arial"/>
          <w:b/>
          <w:bCs/>
        </w:rPr>
        <w:t>Precision-Recall</w:t>
      </w:r>
      <w:r w:rsidRPr="003B354E">
        <w:rPr>
          <w:rFonts w:ascii="Arial" w:eastAsia="Arial" w:hAnsi="Arial" w:cs="Arial"/>
        </w:rPr>
        <w:t xml:space="preserve">, and </w:t>
      </w:r>
      <w:r w:rsidRPr="003B354E">
        <w:rPr>
          <w:rFonts w:ascii="Arial" w:eastAsia="Arial" w:hAnsi="Arial" w:cs="Arial"/>
          <w:b/>
          <w:bCs/>
        </w:rPr>
        <w:t>F1-Score</w:t>
      </w:r>
      <w:r w:rsidRPr="003B354E">
        <w:rPr>
          <w:rFonts w:ascii="Arial" w:eastAsia="Arial" w:hAnsi="Arial" w:cs="Arial"/>
        </w:rPr>
        <w:t xml:space="preserve"> for robust performance comparison.</w:t>
      </w:r>
    </w:p>
    <w:p w14:paraId="3553A95B" w14:textId="77777777" w:rsidR="003B354E" w:rsidRPr="003B354E" w:rsidRDefault="003B354E" w:rsidP="003B354E">
      <w:pPr>
        <w:numPr>
          <w:ilvl w:val="0"/>
          <w:numId w:val="30"/>
        </w:numPr>
        <w:rPr>
          <w:rFonts w:ascii="Arial" w:eastAsia="Arial" w:hAnsi="Arial" w:cs="Arial"/>
        </w:rPr>
      </w:pPr>
      <w:r w:rsidRPr="003B354E">
        <w:rPr>
          <w:rFonts w:ascii="Arial" w:eastAsia="Arial" w:hAnsi="Arial" w:cs="Arial"/>
          <w:b/>
          <w:bCs/>
        </w:rPr>
        <w:t>Model Interpretation &amp; Business Integration:</w:t>
      </w:r>
    </w:p>
    <w:p w14:paraId="6594C978"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Identify the top predictors of delinquency for actionable insights.</w:t>
      </w:r>
    </w:p>
    <w:p w14:paraId="1801F064" w14:textId="77777777" w:rsidR="003B354E" w:rsidRPr="003B354E" w:rsidRDefault="003B354E" w:rsidP="003B354E">
      <w:pPr>
        <w:numPr>
          <w:ilvl w:val="1"/>
          <w:numId w:val="30"/>
        </w:numPr>
        <w:rPr>
          <w:rFonts w:ascii="Arial" w:eastAsia="Arial" w:hAnsi="Arial" w:cs="Arial"/>
        </w:rPr>
      </w:pPr>
      <w:r w:rsidRPr="003B354E">
        <w:rPr>
          <w:rFonts w:ascii="Arial" w:eastAsia="Arial" w:hAnsi="Arial" w:cs="Arial"/>
        </w:rPr>
        <w:t xml:space="preserve">Deploy predictive outputs to support </w:t>
      </w:r>
      <w:r w:rsidRPr="003B354E">
        <w:rPr>
          <w:rFonts w:ascii="Arial" w:eastAsia="Arial" w:hAnsi="Arial" w:cs="Arial"/>
          <w:b/>
          <w:bCs/>
        </w:rPr>
        <w:t>early risk detection</w:t>
      </w:r>
      <w:r w:rsidRPr="003B354E">
        <w:rPr>
          <w:rFonts w:ascii="Arial" w:eastAsia="Arial" w:hAnsi="Arial" w:cs="Arial"/>
        </w:rPr>
        <w:t xml:space="preserve">, </w:t>
      </w:r>
      <w:r w:rsidRPr="003B354E">
        <w:rPr>
          <w:rFonts w:ascii="Arial" w:eastAsia="Arial" w:hAnsi="Arial" w:cs="Arial"/>
          <w:b/>
          <w:bCs/>
        </w:rPr>
        <w:t>customer retention</w:t>
      </w:r>
      <w:r w:rsidRPr="003B354E">
        <w:rPr>
          <w:rFonts w:ascii="Arial" w:eastAsia="Arial" w:hAnsi="Arial" w:cs="Arial"/>
        </w:rPr>
        <w:t xml:space="preserve">, and </w:t>
      </w:r>
      <w:r w:rsidRPr="003B354E">
        <w:rPr>
          <w:rFonts w:ascii="Arial" w:eastAsia="Arial" w:hAnsi="Arial" w:cs="Arial"/>
          <w:b/>
          <w:bCs/>
        </w:rPr>
        <w:t>intervention strategies</w:t>
      </w:r>
      <w:r w:rsidRPr="003B354E">
        <w:rPr>
          <w:rFonts w:ascii="Arial" w:eastAsia="Arial" w:hAnsi="Arial" w:cs="Arial"/>
        </w:rPr>
        <w:t>.</w:t>
      </w:r>
    </w:p>
    <w:p w14:paraId="473B3221" w14:textId="0F891E18" w:rsidR="3378EA2B" w:rsidRDefault="003B354E" w:rsidP="3378EA2B">
      <w:pPr>
        <w:rPr>
          <w:rFonts w:ascii="Arial" w:eastAsia="Arial" w:hAnsi="Arial" w:cs="Arial"/>
        </w:rPr>
      </w:pPr>
      <w:r w:rsidRPr="003B354E">
        <w:rPr>
          <w:rFonts w:ascii="Arial" w:eastAsia="Arial" w:hAnsi="Arial" w:cs="Arial"/>
        </w:rPr>
        <w:t xml:space="preserve">In conclusion, Geldium’s dataset is now </w:t>
      </w:r>
      <w:r w:rsidRPr="003B354E">
        <w:rPr>
          <w:rFonts w:ascii="Arial" w:eastAsia="Arial" w:hAnsi="Arial" w:cs="Arial"/>
          <w:b/>
          <w:bCs/>
        </w:rPr>
        <w:t>fully prepared for predictive modeling</w:t>
      </w:r>
      <w:r w:rsidRPr="003B354E">
        <w:rPr>
          <w:rFonts w:ascii="Arial" w:eastAsia="Arial" w:hAnsi="Arial" w:cs="Arial"/>
        </w:rPr>
        <w:t xml:space="preserve">. The EDA phase provided deep insights into customer risk behavior, verified data readiness, and ensured that subsequent modeling efforts will be both statistically valid and business-relevant. The next phase will focus on building a data-driven </w:t>
      </w:r>
      <w:r w:rsidRPr="003B354E">
        <w:rPr>
          <w:rFonts w:ascii="Arial" w:eastAsia="Arial" w:hAnsi="Arial" w:cs="Arial"/>
          <w:b/>
          <w:bCs/>
        </w:rPr>
        <w:t>delinquency risk scoring model</w:t>
      </w:r>
      <w:r w:rsidRPr="003B354E">
        <w:rPr>
          <w:rFonts w:ascii="Arial" w:eastAsia="Arial" w:hAnsi="Arial" w:cs="Arial"/>
        </w:rPr>
        <w:t xml:space="preserve"> to guide proactive financial decisions and improve portfolio stability.</w:t>
      </w: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4A6B"/>
    <w:multiLevelType w:val="multilevel"/>
    <w:tmpl w:val="68F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D53F9"/>
    <w:multiLevelType w:val="multilevel"/>
    <w:tmpl w:val="7E5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733F9"/>
    <w:multiLevelType w:val="multilevel"/>
    <w:tmpl w:val="0F4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5048A"/>
    <w:multiLevelType w:val="multilevel"/>
    <w:tmpl w:val="B3F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478AE"/>
    <w:multiLevelType w:val="multilevel"/>
    <w:tmpl w:val="F1B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238D5"/>
    <w:multiLevelType w:val="multilevel"/>
    <w:tmpl w:val="E7F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47AA9"/>
    <w:multiLevelType w:val="multilevel"/>
    <w:tmpl w:val="12A4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F474E"/>
    <w:multiLevelType w:val="multilevel"/>
    <w:tmpl w:val="846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E17B2"/>
    <w:multiLevelType w:val="multilevel"/>
    <w:tmpl w:val="718A2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F15692"/>
    <w:multiLevelType w:val="multilevel"/>
    <w:tmpl w:val="D218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06583"/>
    <w:multiLevelType w:val="multilevel"/>
    <w:tmpl w:val="34D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B0D46"/>
    <w:multiLevelType w:val="multilevel"/>
    <w:tmpl w:val="D4567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745DDA"/>
    <w:multiLevelType w:val="multilevel"/>
    <w:tmpl w:val="9B5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95C47"/>
    <w:multiLevelType w:val="multilevel"/>
    <w:tmpl w:val="BD4A5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253EA"/>
    <w:multiLevelType w:val="multilevel"/>
    <w:tmpl w:val="1B06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44C85"/>
    <w:multiLevelType w:val="multilevel"/>
    <w:tmpl w:val="8E8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A7701"/>
    <w:multiLevelType w:val="multilevel"/>
    <w:tmpl w:val="5466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B3C28"/>
    <w:multiLevelType w:val="multilevel"/>
    <w:tmpl w:val="09A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4586A"/>
    <w:multiLevelType w:val="multilevel"/>
    <w:tmpl w:val="5A9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A3E8C"/>
    <w:multiLevelType w:val="multilevel"/>
    <w:tmpl w:val="A93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A363B"/>
    <w:multiLevelType w:val="multilevel"/>
    <w:tmpl w:val="429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60560">
    <w:abstractNumId w:val="8"/>
  </w:num>
  <w:num w:numId="2" w16cid:durableId="1849323010">
    <w:abstractNumId w:val="6"/>
  </w:num>
  <w:num w:numId="3" w16cid:durableId="2089040118">
    <w:abstractNumId w:val="5"/>
  </w:num>
  <w:num w:numId="4" w16cid:durableId="107353961">
    <w:abstractNumId w:val="4"/>
  </w:num>
  <w:num w:numId="5" w16cid:durableId="1866287465">
    <w:abstractNumId w:val="7"/>
  </w:num>
  <w:num w:numId="6" w16cid:durableId="257446728">
    <w:abstractNumId w:val="3"/>
  </w:num>
  <w:num w:numId="7" w16cid:durableId="443695450">
    <w:abstractNumId w:val="2"/>
  </w:num>
  <w:num w:numId="8" w16cid:durableId="2072843471">
    <w:abstractNumId w:val="1"/>
  </w:num>
  <w:num w:numId="9" w16cid:durableId="1703364517">
    <w:abstractNumId w:val="0"/>
  </w:num>
  <w:num w:numId="10" w16cid:durableId="1507289321">
    <w:abstractNumId w:val="25"/>
  </w:num>
  <w:num w:numId="11" w16cid:durableId="374306450">
    <w:abstractNumId w:val="29"/>
  </w:num>
  <w:num w:numId="12" w16cid:durableId="197395022">
    <w:abstractNumId w:val="16"/>
  </w:num>
  <w:num w:numId="13" w16cid:durableId="1515877541">
    <w:abstractNumId w:val="26"/>
  </w:num>
  <w:num w:numId="14" w16cid:durableId="1847670068">
    <w:abstractNumId w:val="11"/>
  </w:num>
  <w:num w:numId="15" w16cid:durableId="1150752066">
    <w:abstractNumId w:val="21"/>
  </w:num>
  <w:num w:numId="16" w16cid:durableId="2111506275">
    <w:abstractNumId w:val="20"/>
  </w:num>
  <w:num w:numId="17" w16cid:durableId="1929579684">
    <w:abstractNumId w:val="9"/>
  </w:num>
  <w:num w:numId="18" w16cid:durableId="307322865">
    <w:abstractNumId w:val="23"/>
  </w:num>
  <w:num w:numId="19" w16cid:durableId="1453866678">
    <w:abstractNumId w:val="28"/>
  </w:num>
  <w:num w:numId="20" w16cid:durableId="1265265601">
    <w:abstractNumId w:val="19"/>
  </w:num>
  <w:num w:numId="21" w16cid:durableId="647395687">
    <w:abstractNumId w:val="17"/>
  </w:num>
  <w:num w:numId="22" w16cid:durableId="158273780">
    <w:abstractNumId w:val="10"/>
  </w:num>
  <w:num w:numId="23" w16cid:durableId="557404288">
    <w:abstractNumId w:val="18"/>
  </w:num>
  <w:num w:numId="24" w16cid:durableId="350105032">
    <w:abstractNumId w:val="15"/>
  </w:num>
  <w:num w:numId="25" w16cid:durableId="1582521425">
    <w:abstractNumId w:val="14"/>
  </w:num>
  <w:num w:numId="26" w16cid:durableId="23942679">
    <w:abstractNumId w:val="13"/>
  </w:num>
  <w:num w:numId="27" w16cid:durableId="1752115624">
    <w:abstractNumId w:val="12"/>
  </w:num>
  <w:num w:numId="28" w16cid:durableId="2060204406">
    <w:abstractNumId w:val="24"/>
  </w:num>
  <w:num w:numId="29" w16cid:durableId="1721204332">
    <w:abstractNumId w:val="27"/>
  </w:num>
  <w:num w:numId="30" w16cid:durableId="8378158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30D"/>
    <w:rsid w:val="00144CF6"/>
    <w:rsid w:val="0015074B"/>
    <w:rsid w:val="00265E45"/>
    <w:rsid w:val="0029639D"/>
    <w:rsid w:val="002C106F"/>
    <w:rsid w:val="002E6D22"/>
    <w:rsid w:val="00326F90"/>
    <w:rsid w:val="003B354E"/>
    <w:rsid w:val="00476698"/>
    <w:rsid w:val="007345E3"/>
    <w:rsid w:val="00786FE0"/>
    <w:rsid w:val="00AA1D8D"/>
    <w:rsid w:val="00B47730"/>
    <w:rsid w:val="00C34029"/>
    <w:rsid w:val="00C3629C"/>
    <w:rsid w:val="00CB0664"/>
    <w:rsid w:val="00D03636"/>
    <w:rsid w:val="00E1233B"/>
    <w:rsid w:val="00E52514"/>
    <w:rsid w:val="00EE2D7C"/>
    <w:rsid w:val="00EF2B99"/>
    <w:rsid w:val="00F178D9"/>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3402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40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1795</Words>
  <Characters>10234</Characters>
  <Application>Microsoft Office Word</Application>
  <DocSecurity>0</DocSecurity>
  <Lines>85</Lines>
  <Paragraphs>24</Paragraphs>
  <ScaleCrop>false</ScaleCrop>
  <Manager/>
  <Company/>
  <LinksUpToDate>false</LinksUpToDate>
  <CharactersWithSpaces>12005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saina ab</cp:lastModifiedBy>
  <cp:revision>7</cp:revision>
  <dcterms:created xsi:type="dcterms:W3CDTF">2025-11-08T17:19:00Z</dcterms:created>
  <dcterms:modified xsi:type="dcterms:W3CDTF">2025-11-10T12:39:00Z</dcterms:modified>
  <cp:category/>
</cp:coreProperties>
</file>