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29E5" w14:textId="07CF02F5" w:rsidR="00771070" w:rsidRPr="00771070" w:rsidRDefault="00771070" w:rsidP="00771070">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71070">
        <w:rPr>
          <w:rFonts w:ascii="Times New Roman" w:eastAsia="Times New Roman" w:hAnsi="Times New Roman" w:cs="Times New Roman"/>
          <w:b/>
          <w:bCs/>
          <w:kern w:val="36"/>
          <w:sz w:val="40"/>
          <w:szCs w:val="40"/>
        </w:rPr>
        <w:t>Business Summary Report: Predictive Insights for Collections Strategy</w:t>
      </w:r>
    </w:p>
    <w:p w14:paraId="2889FB0D" w14:textId="77777777" w:rsidR="00771070" w:rsidRPr="00771070" w:rsidRDefault="00771070" w:rsidP="00771070">
      <w:pPr>
        <w:spacing w:before="100" w:beforeAutospacing="1" w:after="100" w:afterAutospacing="1" w:line="240" w:lineRule="auto"/>
        <w:outlineLvl w:val="1"/>
        <w:rPr>
          <w:rFonts w:ascii="Times New Roman" w:eastAsia="Times New Roman" w:hAnsi="Times New Roman" w:cs="Times New Roman"/>
          <w:b/>
          <w:bCs/>
          <w:sz w:val="28"/>
          <w:szCs w:val="28"/>
        </w:rPr>
      </w:pPr>
      <w:r w:rsidRPr="00771070">
        <w:rPr>
          <w:rFonts w:ascii="Times New Roman" w:eastAsia="Times New Roman" w:hAnsi="Times New Roman" w:cs="Times New Roman"/>
          <w:b/>
          <w:bCs/>
          <w:sz w:val="28"/>
          <w:szCs w:val="28"/>
        </w:rPr>
        <w:t>1. Summary of Predictive Insights</w:t>
      </w:r>
    </w:p>
    <w:p w14:paraId="5070F8CA" w14:textId="77777777"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Based on </w:t>
      </w:r>
      <w:proofErr w:type="spellStart"/>
      <w:r w:rsidRPr="00771070">
        <w:rPr>
          <w:rFonts w:ascii="Times New Roman" w:eastAsia="Times New Roman" w:hAnsi="Times New Roman" w:cs="Times New Roman"/>
          <w:sz w:val="20"/>
          <w:szCs w:val="20"/>
        </w:rPr>
        <w:t>Geldium’s</w:t>
      </w:r>
      <w:proofErr w:type="spellEnd"/>
      <w:r w:rsidRPr="00771070">
        <w:rPr>
          <w:rFonts w:ascii="Times New Roman" w:eastAsia="Times New Roman" w:hAnsi="Times New Roman" w:cs="Times New Roman"/>
          <w:sz w:val="20"/>
          <w:szCs w:val="20"/>
        </w:rPr>
        <w:t xml:space="preserve"> customer dataset and predictive modeling, several key factors were found to influence loan delinquency. The Decision Tree model identified specific customer segments and financial behaviors that increase the likelihood of missed or delayed payments.</w:t>
      </w:r>
    </w:p>
    <w:p w14:paraId="190539C6"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Key Findings:</w:t>
      </w:r>
    </w:p>
    <w:p w14:paraId="788612FB" w14:textId="77777777" w:rsidR="00771070" w:rsidRPr="00771070" w:rsidRDefault="00771070" w:rsidP="0077107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High Loan-to-Tenure Ratios:</w:t>
      </w:r>
      <w:r w:rsidRPr="00771070">
        <w:rPr>
          <w:rFonts w:ascii="Times New Roman" w:eastAsia="Times New Roman" w:hAnsi="Times New Roman" w:cs="Times New Roman"/>
          <w:sz w:val="20"/>
          <w:szCs w:val="20"/>
        </w:rPr>
        <w:br/>
        <w:t>Customers with high loan balances relative to their account age show greater delinquency risk. These customers may be over-leveraged or managing multiple new loans, making repayment difficult.</w:t>
      </w:r>
    </w:p>
    <w:p w14:paraId="4A930DE9" w14:textId="77777777" w:rsidR="00771070" w:rsidRPr="00771070" w:rsidRDefault="00771070" w:rsidP="0077107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Employment Instability:</w:t>
      </w:r>
      <w:r w:rsidRPr="00771070">
        <w:rPr>
          <w:rFonts w:ascii="Times New Roman" w:eastAsia="Times New Roman" w:hAnsi="Times New Roman" w:cs="Times New Roman"/>
          <w:sz w:val="20"/>
          <w:szCs w:val="20"/>
        </w:rPr>
        <w:br/>
        <w:t xml:space="preserve">Customers who are unemployed or self-employed demonstrate a </w:t>
      </w:r>
      <w:r w:rsidRPr="00771070">
        <w:rPr>
          <w:rFonts w:ascii="Times New Roman" w:eastAsia="Times New Roman" w:hAnsi="Times New Roman" w:cs="Times New Roman"/>
          <w:b/>
          <w:bCs/>
          <w:sz w:val="20"/>
          <w:szCs w:val="20"/>
        </w:rPr>
        <w:t>19% delinquency rate</w:t>
      </w:r>
      <w:r w:rsidRPr="00771070">
        <w:rPr>
          <w:rFonts w:ascii="Times New Roman" w:eastAsia="Times New Roman" w:hAnsi="Times New Roman" w:cs="Times New Roman"/>
          <w:sz w:val="20"/>
          <w:szCs w:val="20"/>
        </w:rPr>
        <w:t>, the highest among all employment groups. Income unpredictability makes consistent repayment less likely.</w:t>
      </w:r>
    </w:p>
    <w:p w14:paraId="06897EB0" w14:textId="77777777" w:rsidR="00771070" w:rsidRPr="00771070" w:rsidRDefault="00771070" w:rsidP="0077107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Low or Irregular Income:</w:t>
      </w:r>
      <w:r w:rsidRPr="00771070">
        <w:rPr>
          <w:rFonts w:ascii="Times New Roman" w:eastAsia="Times New Roman" w:hAnsi="Times New Roman" w:cs="Times New Roman"/>
          <w:sz w:val="20"/>
          <w:szCs w:val="20"/>
        </w:rPr>
        <w:br/>
        <w:t>Customers in lower-income brackets or with fluctuating earnings display higher repayment risk, particularly when credit utilization is high.</w:t>
      </w:r>
    </w:p>
    <w:p w14:paraId="69573D7B"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Key Insights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183"/>
        <w:gridCol w:w="1920"/>
        <w:gridCol w:w="2395"/>
      </w:tblGrid>
      <w:tr w:rsidR="00771070" w:rsidRPr="00771070" w14:paraId="1BEB8B5A" w14:textId="77777777">
        <w:trPr>
          <w:tblHeader/>
          <w:tblCellSpacing w:w="15" w:type="dxa"/>
        </w:trPr>
        <w:tc>
          <w:tcPr>
            <w:tcW w:w="0" w:type="auto"/>
            <w:vAlign w:val="center"/>
            <w:hideMark/>
          </w:tcPr>
          <w:p w14:paraId="52DE9244" w14:textId="77777777" w:rsidR="00771070" w:rsidRPr="00771070" w:rsidRDefault="00771070" w:rsidP="00771070">
            <w:pPr>
              <w:spacing w:after="0" w:line="240" w:lineRule="auto"/>
              <w:jc w:val="center"/>
              <w:rPr>
                <w:rFonts w:ascii="Times New Roman" w:eastAsia="Times New Roman" w:hAnsi="Times New Roman" w:cs="Times New Roman"/>
                <w:b/>
                <w:bCs/>
                <w:sz w:val="20"/>
                <w:szCs w:val="20"/>
              </w:rPr>
            </w:pPr>
            <w:r w:rsidRPr="00771070">
              <w:rPr>
                <w:rFonts w:ascii="Times New Roman" w:eastAsia="Times New Roman" w:hAnsi="Times New Roman" w:cs="Times New Roman"/>
                <w:b/>
                <w:bCs/>
                <w:sz w:val="20"/>
                <w:szCs w:val="20"/>
              </w:rPr>
              <w:t>Key Insight</w:t>
            </w:r>
          </w:p>
        </w:tc>
        <w:tc>
          <w:tcPr>
            <w:tcW w:w="0" w:type="auto"/>
            <w:vAlign w:val="center"/>
            <w:hideMark/>
          </w:tcPr>
          <w:p w14:paraId="3F9E1AD6" w14:textId="77777777" w:rsidR="00771070" w:rsidRPr="00771070" w:rsidRDefault="00771070" w:rsidP="00771070">
            <w:pPr>
              <w:spacing w:after="0" w:line="240" w:lineRule="auto"/>
              <w:jc w:val="center"/>
              <w:rPr>
                <w:rFonts w:ascii="Times New Roman" w:eastAsia="Times New Roman" w:hAnsi="Times New Roman" w:cs="Times New Roman"/>
                <w:b/>
                <w:bCs/>
                <w:sz w:val="20"/>
                <w:szCs w:val="20"/>
              </w:rPr>
            </w:pPr>
            <w:r w:rsidRPr="00771070">
              <w:rPr>
                <w:rFonts w:ascii="Times New Roman" w:eastAsia="Times New Roman" w:hAnsi="Times New Roman" w:cs="Times New Roman"/>
                <w:b/>
                <w:bCs/>
                <w:sz w:val="20"/>
                <w:szCs w:val="20"/>
              </w:rPr>
              <w:t>Customer Segment</w:t>
            </w:r>
          </w:p>
        </w:tc>
        <w:tc>
          <w:tcPr>
            <w:tcW w:w="0" w:type="auto"/>
            <w:vAlign w:val="center"/>
            <w:hideMark/>
          </w:tcPr>
          <w:p w14:paraId="2F785F4E" w14:textId="77777777" w:rsidR="00771070" w:rsidRPr="00771070" w:rsidRDefault="00771070" w:rsidP="00771070">
            <w:pPr>
              <w:spacing w:after="0" w:line="240" w:lineRule="auto"/>
              <w:jc w:val="center"/>
              <w:rPr>
                <w:rFonts w:ascii="Times New Roman" w:eastAsia="Times New Roman" w:hAnsi="Times New Roman" w:cs="Times New Roman"/>
                <w:b/>
                <w:bCs/>
                <w:sz w:val="20"/>
                <w:szCs w:val="20"/>
              </w:rPr>
            </w:pPr>
            <w:r w:rsidRPr="00771070">
              <w:rPr>
                <w:rFonts w:ascii="Times New Roman" w:eastAsia="Times New Roman" w:hAnsi="Times New Roman" w:cs="Times New Roman"/>
                <w:b/>
                <w:bCs/>
                <w:sz w:val="20"/>
                <w:szCs w:val="20"/>
              </w:rPr>
              <w:t>Influencing Variables</w:t>
            </w:r>
          </w:p>
        </w:tc>
        <w:tc>
          <w:tcPr>
            <w:tcW w:w="0" w:type="auto"/>
            <w:vAlign w:val="center"/>
            <w:hideMark/>
          </w:tcPr>
          <w:p w14:paraId="37ED0BD4" w14:textId="77777777" w:rsidR="00771070" w:rsidRPr="00771070" w:rsidRDefault="00771070" w:rsidP="00771070">
            <w:pPr>
              <w:spacing w:after="0" w:line="240" w:lineRule="auto"/>
              <w:jc w:val="center"/>
              <w:rPr>
                <w:rFonts w:ascii="Times New Roman" w:eastAsia="Times New Roman" w:hAnsi="Times New Roman" w:cs="Times New Roman"/>
                <w:b/>
                <w:bCs/>
                <w:sz w:val="20"/>
                <w:szCs w:val="20"/>
              </w:rPr>
            </w:pPr>
            <w:r w:rsidRPr="00771070">
              <w:rPr>
                <w:rFonts w:ascii="Times New Roman" w:eastAsia="Times New Roman" w:hAnsi="Times New Roman" w:cs="Times New Roman"/>
                <w:b/>
                <w:bCs/>
                <w:sz w:val="20"/>
                <w:szCs w:val="20"/>
              </w:rPr>
              <w:t>Potential Impact</w:t>
            </w:r>
          </w:p>
        </w:tc>
      </w:tr>
      <w:tr w:rsidR="00771070" w:rsidRPr="00771070" w14:paraId="49995EDC" w14:textId="77777777">
        <w:trPr>
          <w:tblCellSpacing w:w="15" w:type="dxa"/>
        </w:trPr>
        <w:tc>
          <w:tcPr>
            <w:tcW w:w="0" w:type="auto"/>
            <w:vAlign w:val="center"/>
            <w:hideMark/>
          </w:tcPr>
          <w:p w14:paraId="364DAC2D"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High loan exposure increases delinquency risk</w:t>
            </w:r>
          </w:p>
        </w:tc>
        <w:tc>
          <w:tcPr>
            <w:tcW w:w="0" w:type="auto"/>
            <w:vAlign w:val="center"/>
            <w:hideMark/>
          </w:tcPr>
          <w:p w14:paraId="5CD301D4"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Customers with large loans and short account tenure</w:t>
            </w:r>
          </w:p>
        </w:tc>
        <w:tc>
          <w:tcPr>
            <w:tcW w:w="0" w:type="auto"/>
            <w:vAlign w:val="center"/>
            <w:hideMark/>
          </w:tcPr>
          <w:p w14:paraId="25FA06CC"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Loan-to-Tenure Ratio, Income</w:t>
            </w:r>
          </w:p>
        </w:tc>
        <w:tc>
          <w:tcPr>
            <w:tcW w:w="0" w:type="auto"/>
            <w:vAlign w:val="center"/>
            <w:hideMark/>
          </w:tcPr>
          <w:p w14:paraId="03E37F5A"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Early intervention could reduce delinquency by 15%</w:t>
            </w:r>
          </w:p>
        </w:tc>
      </w:tr>
      <w:tr w:rsidR="00771070" w:rsidRPr="00771070" w14:paraId="6B9B0A24" w14:textId="77777777">
        <w:trPr>
          <w:tblCellSpacing w:w="15" w:type="dxa"/>
        </w:trPr>
        <w:tc>
          <w:tcPr>
            <w:tcW w:w="0" w:type="auto"/>
            <w:vAlign w:val="center"/>
            <w:hideMark/>
          </w:tcPr>
          <w:p w14:paraId="1BD8FC7C"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Employment instability drives default risk</w:t>
            </w:r>
          </w:p>
        </w:tc>
        <w:tc>
          <w:tcPr>
            <w:tcW w:w="0" w:type="auto"/>
            <w:vAlign w:val="center"/>
            <w:hideMark/>
          </w:tcPr>
          <w:p w14:paraId="6E5ADD5D"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Unemployed or self-employed customers</w:t>
            </w:r>
          </w:p>
        </w:tc>
        <w:tc>
          <w:tcPr>
            <w:tcW w:w="0" w:type="auto"/>
            <w:vAlign w:val="center"/>
            <w:hideMark/>
          </w:tcPr>
          <w:p w14:paraId="2EEB1B18" w14:textId="77777777" w:rsidR="00771070" w:rsidRPr="00771070" w:rsidRDefault="00771070" w:rsidP="00771070">
            <w:pPr>
              <w:spacing w:after="0" w:line="240" w:lineRule="auto"/>
              <w:rPr>
                <w:rFonts w:ascii="Times New Roman" w:eastAsia="Times New Roman" w:hAnsi="Times New Roman" w:cs="Times New Roman"/>
                <w:sz w:val="20"/>
                <w:szCs w:val="20"/>
              </w:rPr>
            </w:pPr>
            <w:proofErr w:type="spellStart"/>
            <w:r w:rsidRPr="00771070">
              <w:rPr>
                <w:rFonts w:ascii="Times New Roman" w:eastAsia="Times New Roman" w:hAnsi="Times New Roman" w:cs="Times New Roman"/>
                <w:sz w:val="20"/>
                <w:szCs w:val="20"/>
              </w:rPr>
              <w:t>Employment_Risk</w:t>
            </w:r>
            <w:proofErr w:type="spellEnd"/>
            <w:r w:rsidRPr="00771070">
              <w:rPr>
                <w:rFonts w:ascii="Times New Roman" w:eastAsia="Times New Roman" w:hAnsi="Times New Roman" w:cs="Times New Roman"/>
                <w:sz w:val="20"/>
                <w:szCs w:val="20"/>
              </w:rPr>
              <w:t>, Income</w:t>
            </w:r>
          </w:p>
        </w:tc>
        <w:tc>
          <w:tcPr>
            <w:tcW w:w="0" w:type="auto"/>
            <w:vAlign w:val="center"/>
            <w:hideMark/>
          </w:tcPr>
          <w:p w14:paraId="0C7B2730"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Targeted payment support can stabilize repayments</w:t>
            </w:r>
          </w:p>
        </w:tc>
      </w:tr>
      <w:tr w:rsidR="00771070" w:rsidRPr="00771070" w14:paraId="532FB90B" w14:textId="77777777">
        <w:trPr>
          <w:tblCellSpacing w:w="15" w:type="dxa"/>
        </w:trPr>
        <w:tc>
          <w:tcPr>
            <w:tcW w:w="0" w:type="auto"/>
            <w:vAlign w:val="center"/>
            <w:hideMark/>
          </w:tcPr>
          <w:p w14:paraId="35E0FFA4"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Lower-income customers face repayment pressure</w:t>
            </w:r>
          </w:p>
        </w:tc>
        <w:tc>
          <w:tcPr>
            <w:tcW w:w="0" w:type="auto"/>
            <w:vAlign w:val="center"/>
            <w:hideMark/>
          </w:tcPr>
          <w:p w14:paraId="13BBF419" w14:textId="77777777" w:rsidR="00771070" w:rsidRPr="00771070" w:rsidRDefault="00771070" w:rsidP="00771070">
            <w:pPr>
              <w:spacing w:after="0" w:line="240" w:lineRule="auto"/>
              <w:rPr>
                <w:rFonts w:ascii="Times New Roman" w:eastAsia="Times New Roman" w:hAnsi="Times New Roman" w:cs="Times New Roman"/>
                <w:sz w:val="20"/>
                <w:szCs w:val="20"/>
              </w:rPr>
            </w:pPr>
            <w:proofErr w:type="gramStart"/>
            <w:r w:rsidRPr="00771070">
              <w:rPr>
                <w:rFonts w:ascii="Times New Roman" w:eastAsia="Times New Roman" w:hAnsi="Times New Roman" w:cs="Times New Roman"/>
                <w:sz w:val="20"/>
                <w:szCs w:val="20"/>
              </w:rPr>
              <w:t>Low or irregular income</w:t>
            </w:r>
            <w:proofErr w:type="gramEnd"/>
            <w:r w:rsidRPr="00771070">
              <w:rPr>
                <w:rFonts w:ascii="Times New Roman" w:eastAsia="Times New Roman" w:hAnsi="Times New Roman" w:cs="Times New Roman"/>
                <w:sz w:val="20"/>
                <w:szCs w:val="20"/>
              </w:rPr>
              <w:t xml:space="preserve"> earners</w:t>
            </w:r>
          </w:p>
        </w:tc>
        <w:tc>
          <w:tcPr>
            <w:tcW w:w="0" w:type="auto"/>
            <w:vAlign w:val="center"/>
            <w:hideMark/>
          </w:tcPr>
          <w:p w14:paraId="2C901B6E"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Income, Credit Utilization</w:t>
            </w:r>
          </w:p>
        </w:tc>
        <w:tc>
          <w:tcPr>
            <w:tcW w:w="0" w:type="auto"/>
            <w:vAlign w:val="center"/>
            <w:hideMark/>
          </w:tcPr>
          <w:p w14:paraId="2F791537" w14:textId="77777777" w:rsidR="00771070" w:rsidRPr="00771070" w:rsidRDefault="00771070" w:rsidP="00771070">
            <w:pPr>
              <w:spacing w:after="0"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Personalized repayment plans can prevent missed payments</w:t>
            </w:r>
          </w:p>
        </w:tc>
      </w:tr>
    </w:tbl>
    <w:p w14:paraId="2B40F16E" w14:textId="77777777" w:rsidR="00771070" w:rsidRPr="00771070" w:rsidRDefault="00771070" w:rsidP="00771070">
      <w:pPr>
        <w:spacing w:before="100" w:beforeAutospacing="1" w:after="100" w:afterAutospacing="1" w:line="240" w:lineRule="auto"/>
        <w:outlineLvl w:val="1"/>
        <w:rPr>
          <w:rFonts w:ascii="Times New Roman" w:eastAsia="Times New Roman" w:hAnsi="Times New Roman" w:cs="Times New Roman"/>
          <w:b/>
          <w:bCs/>
          <w:sz w:val="28"/>
          <w:szCs w:val="28"/>
        </w:rPr>
      </w:pPr>
      <w:r w:rsidRPr="00771070">
        <w:rPr>
          <w:rFonts w:ascii="Times New Roman" w:eastAsia="Times New Roman" w:hAnsi="Times New Roman" w:cs="Times New Roman"/>
          <w:b/>
          <w:bCs/>
          <w:sz w:val="28"/>
          <w:szCs w:val="28"/>
        </w:rPr>
        <w:t>2. Recommendation Framework</w:t>
      </w:r>
    </w:p>
    <w:p w14:paraId="757AD84F"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Restated Insight:</w:t>
      </w:r>
    </w:p>
    <w:p w14:paraId="04C93641" w14:textId="77777777"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Customers with </w:t>
      </w:r>
      <w:r w:rsidRPr="00771070">
        <w:rPr>
          <w:rFonts w:ascii="Times New Roman" w:eastAsia="Times New Roman" w:hAnsi="Times New Roman" w:cs="Times New Roman"/>
          <w:b/>
          <w:bCs/>
          <w:sz w:val="20"/>
          <w:szCs w:val="20"/>
        </w:rPr>
        <w:t>high loan-to-tenure ratios</w:t>
      </w:r>
      <w:r w:rsidRPr="00771070">
        <w:rPr>
          <w:rFonts w:ascii="Times New Roman" w:eastAsia="Times New Roman" w:hAnsi="Times New Roman" w:cs="Times New Roman"/>
          <w:sz w:val="20"/>
          <w:szCs w:val="20"/>
        </w:rPr>
        <w:t xml:space="preserve"> and </w:t>
      </w:r>
      <w:r w:rsidRPr="00771070">
        <w:rPr>
          <w:rFonts w:ascii="Times New Roman" w:eastAsia="Times New Roman" w:hAnsi="Times New Roman" w:cs="Times New Roman"/>
          <w:b/>
          <w:bCs/>
          <w:sz w:val="20"/>
          <w:szCs w:val="20"/>
        </w:rPr>
        <w:t>unstable employment</w:t>
      </w:r>
      <w:r w:rsidRPr="00771070">
        <w:rPr>
          <w:rFonts w:ascii="Times New Roman" w:eastAsia="Times New Roman" w:hAnsi="Times New Roman" w:cs="Times New Roman"/>
          <w:sz w:val="20"/>
          <w:szCs w:val="20"/>
        </w:rPr>
        <w:t xml:space="preserve"> are at the highest risk of delinquency.</w:t>
      </w:r>
    </w:p>
    <w:p w14:paraId="3633104A"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Proposed Recommendation:</w:t>
      </w:r>
    </w:p>
    <w:p w14:paraId="6004B4F5" w14:textId="77777777"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Introduce a </w:t>
      </w:r>
      <w:r w:rsidRPr="00771070">
        <w:rPr>
          <w:rFonts w:ascii="Times New Roman" w:eastAsia="Times New Roman" w:hAnsi="Times New Roman" w:cs="Times New Roman"/>
          <w:b/>
          <w:bCs/>
          <w:sz w:val="20"/>
          <w:szCs w:val="20"/>
        </w:rPr>
        <w:t>Proactive High-Risk Customer Monitoring Program</w:t>
      </w:r>
      <w:r w:rsidRPr="00771070">
        <w:rPr>
          <w:rFonts w:ascii="Times New Roman" w:eastAsia="Times New Roman" w:hAnsi="Times New Roman" w:cs="Times New Roman"/>
          <w:sz w:val="20"/>
          <w:szCs w:val="20"/>
        </w:rPr>
        <w:t xml:space="preserve"> to identify and support vulnerable customers before they miss payments.</w:t>
      </w:r>
    </w:p>
    <w:p w14:paraId="2F9EFF2F" w14:textId="77777777" w:rsidR="00771070" w:rsidRPr="00771070" w:rsidRDefault="00771070" w:rsidP="0077107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lastRenderedPageBreak/>
        <w:t>Specific:</w:t>
      </w:r>
      <w:r w:rsidRPr="00771070">
        <w:rPr>
          <w:rFonts w:ascii="Times New Roman" w:eastAsia="Times New Roman" w:hAnsi="Times New Roman" w:cs="Times New Roman"/>
          <w:sz w:val="20"/>
          <w:szCs w:val="20"/>
        </w:rPr>
        <w:br/>
        <w:t>Build an internal dashboard using the predictive model to flag customers with high loan-to-tenure ratios and employment instability.</w:t>
      </w:r>
    </w:p>
    <w:p w14:paraId="01B0824C" w14:textId="77777777" w:rsidR="00771070" w:rsidRPr="00771070" w:rsidRDefault="00771070" w:rsidP="0077107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Measurable:</w:t>
      </w:r>
      <w:r w:rsidRPr="00771070">
        <w:rPr>
          <w:rFonts w:ascii="Times New Roman" w:eastAsia="Times New Roman" w:hAnsi="Times New Roman" w:cs="Times New Roman"/>
          <w:sz w:val="20"/>
          <w:szCs w:val="20"/>
        </w:rPr>
        <w:br/>
        <w:t xml:space="preserve">Aim to </w:t>
      </w:r>
      <w:r w:rsidRPr="00771070">
        <w:rPr>
          <w:rFonts w:ascii="Times New Roman" w:eastAsia="Times New Roman" w:hAnsi="Times New Roman" w:cs="Times New Roman"/>
          <w:b/>
          <w:bCs/>
          <w:sz w:val="20"/>
          <w:szCs w:val="20"/>
        </w:rPr>
        <w:t>reduce delinquency cases by 15% within six months</w:t>
      </w:r>
      <w:r w:rsidRPr="00771070">
        <w:rPr>
          <w:rFonts w:ascii="Times New Roman" w:eastAsia="Times New Roman" w:hAnsi="Times New Roman" w:cs="Times New Roman"/>
          <w:sz w:val="20"/>
          <w:szCs w:val="20"/>
        </w:rPr>
        <w:t xml:space="preserve"> through early outreach and flexible repayment arrangements.</w:t>
      </w:r>
    </w:p>
    <w:p w14:paraId="6B835760" w14:textId="77777777" w:rsidR="00771070" w:rsidRPr="00771070" w:rsidRDefault="00771070" w:rsidP="0077107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Actionable:</w:t>
      </w:r>
      <w:r w:rsidRPr="00771070">
        <w:rPr>
          <w:rFonts w:ascii="Times New Roman" w:eastAsia="Times New Roman" w:hAnsi="Times New Roman" w:cs="Times New Roman"/>
          <w:sz w:val="20"/>
          <w:szCs w:val="20"/>
        </w:rPr>
        <w:br/>
        <w:t>Use the top three predictors (</w:t>
      </w:r>
      <w:proofErr w:type="spellStart"/>
      <w:r w:rsidRPr="00771070">
        <w:rPr>
          <w:rFonts w:ascii="Courier New" w:eastAsia="Times New Roman" w:hAnsi="Courier New" w:cs="Courier New"/>
          <w:sz w:val="16"/>
          <w:szCs w:val="16"/>
        </w:rPr>
        <w:t>Loan_to_Tenure</w:t>
      </w:r>
      <w:proofErr w:type="spellEnd"/>
      <w:r w:rsidRPr="00771070">
        <w:rPr>
          <w:rFonts w:ascii="Times New Roman" w:eastAsia="Times New Roman" w:hAnsi="Times New Roman" w:cs="Times New Roman"/>
          <w:sz w:val="20"/>
          <w:szCs w:val="20"/>
        </w:rPr>
        <w:t xml:space="preserve">, </w:t>
      </w:r>
      <w:r w:rsidRPr="00771070">
        <w:rPr>
          <w:rFonts w:ascii="Courier New" w:eastAsia="Times New Roman" w:hAnsi="Courier New" w:cs="Courier New"/>
          <w:sz w:val="16"/>
          <w:szCs w:val="16"/>
        </w:rPr>
        <w:t>Income</w:t>
      </w:r>
      <w:r w:rsidRPr="00771070">
        <w:rPr>
          <w:rFonts w:ascii="Times New Roman" w:eastAsia="Times New Roman" w:hAnsi="Times New Roman" w:cs="Times New Roman"/>
          <w:sz w:val="20"/>
          <w:szCs w:val="20"/>
        </w:rPr>
        <w:t xml:space="preserve">, and </w:t>
      </w:r>
      <w:proofErr w:type="spellStart"/>
      <w:r w:rsidRPr="00771070">
        <w:rPr>
          <w:rFonts w:ascii="Courier New" w:eastAsia="Times New Roman" w:hAnsi="Courier New" w:cs="Courier New"/>
          <w:sz w:val="16"/>
          <w:szCs w:val="16"/>
        </w:rPr>
        <w:t>Employment_Risk</w:t>
      </w:r>
      <w:proofErr w:type="spellEnd"/>
      <w:r w:rsidRPr="00771070">
        <w:rPr>
          <w:rFonts w:ascii="Times New Roman" w:eastAsia="Times New Roman" w:hAnsi="Times New Roman" w:cs="Times New Roman"/>
          <w:sz w:val="20"/>
          <w:szCs w:val="20"/>
        </w:rPr>
        <w:t>) to segment customers and automatically alert the Collections team weekly.</w:t>
      </w:r>
    </w:p>
    <w:p w14:paraId="28BBFFCE" w14:textId="77777777" w:rsidR="00771070" w:rsidRPr="00771070" w:rsidRDefault="00771070" w:rsidP="0077107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Relevant:</w:t>
      </w:r>
      <w:r w:rsidRPr="00771070">
        <w:rPr>
          <w:rFonts w:ascii="Times New Roman" w:eastAsia="Times New Roman" w:hAnsi="Times New Roman" w:cs="Times New Roman"/>
          <w:sz w:val="20"/>
          <w:szCs w:val="20"/>
        </w:rPr>
        <w:br/>
        <w:t xml:space="preserve">Aligns with </w:t>
      </w:r>
      <w:proofErr w:type="spellStart"/>
      <w:r w:rsidRPr="00771070">
        <w:rPr>
          <w:rFonts w:ascii="Times New Roman" w:eastAsia="Times New Roman" w:hAnsi="Times New Roman" w:cs="Times New Roman"/>
          <w:sz w:val="20"/>
          <w:szCs w:val="20"/>
        </w:rPr>
        <w:t>Geldium’s</w:t>
      </w:r>
      <w:proofErr w:type="spellEnd"/>
      <w:r w:rsidRPr="00771070">
        <w:rPr>
          <w:rFonts w:ascii="Times New Roman" w:eastAsia="Times New Roman" w:hAnsi="Times New Roman" w:cs="Times New Roman"/>
          <w:sz w:val="20"/>
          <w:szCs w:val="20"/>
        </w:rPr>
        <w:t xml:space="preserve"> business objective to </w:t>
      </w:r>
      <w:r w:rsidRPr="00771070">
        <w:rPr>
          <w:rFonts w:ascii="Times New Roman" w:eastAsia="Times New Roman" w:hAnsi="Times New Roman" w:cs="Times New Roman"/>
          <w:b/>
          <w:bCs/>
          <w:sz w:val="20"/>
          <w:szCs w:val="20"/>
        </w:rPr>
        <w:t>improve repayment health</w:t>
      </w:r>
      <w:r w:rsidRPr="00771070">
        <w:rPr>
          <w:rFonts w:ascii="Times New Roman" w:eastAsia="Times New Roman" w:hAnsi="Times New Roman" w:cs="Times New Roman"/>
          <w:sz w:val="20"/>
          <w:szCs w:val="20"/>
        </w:rPr>
        <w:t xml:space="preserve"> and lower credit losses through data-driven collections.</w:t>
      </w:r>
    </w:p>
    <w:p w14:paraId="4F514B0A" w14:textId="77777777" w:rsidR="00771070" w:rsidRPr="00771070" w:rsidRDefault="00771070" w:rsidP="0077107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Time-Bound:</w:t>
      </w:r>
      <w:r w:rsidRPr="00771070">
        <w:rPr>
          <w:rFonts w:ascii="Times New Roman" w:eastAsia="Times New Roman" w:hAnsi="Times New Roman" w:cs="Times New Roman"/>
          <w:sz w:val="20"/>
          <w:szCs w:val="20"/>
        </w:rPr>
        <w:br/>
        <w:t xml:space="preserve">Implement a pilot program in </w:t>
      </w:r>
      <w:r w:rsidRPr="00771070">
        <w:rPr>
          <w:rFonts w:ascii="Times New Roman" w:eastAsia="Times New Roman" w:hAnsi="Times New Roman" w:cs="Times New Roman"/>
          <w:b/>
          <w:bCs/>
          <w:sz w:val="20"/>
          <w:szCs w:val="20"/>
        </w:rPr>
        <w:t>Q1</w:t>
      </w:r>
      <w:r w:rsidRPr="00771070">
        <w:rPr>
          <w:rFonts w:ascii="Times New Roman" w:eastAsia="Times New Roman" w:hAnsi="Times New Roman" w:cs="Times New Roman"/>
          <w:sz w:val="20"/>
          <w:szCs w:val="20"/>
        </w:rPr>
        <w:t xml:space="preserve">, review results after </w:t>
      </w:r>
      <w:r w:rsidRPr="00771070">
        <w:rPr>
          <w:rFonts w:ascii="Times New Roman" w:eastAsia="Times New Roman" w:hAnsi="Times New Roman" w:cs="Times New Roman"/>
          <w:b/>
          <w:bCs/>
          <w:sz w:val="20"/>
          <w:szCs w:val="20"/>
        </w:rPr>
        <w:t>6 months</w:t>
      </w:r>
      <w:r w:rsidRPr="00771070">
        <w:rPr>
          <w:rFonts w:ascii="Times New Roman" w:eastAsia="Times New Roman" w:hAnsi="Times New Roman" w:cs="Times New Roman"/>
          <w:sz w:val="20"/>
          <w:szCs w:val="20"/>
        </w:rPr>
        <w:t xml:space="preserve">, and scale fully by </w:t>
      </w:r>
      <w:r w:rsidRPr="00771070">
        <w:rPr>
          <w:rFonts w:ascii="Times New Roman" w:eastAsia="Times New Roman" w:hAnsi="Times New Roman" w:cs="Times New Roman"/>
          <w:b/>
          <w:bCs/>
          <w:sz w:val="20"/>
          <w:szCs w:val="20"/>
        </w:rPr>
        <w:t>Q2</w:t>
      </w:r>
      <w:r w:rsidRPr="00771070">
        <w:rPr>
          <w:rFonts w:ascii="Times New Roman" w:eastAsia="Times New Roman" w:hAnsi="Times New Roman" w:cs="Times New Roman"/>
          <w:sz w:val="20"/>
          <w:szCs w:val="20"/>
        </w:rPr>
        <w:t xml:space="preserve"> of the next fiscal year.</w:t>
      </w:r>
    </w:p>
    <w:p w14:paraId="7CB8AA3A"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Justification and Business Rationale:</w:t>
      </w:r>
    </w:p>
    <w:p w14:paraId="1FB9D180" w14:textId="77777777" w:rsid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By proactively identifying at-risk customers and offering customized repayment options or financial guidance, </w:t>
      </w:r>
      <w:proofErr w:type="spellStart"/>
      <w:r w:rsidRPr="00771070">
        <w:rPr>
          <w:rFonts w:ascii="Times New Roman" w:eastAsia="Times New Roman" w:hAnsi="Times New Roman" w:cs="Times New Roman"/>
          <w:sz w:val="20"/>
          <w:szCs w:val="20"/>
        </w:rPr>
        <w:t>Geldium</w:t>
      </w:r>
      <w:proofErr w:type="spellEnd"/>
      <w:r w:rsidRPr="00771070">
        <w:rPr>
          <w:rFonts w:ascii="Times New Roman" w:eastAsia="Times New Roman" w:hAnsi="Times New Roman" w:cs="Times New Roman"/>
          <w:sz w:val="20"/>
          <w:szCs w:val="20"/>
        </w:rPr>
        <w:t xml:space="preserve"> can prevent defaults, improve customer trust, and enhance overall credit portfolio stability. This approach reduces reactive collections workload and supports responsible lending practices.</w:t>
      </w:r>
    </w:p>
    <w:p w14:paraId="624ADDE3" w14:textId="6C735612"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8"/>
          <w:szCs w:val="28"/>
        </w:rPr>
        <w:t>3. Ethical and Responsible AI Considerations</w:t>
      </w:r>
    </w:p>
    <w:p w14:paraId="6D2F44D3" w14:textId="77777777"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proofErr w:type="spellStart"/>
      <w:r w:rsidRPr="00771070">
        <w:rPr>
          <w:rFonts w:ascii="Times New Roman" w:eastAsia="Times New Roman" w:hAnsi="Times New Roman" w:cs="Times New Roman"/>
          <w:sz w:val="20"/>
          <w:szCs w:val="20"/>
        </w:rPr>
        <w:t>Geldium’s</w:t>
      </w:r>
      <w:proofErr w:type="spellEnd"/>
      <w:r w:rsidRPr="00771070">
        <w:rPr>
          <w:rFonts w:ascii="Times New Roman" w:eastAsia="Times New Roman" w:hAnsi="Times New Roman" w:cs="Times New Roman"/>
          <w:sz w:val="20"/>
          <w:szCs w:val="20"/>
        </w:rPr>
        <w:t xml:space="preserve"> predictive model was developed with transparency and fairness as core principles. While the model provides valuable insights, responsible use is critical in ensuring equitable treatment across all customer segments.</w:t>
      </w:r>
    </w:p>
    <w:p w14:paraId="49703A0E"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Fairness and Bias Risks:</w:t>
      </w:r>
    </w:p>
    <w:p w14:paraId="716FF809" w14:textId="77777777" w:rsidR="00771070" w:rsidRPr="00771070" w:rsidRDefault="00771070" w:rsidP="00771070">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Employment Bias:</w:t>
      </w:r>
      <w:r w:rsidRPr="00771070">
        <w:rPr>
          <w:rFonts w:ascii="Times New Roman" w:eastAsia="Times New Roman" w:hAnsi="Times New Roman" w:cs="Times New Roman"/>
          <w:sz w:val="20"/>
          <w:szCs w:val="20"/>
        </w:rPr>
        <w:br/>
        <w:t>The model may rate self-employed or gig workers as higher risk due to inconsistent income patterns.</w:t>
      </w:r>
    </w:p>
    <w:p w14:paraId="6F8B6003" w14:textId="77777777" w:rsidR="00771070" w:rsidRPr="00771070" w:rsidRDefault="00771070" w:rsidP="00771070">
      <w:pPr>
        <w:numPr>
          <w:ilvl w:val="1"/>
          <w:numId w:val="12"/>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i/>
          <w:iCs/>
          <w:sz w:val="20"/>
          <w:szCs w:val="20"/>
        </w:rPr>
        <w:t>Mitigation:</w:t>
      </w:r>
      <w:r w:rsidRPr="00771070">
        <w:rPr>
          <w:rFonts w:ascii="Times New Roman" w:eastAsia="Times New Roman" w:hAnsi="Times New Roman" w:cs="Times New Roman"/>
          <w:sz w:val="20"/>
          <w:szCs w:val="20"/>
        </w:rPr>
        <w:t xml:space="preserve"> Complement model predictions with manual review and incorporate alternative indicators such as transaction consistency or payment trends.</w:t>
      </w:r>
    </w:p>
    <w:p w14:paraId="50EF3EE9" w14:textId="77777777" w:rsidR="00771070" w:rsidRPr="00771070" w:rsidRDefault="00771070" w:rsidP="00771070">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b/>
          <w:bCs/>
          <w:sz w:val="20"/>
          <w:szCs w:val="20"/>
        </w:rPr>
        <w:t>Income Bias:</w:t>
      </w:r>
      <w:r w:rsidRPr="00771070">
        <w:rPr>
          <w:rFonts w:ascii="Times New Roman" w:eastAsia="Times New Roman" w:hAnsi="Times New Roman" w:cs="Times New Roman"/>
          <w:sz w:val="20"/>
          <w:szCs w:val="20"/>
        </w:rPr>
        <w:br/>
        <w:t>Lower-income customers could be unfairly flagged as risky.</w:t>
      </w:r>
    </w:p>
    <w:p w14:paraId="054D592C" w14:textId="77777777" w:rsidR="00771070" w:rsidRPr="00771070" w:rsidRDefault="00771070" w:rsidP="00771070">
      <w:pPr>
        <w:numPr>
          <w:ilvl w:val="1"/>
          <w:numId w:val="12"/>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i/>
          <w:iCs/>
          <w:sz w:val="20"/>
          <w:szCs w:val="20"/>
        </w:rPr>
        <w:t>Mitigation:</w:t>
      </w:r>
      <w:r w:rsidRPr="00771070">
        <w:rPr>
          <w:rFonts w:ascii="Times New Roman" w:eastAsia="Times New Roman" w:hAnsi="Times New Roman" w:cs="Times New Roman"/>
          <w:sz w:val="20"/>
          <w:szCs w:val="20"/>
        </w:rPr>
        <w:t xml:space="preserve"> Use the model for early support and education rather than punitive credit restrictions.</w:t>
      </w:r>
    </w:p>
    <w:p w14:paraId="0362AF60"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Explainability and Transparency:</w:t>
      </w:r>
    </w:p>
    <w:p w14:paraId="7BEEA6CD" w14:textId="77777777" w:rsidR="00771070" w:rsidRPr="00771070" w:rsidRDefault="00771070" w:rsidP="00771070">
      <w:p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The chosen </w:t>
      </w:r>
      <w:r w:rsidRPr="00771070">
        <w:rPr>
          <w:rFonts w:ascii="Times New Roman" w:eastAsia="Times New Roman" w:hAnsi="Times New Roman" w:cs="Times New Roman"/>
          <w:b/>
          <w:bCs/>
          <w:sz w:val="20"/>
          <w:szCs w:val="20"/>
        </w:rPr>
        <w:t>Decision Tree model</w:t>
      </w:r>
      <w:r w:rsidRPr="00771070">
        <w:rPr>
          <w:rFonts w:ascii="Times New Roman" w:eastAsia="Times New Roman" w:hAnsi="Times New Roman" w:cs="Times New Roman"/>
          <w:sz w:val="20"/>
          <w:szCs w:val="20"/>
        </w:rPr>
        <w:t xml:space="preserve"> is highly interpretable — each prediction can be explained using simple decision rules (e.g., “High loan relative to account tenure indicates higher risk”).</w:t>
      </w:r>
      <w:r w:rsidRPr="00771070">
        <w:rPr>
          <w:rFonts w:ascii="Times New Roman" w:eastAsia="Times New Roman" w:hAnsi="Times New Roman" w:cs="Times New Roman"/>
          <w:sz w:val="20"/>
          <w:szCs w:val="20"/>
        </w:rPr>
        <w:br/>
        <w:t xml:space="preserve">This allows the Collections team to understand </w:t>
      </w:r>
      <w:r w:rsidRPr="00771070">
        <w:rPr>
          <w:rFonts w:ascii="Times New Roman" w:eastAsia="Times New Roman" w:hAnsi="Times New Roman" w:cs="Times New Roman"/>
          <w:i/>
          <w:iCs/>
          <w:sz w:val="20"/>
          <w:szCs w:val="20"/>
        </w:rPr>
        <w:t>why</w:t>
      </w:r>
      <w:r w:rsidRPr="00771070">
        <w:rPr>
          <w:rFonts w:ascii="Times New Roman" w:eastAsia="Times New Roman" w:hAnsi="Times New Roman" w:cs="Times New Roman"/>
          <w:sz w:val="20"/>
          <w:szCs w:val="20"/>
        </w:rPr>
        <w:t xml:space="preserve"> customers are flagged and communicate clearly with them.</w:t>
      </w:r>
    </w:p>
    <w:p w14:paraId="0D81F7C5" w14:textId="77777777" w:rsidR="00771070" w:rsidRPr="00771070" w:rsidRDefault="00771070" w:rsidP="00771070">
      <w:pPr>
        <w:spacing w:before="100" w:beforeAutospacing="1" w:after="100" w:afterAutospacing="1" w:line="240" w:lineRule="auto"/>
        <w:outlineLvl w:val="2"/>
        <w:rPr>
          <w:rFonts w:ascii="Times New Roman" w:eastAsia="Times New Roman" w:hAnsi="Times New Roman" w:cs="Times New Roman"/>
          <w:b/>
          <w:bCs/>
        </w:rPr>
      </w:pPr>
      <w:r w:rsidRPr="00771070">
        <w:rPr>
          <w:rFonts w:ascii="Times New Roman" w:eastAsia="Times New Roman" w:hAnsi="Times New Roman" w:cs="Times New Roman"/>
          <w:b/>
          <w:bCs/>
        </w:rPr>
        <w:t>Responsible AI Practices:</w:t>
      </w:r>
    </w:p>
    <w:p w14:paraId="4E0AE641" w14:textId="77777777" w:rsidR="00771070" w:rsidRPr="00771070" w:rsidRDefault="00771070" w:rsidP="0077107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The model supports </w:t>
      </w:r>
      <w:r w:rsidRPr="00771070">
        <w:rPr>
          <w:rFonts w:ascii="Times New Roman" w:eastAsia="Times New Roman" w:hAnsi="Times New Roman" w:cs="Times New Roman"/>
          <w:b/>
          <w:bCs/>
          <w:sz w:val="20"/>
          <w:szCs w:val="20"/>
        </w:rPr>
        <w:t>early intervention</w:t>
      </w:r>
      <w:r w:rsidRPr="00771070">
        <w:rPr>
          <w:rFonts w:ascii="Times New Roman" w:eastAsia="Times New Roman" w:hAnsi="Times New Roman" w:cs="Times New Roman"/>
          <w:sz w:val="20"/>
          <w:szCs w:val="20"/>
        </w:rPr>
        <w:t>, not credit denial, promoting financial stability.</w:t>
      </w:r>
    </w:p>
    <w:p w14:paraId="13303378" w14:textId="77777777" w:rsidR="00771070" w:rsidRPr="00771070" w:rsidRDefault="00771070" w:rsidP="0077107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 xml:space="preserve">Data used excludes sensitive personal identifiers, ensuring </w:t>
      </w:r>
      <w:r w:rsidRPr="00771070">
        <w:rPr>
          <w:rFonts w:ascii="Times New Roman" w:eastAsia="Times New Roman" w:hAnsi="Times New Roman" w:cs="Times New Roman"/>
          <w:b/>
          <w:bCs/>
          <w:sz w:val="20"/>
          <w:szCs w:val="20"/>
        </w:rPr>
        <w:t>privacy protection</w:t>
      </w:r>
      <w:r w:rsidRPr="00771070">
        <w:rPr>
          <w:rFonts w:ascii="Times New Roman" w:eastAsia="Times New Roman" w:hAnsi="Times New Roman" w:cs="Times New Roman"/>
          <w:sz w:val="20"/>
          <w:szCs w:val="20"/>
        </w:rPr>
        <w:t>.</w:t>
      </w:r>
    </w:p>
    <w:p w14:paraId="33EC1793" w14:textId="042060C0" w:rsidR="007D72C2" w:rsidRPr="00771070" w:rsidRDefault="00771070" w:rsidP="0077107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71070">
        <w:rPr>
          <w:rFonts w:ascii="Times New Roman" w:eastAsia="Times New Roman" w:hAnsi="Times New Roman" w:cs="Times New Roman"/>
          <w:sz w:val="20"/>
          <w:szCs w:val="20"/>
        </w:rPr>
        <w:t>Regular audits and fairness checks will ensure consistent and unbiased outcomes.</w:t>
      </w:r>
    </w:p>
    <w:sectPr w:rsidR="007D72C2" w:rsidRPr="007710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25DF6"/>
    <w:multiLevelType w:val="multilevel"/>
    <w:tmpl w:val="BD4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4565"/>
    <w:multiLevelType w:val="multilevel"/>
    <w:tmpl w:val="CAA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B6021"/>
    <w:multiLevelType w:val="multilevel"/>
    <w:tmpl w:val="478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11169"/>
    <w:multiLevelType w:val="multilevel"/>
    <w:tmpl w:val="314CA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539784203">
    <w:abstractNumId w:val="10"/>
  </w:num>
  <w:num w:numId="11" w16cid:durableId="44960490">
    <w:abstractNumId w:val="9"/>
  </w:num>
  <w:num w:numId="12" w16cid:durableId="381366755">
    <w:abstractNumId w:val="12"/>
  </w:num>
  <w:num w:numId="13" w16cid:durableId="111094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6EDA"/>
    <w:rsid w:val="0077107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saina ab</cp:lastModifiedBy>
  <cp:revision>2</cp:revision>
  <dcterms:created xsi:type="dcterms:W3CDTF">2025-11-11T17:01:00Z</dcterms:created>
  <dcterms:modified xsi:type="dcterms:W3CDTF">2025-11-11T17:01:00Z</dcterms:modified>
  <cp:category/>
</cp:coreProperties>
</file>