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Analysis of SOLWEIG v2022a (UMEP QGIS plugin)</w:t>
      </w:r>
    </w:p>
    <w:p>
      <w:r>
        <w:rPr>
          <w:b/>
          <w:color w:val="336699"/>
          <w:sz w:val="24"/>
        </w:rPr>
        <w:t>Weekly Progress Report — Weeks 3 &amp; 4</w:t>
      </w:r>
    </w:p>
    <w:p/>
    <w:p>
      <w:r>
        <w:rPr>
          <w:b/>
          <w:color w:val="102A43"/>
          <w:sz w:val="30"/>
        </w:rPr>
        <w:t>Week 3 — Deep Dive: Radiation Physics (planned)</w:t>
      </w:r>
    </w:p>
    <w:p>
      <w:r>
        <w:rPr>
          <w:b/>
        </w:rPr>
        <w:t>Theme:</w:t>
      </w:r>
      <w:r>
        <w:t xml:space="preserve"> Understand the 6-direction shortwave (K) and longwave (L) flux assembly that builds </w:t>
      </w:r>
      <w:r>
        <w:rPr>
          <w:rFonts w:ascii="Consolas" w:hAnsi="Consolas"/>
          <w:sz w:val="20"/>
        </w:rPr>
        <w:t>Tmrt</w:t>
      </w:r>
      <w:r>
        <w:t>.</w:t>
      </w:r>
    </w:p>
    <w:p>
      <w:r>
        <w:rPr>
          <w:b/>
          <w:color w:val="1F3B57"/>
          <w:sz w:val="26"/>
        </w:rPr>
        <w:t>3.1 Goals</w:t>
      </w:r>
    </w:p>
    <w:p>
      <w:pPr>
        <w:pStyle w:val="ListBullet"/>
      </w:pPr>
      <w:r>
        <w:t xml:space="preserve">Trace how each directional flux is computed and combined into </w:t>
      </w:r>
      <w:r>
        <w:rPr>
          <w:rFonts w:ascii="Consolas" w:hAnsi="Consolas"/>
          <w:sz w:val="20"/>
        </w:rPr>
        <w:t>Sstr</w:t>
      </w:r>
      <w:r>
        <w:t xml:space="preserve"> → </w:t>
      </w:r>
      <w:r>
        <w:rPr>
          <w:rFonts w:ascii="Consolas" w:hAnsi="Consolas"/>
          <w:sz w:val="20"/>
        </w:rPr>
        <w:t>Tmrt</w:t>
      </w:r>
      <w:r>
        <w:t>.</w:t>
      </w:r>
    </w:p>
    <w:p>
      <w:pPr>
        <w:pStyle w:val="ListBullet"/>
      </w:pPr>
      <w:r>
        <w:t>Understand shadow casting and the Perez anisotropic-sky option.</w:t>
      </w:r>
    </w:p>
    <w:p>
      <w:r>
        <w:rPr>
          <w:b/>
          <w:color w:val="1F3B57"/>
          <w:sz w:val="26"/>
        </w:rPr>
        <w:t>3.2 Planned tasks</w:t>
      </w:r>
    </w:p>
    <w:p>
      <w:pPr>
        <w:pStyle w:val="ListBullet"/>
      </w:pPr>
      <w:r>
        <w:t xml:space="preserve">Read </w:t>
      </w:r>
      <w:r>
        <w:rPr>
          <w:rFonts w:ascii="Consolas" w:hAnsi="Consolas"/>
          <w:sz w:val="20"/>
        </w:rPr>
        <w:t>gvf_2018a.py</w:t>
      </w:r>
      <w:r>
        <w:t xml:space="preserve"> — ground view factors (how surrounding ground/walls radiate onto a pixel, per direction).</w:t>
      </w:r>
    </w:p>
    <w:p>
      <w:pPr>
        <w:pStyle w:val="ListBullet"/>
      </w:pPr>
      <w:r>
        <w:t xml:space="preserve">Read </w:t>
      </w:r>
      <w:r>
        <w:rPr>
          <w:rFonts w:ascii="Consolas" w:hAnsi="Consolas"/>
          <w:sz w:val="20"/>
        </w:rPr>
        <w:t>Kup_veg_2015a.py</w:t>
      </w:r>
      <w:r>
        <w:t xml:space="preserve">, </w:t>
      </w:r>
      <w:r>
        <w:rPr>
          <w:rFonts w:ascii="Consolas" w:hAnsi="Consolas"/>
          <w:sz w:val="20"/>
        </w:rPr>
        <w:t>Kside_veg_v2022a.py</w:t>
      </w:r>
      <w:r>
        <w:t xml:space="preserve"> — upward &amp; side shortwave.</w:t>
      </w:r>
    </w:p>
    <w:p>
      <w:pPr>
        <w:pStyle w:val="ListBullet"/>
      </w:pPr>
      <w:r>
        <w:t xml:space="preserve">Read </w:t>
      </w:r>
      <w:r>
        <w:rPr>
          <w:rFonts w:ascii="Consolas" w:hAnsi="Consolas"/>
          <w:sz w:val="20"/>
        </w:rPr>
        <w:t>Lside_veg_v2022a.py</w:t>
      </w:r>
      <w:r>
        <w:t xml:space="preserve">, </w:t>
      </w:r>
      <w:r>
        <w:rPr>
          <w:rFonts w:ascii="Consolas" w:hAnsi="Consolas"/>
          <w:sz w:val="20"/>
        </w:rPr>
        <w:t>Lcyl_v2022a.py</w:t>
      </w:r>
      <w:r>
        <w:t xml:space="preserve"> — side &amp; cylinder longwave.</w:t>
      </w:r>
    </w:p>
    <w:p>
      <w:pPr>
        <w:pStyle w:val="ListBullet"/>
      </w:pPr>
      <w:r>
        <w:t xml:space="preserve">Read </w:t>
      </w:r>
      <w:r>
        <w:rPr>
          <w:rFonts w:ascii="Consolas" w:hAnsi="Consolas"/>
          <w:sz w:val="20"/>
        </w:rPr>
        <w:t>shadowingfunction_wallheight_13/23.py</w:t>
      </w:r>
      <w:r>
        <w:t xml:space="preserve"> — building &amp; vegetation shadows.</w:t>
      </w:r>
    </w:p>
    <w:p>
      <w:pPr>
        <w:pStyle w:val="ListBullet"/>
      </w:pPr>
      <w:r>
        <w:t xml:space="preserve">Read </w:t>
      </w:r>
      <w:r>
        <w:rPr>
          <w:rFonts w:ascii="Consolas" w:hAnsi="Consolas"/>
          <w:sz w:val="20"/>
        </w:rPr>
        <w:t>Perez_v3.py</w:t>
      </w:r>
      <w:r>
        <w:t xml:space="preserve"> + </w:t>
      </w:r>
      <w:r>
        <w:rPr>
          <w:rFonts w:ascii="Consolas" w:hAnsi="Consolas"/>
          <w:sz w:val="20"/>
        </w:rPr>
        <w:t>create_patches.py</w:t>
      </w:r>
      <w:r>
        <w:t xml:space="preserve"> — anisotropic sky patches.</w:t>
      </w:r>
    </w:p>
    <w:p>
      <w:pPr>
        <w:pStyle w:val="ListBullet"/>
      </w:pPr>
      <w:r>
        <w:t xml:space="preserve">Read </w:t>
      </w:r>
      <w:r>
        <w:rPr>
          <w:rFonts w:ascii="Consolas" w:hAnsi="Consolas"/>
          <w:sz w:val="20"/>
        </w:rPr>
        <w:t>cylindric_wedge.py</w:t>
      </w:r>
      <w:r>
        <w:t xml:space="preserve">, </w:t>
      </w:r>
      <w:r>
        <w:rPr>
          <w:rFonts w:ascii="Consolas" w:hAnsi="Consolas"/>
          <w:sz w:val="20"/>
        </w:rPr>
        <w:t>TsWaveDelay_2015a.py</w:t>
      </w:r>
      <w:r>
        <w:t xml:space="preserve"> — wall-shadow fraction &amp; surface-temp inertia.</w:t>
      </w:r>
    </w:p>
    <w:p>
      <w:r>
        <w:rPr>
          <w:b/>
          <w:color w:val="1F3B57"/>
          <w:sz w:val="26"/>
        </w:rPr>
        <w:t>3.3 Focus diagram (to be annotated with equations)</w:t>
      </w:r>
    </w:p>
    <w:p>
      <w:r>
        <w:rPr>
          <w:i/>
          <w:color w:val="606060"/>
          <w:sz w:val="18"/>
        </w:rPr>
        <w:t>Diagram (data/flow):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6F8"/>
          </w:tcPr>
          <w:p>
            <w:r/>
            <w:r>
              <w:rPr>
                <w:rFonts w:ascii="Consolas" w:hAnsi="Consolas"/>
                <w:sz w:val="18"/>
              </w:rPr>
              <w:t>flowchart TD</w:t>
            </w:r>
          </w:p>
          <w:p>
            <w:r>
              <w:rPr>
                <w:rFonts w:ascii="Consolas" w:hAnsi="Consolas"/>
                <w:sz w:val="18"/>
              </w:rPr>
              <w:t xml:space="preserve">    SUN[Sun position + radiation] --&gt; SHA[Shadows]</w:t>
            </w:r>
          </w:p>
          <w:p>
            <w:r>
              <w:rPr>
                <w:rFonts w:ascii="Consolas" w:hAnsi="Consolas"/>
                <w:sz w:val="18"/>
              </w:rPr>
              <w:t xml:space="preserve">    SVF[Sky view factors] --&gt; KCALC</w:t>
            </w:r>
          </w:p>
          <w:p>
            <w:r>
              <w:rPr>
                <w:rFonts w:ascii="Consolas" w:hAnsi="Consolas"/>
                <w:sz w:val="18"/>
              </w:rPr>
              <w:t xml:space="preserve">    SHA --&gt; KCALC[Kdown / Kup / Kside]</w:t>
            </w:r>
          </w:p>
          <w:p>
            <w:r>
              <w:rPr>
                <w:rFonts w:ascii="Consolas" w:hAnsi="Consolas"/>
                <w:sz w:val="18"/>
              </w:rPr>
              <w:t xml:space="preserve">    SHA --&gt; TG[Surface temp Tg + wave delay]</w:t>
            </w:r>
          </w:p>
          <w:p>
            <w:r>
              <w:rPr>
                <w:rFonts w:ascii="Consolas" w:hAnsi="Consolas"/>
                <w:sz w:val="18"/>
              </w:rPr>
              <w:t xml:space="preserve">    TG --&gt; LCALC[Ldown / Lup / Lside]</w:t>
            </w:r>
          </w:p>
          <w:p>
            <w:r>
              <w:rPr>
                <w:rFonts w:ascii="Consolas" w:hAnsi="Consolas"/>
                <w:sz w:val="18"/>
              </w:rPr>
              <w:t xml:space="preserve">    SVF --&gt; LCALC</w:t>
            </w:r>
          </w:p>
          <w:p>
            <w:r>
              <w:rPr>
                <w:rFonts w:ascii="Consolas" w:hAnsi="Consolas"/>
                <w:sz w:val="18"/>
              </w:rPr>
              <w:t xml:space="preserve">    KCALC --&gt; SSTR[Sstr = absK·ΣK + absL·ΣL]</w:t>
            </w:r>
          </w:p>
          <w:p>
            <w:r>
              <w:rPr>
                <w:rFonts w:ascii="Consolas" w:hAnsi="Consolas"/>
                <w:sz w:val="18"/>
              </w:rPr>
              <w:t xml:space="preserve">    LCALC --&gt; SSTR</w:t>
            </w:r>
          </w:p>
          <w:p>
            <w:r>
              <w:rPr>
                <w:rFonts w:ascii="Consolas" w:hAnsi="Consolas"/>
                <w:sz w:val="18"/>
              </w:rPr>
              <w:t xml:space="preserve">    SSTR --&gt; TMRT["Tmrt = (Sstr/(absL·σ))^¼ − 273.2"]</w:t>
            </w:r>
          </w:p>
        </w:tc>
      </w:tr>
    </w:tbl>
    <w:p>
      <w:r>
        <w:rPr>
          <w:b/>
          <w:color w:val="1F3B57"/>
          <w:sz w:val="26"/>
        </w:rPr>
        <w:t>3.4 Expected deliverables</w:t>
      </w:r>
    </w:p>
    <w:p>
      <w:pPr>
        <w:pStyle w:val="ListBullet"/>
      </w:pPr>
      <w:r>
        <w:t>Annotated flux-assembly notes (per-direction K and L equations).</w:t>
      </w:r>
    </w:p>
    <w:p>
      <w:pPr>
        <w:pStyle w:val="ListBullet"/>
      </w:pPr>
      <w:r>
        <w:t>Short write-up: isotropic vs anisotropic (Perez) sky — when and why it matters.</w:t>
      </w:r>
    </w:p>
    <w:p>
      <w:r>
        <w:rPr>
          <w:b/>
          <w:color w:val="1F3B57"/>
          <w:sz w:val="26"/>
        </w:rPr>
        <w:t>3.5 Risks / notes</w:t>
      </w:r>
    </w:p>
    <w:p>
      <w:pPr>
        <w:pStyle w:val="ListBullet"/>
      </w:pPr>
      <w:r>
        <w:t>The math is dense and references several papers (Perez 1993, Martin &amp; Berdahl 1984, Reindl 1990). Will cite rather than re-derive.</w:t>
      </w:r>
    </w:p>
    <w:p>
      <w:r>
        <w:rPr>
          <w:b/>
          <w:color w:val="1F3B57"/>
          <w:sz w:val="26"/>
        </w:rPr>
        <w:t>3.6 Plan for Week 4</w:t>
      </w:r>
    </w:p>
    <w:p>
      <w:pPr>
        <w:pStyle w:val="ListBullet"/>
      </w:pPr>
      <w:r>
        <w:t>Assemble a small sample dataset and run SOLWEIG end-to-end.</w:t>
      </w:r>
    </w:p>
    <w:p>
      <w:r>
        <w:rPr>
          <w:b/>
          <w:color w:val="102A43"/>
          <w:sz w:val="30"/>
        </w:rPr>
        <w:t>Week 4 — Hands-on Run &amp; Output Interpretation (planned)</w:t>
      </w:r>
    </w:p>
    <w:p>
      <w:r>
        <w:rPr>
          <w:b/>
        </w:rPr>
        <w:t>Theme:</w:t>
      </w:r>
      <w:r>
        <w:t xml:space="preserve"> Run SOLWEIG on real inputs and learn to read the outputs.</w:t>
      </w:r>
    </w:p>
    <w:p>
      <w:r>
        <w:rPr>
          <w:b/>
          <w:color w:val="1F3B57"/>
          <w:sz w:val="26"/>
        </w:rPr>
        <w:t>4.1 Goals</w:t>
      </w:r>
    </w:p>
    <w:p>
      <w:pPr>
        <w:pStyle w:val="ListBullet"/>
      </w:pPr>
      <w:r>
        <w:t>Produce the full input set with UMEP pre-processors and run SOLWEIG.</w:t>
      </w:r>
    </w:p>
    <w:p>
      <w:pPr>
        <w:pStyle w:val="ListBullet"/>
      </w:pPr>
      <w:r>
        <w:t>Interpret the Tmrt map and a POI PET/UTCI time-series.</w:t>
      </w:r>
    </w:p>
    <w:p>
      <w:r>
        <w:rPr>
          <w:b/>
          <w:color w:val="1F3B57"/>
          <w:sz w:val="26"/>
        </w:rPr>
        <w:t>4.2 Planned tasks</w:t>
      </w:r>
    </w:p>
    <w:p>
      <w:pPr>
        <w:pStyle w:val="ListBullet"/>
      </w:pPr>
      <w:r>
        <w:t>Generate inputs: DSM, CDSM, Wall Height/Aspect, SVF (</w:t>
      </w:r>
      <w:r>
        <w:rPr>
          <w:rFonts w:ascii="Consolas" w:hAnsi="Consolas"/>
          <w:sz w:val="20"/>
        </w:rPr>
        <w:t>svfs.zip</w:t>
      </w:r>
      <w:r>
        <w:t>), land cover, met file.</w:t>
      </w:r>
    </w:p>
    <w:p>
      <w:pPr>
        <w:pStyle w:val="ListBullet"/>
      </w:pPr>
      <w:r>
        <w:t>Run a single-timestep case, then a multi-timestep (diurnal) case.</w:t>
      </w:r>
    </w:p>
    <w:p>
      <w:pPr>
        <w:pStyle w:val="ListBullet"/>
      </w:pPr>
      <w:r>
        <w:t xml:space="preserve">Load </w:t>
      </w:r>
      <w:r>
        <w:rPr>
          <w:rFonts w:ascii="Consolas" w:hAnsi="Consolas"/>
          <w:sz w:val="20"/>
        </w:rPr>
        <w:t>Tmrt_average.tif</w:t>
      </w:r>
      <w:r>
        <w:t xml:space="preserve"> (styled via </w:t>
      </w:r>
      <w:r>
        <w:rPr>
          <w:rFonts w:ascii="Consolas" w:hAnsi="Consolas"/>
          <w:sz w:val="20"/>
        </w:rPr>
        <w:t>tmrt.qml</w:t>
      </w:r>
      <w:r>
        <w:t xml:space="preserve">); inspect a </w:t>
      </w:r>
      <w:r>
        <w:rPr>
          <w:rFonts w:ascii="Consolas" w:hAnsi="Consolas"/>
          <w:sz w:val="20"/>
        </w:rPr>
        <w:t>POI_&lt;name&gt;.txt</w:t>
      </w:r>
      <w:r>
        <w:t>.</w:t>
      </w:r>
    </w:p>
    <w:p>
      <w:pPr>
        <w:pStyle w:val="ListBullet"/>
      </w:pPr>
      <w:r>
        <w:t xml:space="preserve">Verify the </w:t>
      </w:r>
      <w:r>
        <w:rPr>
          <w:rFonts w:ascii="Consolas" w:hAnsi="Consolas"/>
          <w:sz w:val="20"/>
        </w:rPr>
        <w:t>RunInfoSOLWEIG_*.txt</w:t>
      </w:r>
      <w:r>
        <w:t xml:space="preserve"> against chosen settings.</w:t>
      </w:r>
    </w:p>
    <w:p>
      <w:r>
        <w:rPr>
          <w:b/>
          <w:color w:val="1F3B57"/>
          <w:sz w:val="26"/>
        </w:rPr>
        <w:t>4.3 Pipeline being exercised</w:t>
      </w:r>
    </w:p>
    <w:p>
      <w:r>
        <w:rPr>
          <w:i/>
          <w:color w:val="606060"/>
          <w:sz w:val="18"/>
        </w:rPr>
        <w:t>Diagram (data/flow):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6F8"/>
          </w:tcPr>
          <w:p>
            <w:r/>
            <w:r>
              <w:rPr>
                <w:rFonts w:ascii="Consolas" w:hAnsi="Consolas"/>
                <w:sz w:val="18"/>
              </w:rPr>
              <w:t>graph LR</w:t>
            </w:r>
          </w:p>
          <w:p>
            <w:r>
              <w:rPr>
                <w:rFonts w:ascii="Consolas" w:hAnsi="Consolas"/>
                <w:sz w:val="18"/>
              </w:rPr>
              <w:t xml:space="preserve">    P1[DSM Generator] --&gt; SVF[SVF Calculator]</w:t>
            </w:r>
          </w:p>
          <w:p>
            <w:r>
              <w:rPr>
                <w:rFonts w:ascii="Consolas" w:hAnsi="Consolas"/>
                <w:sz w:val="18"/>
              </w:rPr>
              <w:t xml:space="preserve">    P1 --&gt; WH[Wall Height &amp; Aspect]</w:t>
            </w:r>
          </w:p>
          <w:p>
            <w:r>
              <w:rPr>
                <w:rFonts w:ascii="Consolas" w:hAnsi="Consolas"/>
                <w:sz w:val="18"/>
              </w:rPr>
              <w:t xml:space="preserve">    LC[Land Cover Reclassifier] --&gt; SOL((SOLWEIG))</w:t>
            </w:r>
          </w:p>
          <w:p>
            <w:r>
              <w:rPr>
                <w:rFonts w:ascii="Consolas" w:hAnsi="Consolas"/>
                <w:sz w:val="18"/>
              </w:rPr>
              <w:t xml:space="preserve">    SVF --&gt; SOL</w:t>
            </w:r>
          </w:p>
          <w:p>
            <w:r>
              <w:rPr>
                <w:rFonts w:ascii="Consolas" w:hAnsi="Consolas"/>
                <w:sz w:val="18"/>
              </w:rPr>
              <w:t xml:space="preserve">    WH --&gt; SOL</w:t>
            </w:r>
          </w:p>
          <w:p>
            <w:r>
              <w:rPr>
                <w:rFonts w:ascii="Consolas" w:hAnsi="Consolas"/>
                <w:sz w:val="18"/>
              </w:rPr>
              <w:t xml:space="preserve">    MET[Met Prepare] --&gt; SOL</w:t>
            </w:r>
          </w:p>
          <w:p>
            <w:r>
              <w:rPr>
                <w:rFonts w:ascii="Consolas" w:hAnsi="Consolas"/>
                <w:sz w:val="18"/>
              </w:rPr>
              <w:t xml:space="preserve">    SOL --&gt; TM[Tmrt maps]</w:t>
            </w:r>
          </w:p>
          <w:p>
            <w:r>
              <w:rPr>
                <w:rFonts w:ascii="Consolas" w:hAnsi="Consolas"/>
                <w:sz w:val="18"/>
              </w:rPr>
              <w:t xml:space="preserve">    SOL --&gt; POI[POI PET/UTCI]</w:t>
            </w:r>
          </w:p>
        </w:tc>
      </w:tr>
    </w:tbl>
    <w:p>
      <w:r>
        <w:rPr>
          <w:b/>
          <w:color w:val="1F3B57"/>
          <w:sz w:val="26"/>
        </w:rPr>
        <w:t>4.4 Expected deliverables</w:t>
      </w:r>
    </w:p>
    <w:p>
      <w:pPr>
        <w:pStyle w:val="ListBullet"/>
      </w:pPr>
      <w:r>
        <w:t>Screenshot of a Tmrt map + a plotted POI Tmrt/PET/UTCI series.</w:t>
      </w:r>
    </w:p>
    <w:p>
      <w:pPr>
        <w:pStyle w:val="ListBullet"/>
      </w:pPr>
      <w:r>
        <w:t>A checklist "how to run SOLWEIG from scratch" (inputs → settings → outputs).</w:t>
      </w:r>
    </w:p>
    <w:p>
      <w:r>
        <w:rPr>
          <w:b/>
          <w:color w:val="1F3B57"/>
          <w:sz w:val="26"/>
        </w:rPr>
        <w:t>4.5 Risks / notes</w:t>
      </w:r>
    </w:p>
    <w:p>
      <w:pPr>
        <w:pStyle w:val="ListBullet"/>
      </w:pPr>
      <w:r>
        <w:t>Input rasters must share identical extent/resolution — most likely source of run failures.</w:t>
      </w:r>
    </w:p>
    <w:p>
      <w:r>
        <w:rPr>
          <w:b/>
          <w:color w:val="1F3B57"/>
          <w:sz w:val="26"/>
        </w:rPr>
        <w:t>4.6 Plan for Week 5</w:t>
      </w:r>
    </w:p>
    <w:p>
      <w:pPr>
        <w:pStyle w:val="ListBullet"/>
      </w:pPr>
      <w:r>
        <w:t>Stand up a minimal QGIS plugin skeleton.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