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Analysis of SOLWEIG v2022a (UMEP QGIS plugin)</w:t>
      </w:r>
    </w:p>
    <w:p>
      <w:r>
        <w:rPr>
          <w:b/>
          <w:sz w:val="24"/>
        </w:rPr>
        <w:t>Weekly Progress Report — Weeks 5 &amp; 6 (QGIS Plugin Development)</w:t>
      </w:r>
    </w:p>
    <w:p>
      <w:r>
        <w:rPr>
          <w:b w:val="0"/>
        </w:rPr>
        <w:t>Student: San  |  QGIS 4.0.3-Norrköping  |  GA Summer 2026</w:t>
      </w:r>
    </w:p>
    <w:p/>
    <w:p>
      <w:r>
        <w:rPr>
          <w:b/>
          <w:color w:val="1F3B57"/>
          <w:sz w:val="30"/>
        </w:rPr>
        <w:t>Week 5 — QGIS Plugin Skeleton (hello world)</w:t>
      </w:r>
    </w:p>
    <w:p>
      <w:r>
        <w:rPr>
          <w:b w:val="0"/>
        </w:rPr>
        <w:t>Goal: Build a loadable QGIS plugin using the same contract as SOLWEIG/UMEP.</w:t>
      </w:r>
    </w:p>
    <w:p>
      <w:pPr>
        <w:pStyle w:val="ListBullet"/>
      </w:pPr>
      <w:r>
        <w:t>Created hello_qgis_plugin with metadata.txt, __init__.py (classFactory), hello_plugin.py (initGui/unload/run).</w:t>
      </w:r>
    </w:p>
    <w:p>
      <w:pPr>
        <w:pStyle w:val="ListBullet"/>
      </w:pPr>
      <w:r>
        <w:t>Plugin appears in Plugins menu; dialog opens; 'Count layers' calls QgsProject API.</w:t>
      </w:r>
    </w:p>
    <w:p>
      <w:pPr>
        <w:pStyle w:val="ListBullet"/>
      </w:pPr>
      <w:r>
        <w:t>Installed to QGIS 4 profile: ...\QGIS\QGIS4\profiles\default\python\plugins\</w:t>
      </w:r>
    </w:p>
    <w:p>
      <w:pPr>
        <w:pStyle w:val="ListBullet"/>
      </w:pPr>
      <w:r>
        <w:t>Lesson: QGIS 3 and QGIS 4 use separate plugin folders — must install to QGIS4 for 4.0.3.</w:t>
      </w:r>
    </w:p>
    <w:p>
      <w:r>
        <w:rPr>
          <w:b/>
          <w:color w:val="1F3B57"/>
          <w:sz w:val="24"/>
        </w:rPr>
        <w:t>Week 5 — Plugin structure</w:t>
      </w:r>
    </w:p>
    <w:p>
      <w:r>
        <w:rPr>
          <w:b w:val="0"/>
        </w:rPr>
        <w:t>hello_qgis_plugin/</w:t>
        <w:br/>
        <w:t xml:space="preserve">  metadata.txt</w:t>
        <w:br/>
        <w:t xml:space="preserve">  __init__.py  → classFactory(iface)</w:t>
        <w:br/>
        <w:t xml:space="preserve">  hello_plugin.py  → HelloPlugin + HelloDialog</w:t>
      </w:r>
    </w:p>
    <w:p>
      <w:r>
        <w:rPr>
          <w:b/>
          <w:color w:val="1F3B57"/>
          <w:sz w:val="24"/>
        </w:rPr>
        <w:t>Week 5 — Screenshots</w:t>
      </w:r>
    </w:p>
    <w:p>
      <w:r>
        <w:drawing>
          <wp:inline xmlns:a="http://schemas.openxmlformats.org/drawingml/2006/main" xmlns:pic="http://schemas.openxmlformats.org/drawingml/2006/picture">
            <wp:extent cx="5303520" cy="4611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lugin_installed_mana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11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Fig 5.1 — Plugin enabled in Manage and Install Plugins</w:t>
      </w:r>
    </w:p>
    <w:p>
      <w:r>
        <w:drawing>
          <wp:inline xmlns:a="http://schemas.openxmlformats.org/drawingml/2006/main" xmlns:pic="http://schemas.openxmlformats.org/drawingml/2006/picture">
            <wp:extent cx="5303520" cy="2952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lugins_menu_hello_qg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Fig 5.2 — Plugins → Hello QGIS menu entry</w:t>
      </w:r>
    </w:p>
    <w:p>
      <w:r>
        <w:drawing>
          <wp:inline xmlns:a="http://schemas.openxmlformats.org/drawingml/2006/main" xmlns:pic="http://schemas.openxmlformats.org/drawingml/2006/picture">
            <wp:extent cx="5303520" cy="318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log_count_layers_wor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Fig 5.3 — Dialog on Solweig_latest project; layer count = 21</w:t>
      </w:r>
    </w:p>
    <w:p>
      <w:r>
        <w:drawing>
          <wp:inline xmlns:a="http://schemas.openxmlformats.org/drawingml/2006/main" xmlns:pic="http://schemas.openxmlformats.org/drawingml/2006/picture">
            <wp:extent cx="5303520" cy="2373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ello_dialog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Fig 5.4 — Main Hello QGIS dialog</w:t>
      </w:r>
    </w:p>
    <w:p>
      <w:r>
        <w:br w:type="page"/>
      </w:r>
    </w:p>
    <w:p>
      <w:r>
        <w:rPr>
          <w:b/>
          <w:color w:val="1F3B57"/>
          <w:sz w:val="30"/>
        </w:rPr>
        <w:t>Week 6 — Input Handling, UI &amp; Layer Selection</w:t>
      </w:r>
    </w:p>
    <w:p>
      <w:r>
        <w:rPr>
          <w:b w:val="0"/>
        </w:rPr>
        <w:t>Goal: Extend the plugin to read GIS inputs the way SOLWEIG does — layer pickers, GDAL → NumPy, validation, parameters.</w:t>
      </w:r>
    </w:p>
    <w:p>
      <w:r>
        <w:rPr>
          <w:b w:val="0"/>
        </w:rPr>
        <w:t>Plugin version: 0.2</w:t>
      </w:r>
    </w:p>
    <w:p>
      <w:r>
        <w:rPr>
          <w:b/>
          <w:color w:val="1F3B57"/>
          <w:sz w:val="24"/>
        </w:rPr>
        <w:t>Week 6 — Tasks completed</w:t>
      </w:r>
    </w:p>
    <w:p>
      <w:pPr>
        <w:pStyle w:val="ListBullet"/>
      </w:pPr>
      <w:r>
        <w:t>QgsMapLayerComboBox: primary raster, second raster (match check), point layer (POI).</w:t>
      </w:r>
    </w:p>
    <w:p>
      <w:pPr>
        <w:pStyle w:val="ListBullet"/>
      </w:pPr>
      <w:r>
        <w:t>read_raster_summary(): GDAL ReadAsArray, GetGeoTransform → scale, NoData handling, lat/lon via osr.</w:t>
      </w:r>
    </w:p>
    <w:p>
      <w:pPr>
        <w:pStyle w:val="ListBullet"/>
      </w:pPr>
      <w:r>
        <w:t>rasters_match(): shape + pixel-size validation (same rule as SOLWEIG).</w:t>
      </w:r>
    </w:p>
    <w:p>
      <w:pPr>
        <w:pStyle w:val="ListBullet"/>
      </w:pPr>
      <w:r>
        <w:t>Parameter spinboxes: absK=0.70, absL=0.95, albedo=0.20.</w:t>
      </w:r>
    </w:p>
    <w:p>
      <w:pPr>
        <w:pStyle w:val="ListBullet"/>
      </w:pPr>
      <w:r>
        <w:t>Summary panel + success/error dialogs.</w:t>
      </w:r>
    </w:p>
    <w:p>
      <w:r>
        <w:rPr>
          <w:b/>
          <w:color w:val="1F3B57"/>
          <w:sz w:val="24"/>
        </w:rPr>
        <w:t>Week 6 — Test run (Solweig_latest)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raster</w:t>
            </w:r>
          </w:p>
        </w:tc>
        <w:tc>
          <w:tcPr>
            <w:tcW w:type="dxa" w:w="4320"/>
          </w:tcPr>
          <w:p>
            <w:r>
              <w:t>buildings</w:t>
            </w:r>
          </w:p>
        </w:tc>
      </w:tr>
      <w:tr>
        <w:tc>
          <w:tcPr>
            <w:tcW w:type="dxa" w:w="4320"/>
          </w:tcPr>
          <w:p>
            <w:r>
              <w:t>Shape</w:t>
            </w:r>
          </w:p>
        </w:tc>
        <w:tc>
          <w:tcPr>
            <w:tcW w:type="dxa" w:w="4320"/>
          </w:tcPr>
          <w:p>
            <w:r>
              <w:t>1346 rows × 1445 cols</w:t>
            </w:r>
          </w:p>
        </w:tc>
      </w:tr>
      <w:tr>
        <w:tc>
          <w:tcPr>
            <w:tcW w:type="dxa" w:w="4320"/>
          </w:tcPr>
          <w:p>
            <w:r>
              <w:t>Pixel size / scale</w:t>
            </w:r>
          </w:p>
        </w:tc>
        <w:tc>
          <w:tcPr>
            <w:tcW w:type="dxa" w:w="4320"/>
          </w:tcPr>
          <w:p>
            <w:r>
              <w:t>1.0000 m / 1.0000</w:t>
            </w:r>
          </w:p>
        </w:tc>
      </w:tr>
      <w:tr>
        <w:tc>
          <w:tcPr>
            <w:tcW w:type="dxa" w:w="4320"/>
          </w:tcPr>
          <w:p>
            <w:r>
              <w:t>CRS</w:t>
            </w:r>
          </w:p>
        </w:tc>
        <w:tc>
          <w:tcPr>
            <w:tcW w:type="dxa" w:w="4320"/>
          </w:tcPr>
          <w:p>
            <w:r>
              <w:t>EPSG:26914</w:t>
            </w:r>
          </w:p>
        </w:tc>
      </w:tr>
      <w:tr>
        <w:tc>
          <w:tcPr>
            <w:tcW w:type="dxa" w:w="4320"/>
          </w:tcPr>
          <w:p>
            <w:r>
              <w:t>Corner lat/lon</w:t>
            </w:r>
          </w:p>
        </w:tc>
        <w:tc>
          <w:tcPr>
            <w:tcW w:type="dxa" w:w="4320"/>
          </w:tcPr>
          <w:p>
            <w:r>
              <w:t>27.70661, -97.33157 (WGS84)</w:t>
            </w:r>
          </w:p>
        </w:tc>
      </w:tr>
      <w:tr>
        <w:tc>
          <w:tcPr>
            <w:tcW w:type="dxa" w:w="4320"/>
          </w:tcPr>
          <w:p>
            <w:r>
              <w:t>Match check</w:t>
            </w:r>
          </w:p>
        </w:tc>
        <w:tc>
          <w:tcPr>
            <w:tcW w:type="dxa" w:w="4320"/>
          </w:tcPr>
          <w:p>
            <w:r>
              <w:t>Extent and resolution match</w:t>
            </w:r>
          </w:p>
        </w:tc>
      </w:tr>
      <w:tr>
        <w:tc>
          <w:tcPr>
            <w:tcW w:type="dxa" w:w="4320"/>
          </w:tcPr>
          <w:p>
            <w:r>
              <w:t>Point layer</w:t>
            </w:r>
          </w:p>
        </w:tc>
        <w:tc>
          <w:tcPr>
            <w:tcW w:type="dxa" w:w="4320"/>
          </w:tcPr>
          <w:p>
            <w:r>
              <w:t>solweig_tmrt_points (10 features)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absK=0.70, absL=0.95, albedo_w=0.20</w:t>
            </w:r>
          </w:p>
        </w:tc>
      </w:tr>
    </w:tbl>
    <w:p/>
    <w:p>
      <w:r>
        <w:rPr>
          <w:b/>
          <w:color w:val="1F3B57"/>
          <w:sz w:val="24"/>
        </w:rPr>
        <w:t>Week 6 — Screenshots</w:t>
      </w:r>
    </w:p>
    <w:p>
      <w:r>
        <w:drawing>
          <wp:inline xmlns:a="http://schemas.openxmlformats.org/drawingml/2006/main" xmlns:pic="http://schemas.openxmlformats.org/drawingml/2006/picture">
            <wp:extent cx="5303520" cy="70741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alog_read_validate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4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Fig 6.1 — Read &amp; validate: full summary panel with raster metadata</w:t>
      </w:r>
    </w:p>
    <w:p>
      <w:r>
        <w:drawing>
          <wp:inline xmlns:a="http://schemas.openxmlformats.org/drawingml/2006/main" xmlns:pic="http://schemas.openxmlformats.org/drawingml/2006/picture">
            <wp:extent cx="5303520" cy="29043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ccess_raster_load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4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Fig 6.2 — Success: primary raster loaded (1346 × 1445)</w:t>
      </w:r>
    </w:p>
    <w:p>
      <w:r>
        <w:rPr>
          <w:b/>
          <w:color w:val="1F3B57"/>
          <w:sz w:val="24"/>
        </w:rPr>
        <w:t>Week 6 — Mapping to SOLWEIG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SOLWEIG</w:t>
            </w:r>
          </w:p>
        </w:tc>
        <w:tc>
          <w:tcPr>
            <w:tcW w:type="dxa" w:w="4320"/>
          </w:tcPr>
          <w:p>
            <w:r>
              <w:t>Our plugin (Week 6)</w:t>
            </w:r>
          </w:p>
        </w:tc>
      </w:tr>
      <w:tr>
        <w:tc>
          <w:tcPr>
            <w:tcW w:type="dxa" w:w="4320"/>
          </w:tcPr>
          <w:p>
            <w:r>
              <w:t>QgsMapLayerComboBox for DSM, DEM, walls…</w:t>
            </w:r>
          </w:p>
        </w:tc>
        <w:tc>
          <w:tcPr>
            <w:tcW w:type="dxa" w:w="4320"/>
          </w:tcPr>
          <w:p>
            <w:r>
              <w:t>2 raster + 1 point combo</w:t>
            </w:r>
          </w:p>
        </w:tc>
      </w:tr>
      <w:tr>
        <w:tc>
          <w:tcPr>
            <w:tcW w:type="dxa" w:w="4320"/>
          </w:tcPr>
          <w:p>
            <w:r>
              <w:t>gdal.Open + ReadAsArray in start_progress</w:t>
            </w:r>
          </w:p>
        </w:tc>
        <w:tc>
          <w:tcPr>
            <w:tcW w:type="dxa" w:w="4320"/>
          </w:tcPr>
          <w:p>
            <w:r>
              <w:t>read_raster_summary()</w:t>
            </w:r>
          </w:p>
        </w:tc>
      </w:tr>
      <w:tr>
        <w:tc>
          <w:tcPr>
            <w:tcW w:type="dxa" w:w="4320"/>
          </w:tcPr>
          <w:p>
            <w:r>
              <w:t>Extent/resolution abort on mismatch</w:t>
            </w:r>
          </w:p>
        </w:tc>
        <w:tc>
          <w:tcPr>
            <w:tcW w:type="dxa" w:w="4320"/>
          </w:tcPr>
          <w:p>
            <w:r>
              <w:t>rasters_match() + warning</w:t>
            </w:r>
          </w:p>
        </w:tc>
      </w:tr>
      <w:tr>
        <w:tc>
          <w:tcPr>
            <w:tcW w:type="dxa" w:w="4320"/>
          </w:tcPr>
          <w:p>
            <w:r>
              <w:t>Parameters in .ui file</w:t>
            </w:r>
          </w:p>
        </w:tc>
        <w:tc>
          <w:tcPr>
            <w:tcW w:type="dxa" w:w="4320"/>
          </w:tcPr>
          <w:p>
            <w:r>
              <w:t>Spinboxes in dialog (defaults from SOLWEIG)</w:t>
            </w:r>
          </w:p>
        </w:tc>
      </w:tr>
    </w:tbl>
    <w:p/>
    <w:p>
      <w:r>
        <w:rPr>
          <w:b/>
        </w:rPr>
        <w:t>Next (Week 7): QThread worker + progress bar + write output GeoTIFF.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