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House Price Prediction — Summary of Findings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Internship Project, Week 1  |  Dataset: Kaggle Housing Prices Dataset (545 properties)</w:t>
      </w:r>
    </w:p>
    <w:p>
      <w:pPr>
        <w:pStyle w:val="Heading2"/>
      </w:pPr>
      <w:r>
        <w:t xml:space="preserve">Approach</w:t>
      </w:r>
    </w:p>
    <w:p>
      <w:pPr>
        <w:spacing w:after="160"/>
      </w:pPr>
      <w:r>
        <w:rPr>
          <w:sz w:val="21"/>
          <w:szCs w:val="21"/>
        </w:rPr>
        <w:t xml:space="preserve">The dataset contains 545 houses described by area, bedrooms, bathrooms, stories, parking, and several yes/no amenities (air conditioning, hot water heating, preferred area, etc.), plus a furnishing status. After confirming there were no missing values or duplicate rows, all yes/no fields were converted to 0/1 and furnishing status was one-hot encoded. The data was split 80/20 into training and test sets, and two regression models were trained: Linear Regression and Random Forest.</w:t>
      </w:r>
    </w:p>
    <w:p>
      <w:pPr>
        <w:pStyle w:val="Heading2"/>
      </w:pPr>
      <w:r>
        <w:t xml:space="preserve">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₹970,043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₹1,324,507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₹1,014,947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₹1,399,769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0.612</w:t>
            </w:r>
          </w:p>
        </w:tc>
      </w:tr>
    </w:tbl>
    <w:p>
      <w:pPr>
        <w:spacing w:after="160" w:before="160"/>
      </w:pPr>
      <w:r>
        <w:rPr>
          <w:i/>
          <w:iCs/>
          <w:sz w:val="21"/>
          <w:szCs w:val="21"/>
        </w:rPr>
        <w:t xml:space="preserve">Linear Regression performed slightly better than Random Forest on this dataset — a reminder that more complex models don't automatically win, especially on a dataset of this size (545 rows).</w:t>
      </w:r>
    </w:p>
    <w:p>
      <w:pPr>
        <w:pStyle w:val="Heading2"/>
      </w:pPr>
      <w:r>
        <w:t xml:space="preserve">Key Insights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Strongest price drivers: </w:t>
      </w:r>
      <w:r>
        <w:rPr>
          <w:sz w:val="21"/>
          <w:szCs w:val="21"/>
        </w:rPr>
        <w:t xml:space="preserve">Area is by far the most influential feature, followed by number of bathrooms, air conditioning, and number of stories.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Model accuracy: </w:t>
      </w:r>
      <w:r>
        <w:rPr>
          <w:sz w:val="21"/>
          <w:szCs w:val="21"/>
        </w:rPr>
        <w:t xml:space="preserve">The model explains about 65% of price variation (R² ≈ 0.65), with an average error of roughly ₹9.7 lakh — good for ballpark estimates, not precise valuations.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Surprise finding: </w:t>
      </w:r>
      <w:r>
        <w:rPr>
          <w:sz w:val="21"/>
          <w:szCs w:val="21"/>
        </w:rPr>
        <w:t xml:space="preserve">Bedroom count mattered less than expected; bathrooms and air conditioning had a stronger relationship with price.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recommendation: </w:t>
      </w:r>
      <w:r>
        <w:rPr>
          <w:sz w:val="21"/>
          <w:szCs w:val="21"/>
        </w:rPr>
        <w:t xml:space="preserve">Real estate businesses should price and market listings around livable area and bathroom count, and highlight amenities like air conditioning and preferred-area location as value-adding upgrades.</w:t>
      </w:r>
    </w:p>
    <w:p>
      <w:r>
        <w:br w:type="page"/>
      </w:r>
    </w:p>
    <w:p>
      <w:pPr>
        <w:pStyle w:val="Heading2"/>
      </w:pPr>
      <w:r>
        <w:t xml:space="preserve">Chart 1: Distribution of House Prices</w:t>
      </w:r>
    </w:p>
    <w:p>
      <w:pPr>
        <w:jc w:val="center"/>
      </w:pPr>
      <w:r>
        <w:drawing>
          <wp:inline distT="0" distB="0" distL="0" distR="0">
            <wp:extent cx="4381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60"/>
      </w:pPr>
      <w:r>
        <w:t xml:space="preserve">Chart 2: Correlation Heatmap</w:t>
      </w:r>
    </w:p>
    <w:p>
      <w:pPr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Chart 3: Actual vs Predicted Price (Random Forest)</w:t>
      </w:r>
    </w:p>
    <w:p>
      <w:pPr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6407c230608d32187a8c9d3b5f0c51918e10d2.png"/><Relationship Id="rId8" Type="http://schemas.openxmlformats.org/officeDocument/2006/relationships/image" Target="media/c5fc41f7a2f4cc178fd02a805755db3b05fdf0cc.png"/><Relationship Id="rId9" Type="http://schemas.openxmlformats.org/officeDocument/2006/relationships/image" Target="media/b2c152f55e777068c690ae097a9762116c2282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2026-06-21T10:41:47.741Z</dcterms:created>
  <dcterms:modified xsi:type="dcterms:W3CDTF">2026-06-21T10:41:47.741Z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