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60"/>
        <w:jc w:val="center"/>
      </w:pPr>
      <w:r>
        <w:t xml:space="preserve">APCRDA TDR Portal</w:t>
      </w:r>
    </w:p>
    <w:p>
      <w:pPr>
        <w:spacing w:after="400"/>
        <w:jc w:val="center"/>
      </w:pPr>
      <w:r>
        <w:t xml:space="preserve">System Specification, Architecture &amp; Deployment Guide</w:t>
      </w:r>
    </w:p>
    <w:p>
      <w:pPr>
        <w:pStyle w:val="Heading1"/>
        <w:spacing w:after="120" w:before="200"/>
      </w:pPr>
      <w:r>
        <w:t xml:space="preserve">1. System Architecture</w:t>
      </w:r>
    </w:p>
    <w:p>
      <w:pPr>
        <w:spacing w:after="150"/>
      </w:pPr>
      <w:r>
        <w:rPr>
          <w:i/>
          <w:iCs/>
        </w:rPr>
        <w:t xml:space="preserve">The APCRDA Transferable Development Rights (TDR) portal leverages a highly secure Next.js architecture integrated with Cerbos for dynamic attribute-based access control, Supabase for user authentication, and Hyperledger Fabric blockchain for state auditable registry consensus.</w:t>
      </w:r>
    </w:p>
    <w:p>
      <w:pPr>
        <w:spacing w:after="300"/>
        <w:jc w:val="center"/>
      </w:pPr>
      <w:r>
        <w:drawing>
          <wp:inline distT="0" distB="0" distL="0" distR="0">
            <wp:extent cx="5524500" cy="3619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spacing w:after="120" w:before="200"/>
      </w:pPr>
      <w:r>
        <w:t xml:space="preserve">2. Infrastructure &amp; Deployment Topology</w:t>
      </w:r>
    </w:p>
    <w:p>
      <w:pPr>
        <w:spacing w:after="150"/>
      </w:pPr>
      <w:r>
        <w:rPr>
          <w:i/>
          <w:iCs/>
        </w:rPr>
        <w:t xml:space="preserve">To secure internal resources, Nginx serves as a reverse proxy performing SSL/TLS termination on ports 80/443. Core services (Next.js Application, PostgreSQL 16 DB, and Cerbos Policy Engine) are hosted on an internal Docker bridge network, restricting PostgreSQL database exposure to external traffic.</w:t>
      </w:r>
    </w:p>
    <w:p>
      <w:pPr>
        <w:spacing w:after="300"/>
        <w:jc w:val="center"/>
      </w:pPr>
      <w:r>
        <w:drawing>
          <wp:inline distT="0" distB="0" distL="0" distR="0">
            <wp:extent cx="5524500" cy="3048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spacing w:after="120" w:before="200"/>
      </w:pPr>
      <w:r>
        <w:t xml:space="preserve">3. Approval Workflow State Machine</w:t>
      </w:r>
    </w:p>
    <w:p>
      <w:pPr>
        <w:spacing w:after="150"/>
      </w:pPr>
      <w:r>
        <w:rPr>
          <w:i/>
          <w:iCs/>
        </w:rPr>
        <w:t xml:space="preserve">TDR applications are processed through a sequential 4-level official pipeline. The workflow enforces district-aware roles, cryptographic signature generation (HMAC), and registers immutable logs at each stage in the PostgreSQL database and Hyperledger Fabric ledger.</w:t>
      </w:r>
    </w:p>
    <w:p>
      <w:pPr>
        <w:spacing w:after="300"/>
        <w:jc w:val="center"/>
      </w:pPr>
      <w:r>
        <w:drawing>
          <wp:inline distT="0" distB="0" distL="0" distR="0">
            <wp:extent cx="5524500" cy="4572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45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spacing w:after="120" w:before="200"/>
      </w:pPr>
      <w:r>
        <w:t xml:space="preserve">4. Database ERD Schema</w:t>
      </w:r>
    </w:p>
    <w:p>
      <w:pPr>
        <w:spacing w:after="150"/>
      </w:pPr>
      <w:r>
        <w:rPr>
          <w:i/>
          <w:iCs/>
        </w:rPr>
        <w:t xml:space="preserve">The database is mapped via Prisma ORM to a relational PostgreSQL database. Relational schemas map relationships between TdrBonds, BondHolders, BondLandDetails, BondDocuments, ApprovalSteps, Officials, Farmers, and AuditLogs.</w:t>
      </w:r>
    </w:p>
    <w:p>
      <w:pPr>
        <w:spacing w:after="300"/>
        <w:jc w:val="center"/>
      </w:pPr>
      <w:r>
        <w:drawing>
          <wp:inline distT="0" distB="0" distL="0" distR="0">
            <wp:extent cx="5524500" cy="4572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45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spacing w:after="120" w:before="200"/>
      </w:pPr>
      <w:r>
        <w:t xml:space="preserve">5. Host &amp; Deployment System Requirements</w:t>
      </w:r>
    </w:p>
    <w:p>
      <w:pPr>
        <w:pStyle w:val="Heading2"/>
        <w:spacing w:after="80" w:before="120"/>
      </w:pPr>
      <w:r>
        <w:t xml:space="preserve">A. Minimum Virtual Machine (VM) Specifications</w:t>
      </w:r>
    </w:p>
    <w:p>
      <w:pPr>
        <w:pStyle w:val="ListParagraph"/>
        <w:numPr>
          <w:ilvl w:val="0"/>
          <w:numId w:val="1"/>
        </w:numPr>
      </w:pPr>
      <w:r>
        <w:t xml:space="preserve">• Operating System: Ubuntu 22.04 LTS / Debian 12 recommended.</w:t>
      </w:r>
    </w:p>
    <w:p>
      <w:pPr>
        <w:pStyle w:val="ListParagraph"/>
        <w:numPr>
          <w:ilvl w:val="0"/>
          <w:numId w:val="1"/>
        </w:numPr>
      </w:pPr>
      <w:r>
        <w:t xml:space="preserve">• Processor: 2 Cores minimum (4 Cores recommended for production load).</w:t>
      </w:r>
    </w:p>
    <w:p>
      <w:pPr>
        <w:pStyle w:val="ListParagraph"/>
        <w:numPr>
          <w:ilvl w:val="0"/>
          <w:numId w:val="1"/>
        </w:numPr>
      </w:pPr>
      <w:r>
        <w:t xml:space="preserve">• Memory: 4 GB RAM minimum (8 GB recommended when running local Fabric container nodes).</w:t>
      </w:r>
    </w:p>
    <w:p>
      <w:pPr>
        <w:pStyle w:val="ListParagraph"/>
        <w:numPr>
          <w:ilvl w:val="0"/>
          <w:numId w:val="1"/>
        </w:numPr>
      </w:pPr>
      <w:r>
        <w:t xml:space="preserve">• Storage: 40 GB SSD (Expandable based on TDR application attachments and PDF file volumes).</w:t>
      </w:r>
    </w:p>
    <w:p>
      <w:pPr>
        <w:pStyle w:val="ListParagraph"/>
        <w:numPr>
          <w:ilvl w:val="0"/>
          <w:numId w:val="1"/>
        </w:numPr>
      </w:pPr>
      <w:r>
        <w:t xml:space="preserve">• Networks: Ports 80 (HTTP) and 443 (HTTPS) must be open in firewall security groups.</w:t>
      </w:r>
    </w:p>
    <w:p>
      <w:pPr>
        <w:pStyle w:val="Heading2"/>
        <w:spacing w:after="80" w:before="120"/>
      </w:pPr>
      <w:r>
        <w:t xml:space="preserve">B. External Integrations</w:t>
      </w:r>
    </w:p>
    <w:p>
      <w:pPr>
        <w:pStyle w:val="ListParagraph"/>
        <w:numPr>
          <w:ilvl w:val="0"/>
          <w:numId w:val="1"/>
        </w:numPr>
      </w:pPr>
      <w:r>
        <w:t xml:space="preserve">• Supabase Cloud Services: An active project endpoint configured for User Auth (JWT API) and Object storage buckets for documents.</w:t>
      </w:r>
    </w:p>
    <w:p>
      <w:pPr>
        <w:pStyle w:val="ListParagraph"/>
        <w:numPr>
          <w:ilvl w:val="0"/>
          <w:numId w:val="1"/>
        </w:numPr>
      </w:pPr>
      <w:r>
        <w:t xml:space="preserve">• Hyperledger Fabric Network: Node SDK connectivity configuration to peer node and Raft consensus ordering cluster.</w:t>
      </w:r>
    </w:p>
    <w:p>
      <w:pPr>
        <w:pStyle w:val="ListParagraph"/>
        <w:numPr>
          <w:ilvl w:val="0"/>
          <w:numId w:val="1"/>
        </w:numPr>
      </w:pPr>
      <w:r>
        <w:t xml:space="preserve">• IPFS Gateway: A node provider integration (e.g. Pinata or local IPFS cluster) to pin TDR certificate storage PDFs.</w:t>
      </w:r>
    </w:p>
    <w:p>
      <w:pPr>
        <w:pStyle w:val="Heading2"/>
        <w:spacing w:after="80" w:before="120"/>
      </w:pPr>
      <w:r>
        <w:t xml:space="preserve">C. Installation &amp; Launch Steps</w:t>
      </w:r>
    </w:p>
    <w:p>
      <w:pPr>
        <w:pStyle w:val="ListParagraph"/>
        <w:numPr>
          <w:ilvl w:val="0"/>
          <w:numId w:val="1"/>
        </w:numPr>
      </w:pPr>
      <w:r>
        <w:t xml:space="preserve">1. Clone repository to server: git clone https://github.com/sainath-666/TDR-Repo.git</w:t>
      </w:r>
    </w:p>
    <w:p>
      <w:pPr>
        <w:pStyle w:val="ListParagraph"/>
        <w:numPr>
          <w:ilvl w:val="0"/>
          <w:numId w:val="1"/>
        </w:numPr>
      </w:pPr>
      <w:r>
        <w:t xml:space="preserve">2. Setup and modify the environment configurations: nano .env.production</w:t>
      </w:r>
    </w:p>
    <w:p>
      <w:pPr>
        <w:pStyle w:val="ListParagraph"/>
        <w:numPr>
          <w:ilvl w:val="0"/>
          <w:numId w:val="1"/>
        </w:numPr>
      </w:pPr>
      <w:r>
        <w:t xml:space="preserve">3. Expose Nginx SSL/TLS key files to deploy/nginx/ssl/tdr.crt and tdr.key</w:t>
      </w:r>
    </w:p>
    <w:p>
      <w:pPr>
        <w:pStyle w:val="ListParagraph"/>
        <w:numPr>
          <w:ilvl w:val="0"/>
          <w:numId w:val="1"/>
        </w:numPr>
      </w:pPr>
      <w:r>
        <w:t xml:space="preserve">4. Start compilation and launch containers: npm run deploy</w:t>
      </w:r>
    </w:p>
    <w:p>
      <w:pPr>
        <w:pStyle w:val="ListParagraph"/>
        <w:numPr>
          <w:ilvl w:val="0"/>
          <w:numId w:val="1"/>
        </w:numPr>
      </w:pPr>
      <w:r>
        <w:t xml:space="preserve">5. Sync auth schemas and verify api: npm run auth:sync &amp;&amp; curl http://localhost/api/health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aa71dfc26862c9032e1e982b08fb46ec412f674e.undefined"/><Relationship Id="rId8" Type="http://schemas.openxmlformats.org/officeDocument/2006/relationships/image" Target="media/c1c89f0f588a9c16d8c08ee5f26be32a3365000f.undefined"/><Relationship Id="rId9" Type="http://schemas.openxmlformats.org/officeDocument/2006/relationships/image" Target="media/0559865b375c280efc8dee794caf64d7dd2ce1d0.undefined"/><Relationship Id="rId10" Type="http://schemas.openxmlformats.org/officeDocument/2006/relationships/image" Target="media/6e456b175006ed325174d74187beb97be76fa618.undefined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2026-07-07T06:55:33.179Z</dcterms:created>
  <dcterms:modified xsi:type="dcterms:W3CDTF">2026-07-07T06:55:33.179Z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