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Demand Scorecards – Design Document (v1)</w:t>
      </w:r>
    </w:p>
    <w:p>
      <w:r>
        <w:rPr>
          <w:b/>
        </w:rPr>
        <w:t>1. Objective</w:t>
      </w:r>
    </w:p>
    <w:p>
      <w:r>
        <w:t>AI Demand Scorecards are lightweight executive reports that measure how brands are represented across AI assistants (ChatGPT, Gemini, etc.). The solution reuses Gravton’s AI measurement pipeline to provide fast, low-cost reports for sales, strategy, and executive discussions without requiring customers to onboard to the full platform.</w:t>
      </w:r>
    </w:p>
    <w:p>
      <w:r>
        <w:rPr>
          <w:b/>
        </w:rPr>
        <w:t>2. Goals</w:t>
      </w:r>
    </w:p>
    <w:p>
      <w:r>
        <w:t>• Deliver executive-ready AI visibility reports.</w:t>
        <w:br/>
        <w:t>• Support sales, account planning, and market analysis.</w:t>
        <w:br/>
        <w:t>• Reuse existing Gravton infrastructure.</w:t>
        <w:br/>
        <w:t>• Minimize cost and turnaround time.</w:t>
        <w:br/>
        <w:t>• Provide scalable report generation.</w:t>
      </w:r>
    </w:p>
    <w:p>
      <w:r>
        <w:rPr>
          <w:b/>
        </w:rPr>
        <w:t>3. Report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47"/>
        <w:gridCol w:w="3547"/>
        <w:gridCol w:w="3547"/>
      </w:tblGrid>
      <w:tr>
        <w:tc>
          <w:tcPr>
            <w:tcW w:type="dxa" w:w="3547"/>
          </w:tcPr>
          <w:p>
            <w:r>
              <w:t>Feature</w:t>
            </w:r>
          </w:p>
        </w:tc>
        <w:tc>
          <w:tcPr>
            <w:tcW w:type="dxa" w:w="3547"/>
          </w:tcPr>
          <w:p>
            <w:r>
              <w:t>Company Scorecard</w:t>
            </w:r>
          </w:p>
        </w:tc>
        <w:tc>
          <w:tcPr>
            <w:tcW w:type="dxa" w:w="3547"/>
          </w:tcPr>
          <w:p>
            <w:r>
              <w:t>Industry Benchmark</w:t>
            </w:r>
          </w:p>
        </w:tc>
      </w:tr>
      <w:tr>
        <w:tc>
          <w:tcPr>
            <w:tcW w:type="dxa" w:w="3547"/>
          </w:tcPr>
          <w:p>
            <w:r>
              <w:t>Purpose</w:t>
            </w:r>
          </w:p>
        </w:tc>
        <w:tc>
          <w:tcPr>
            <w:tcW w:type="dxa" w:w="3547"/>
          </w:tcPr>
          <w:p>
            <w:r>
              <w:t>Evaluate one brand vs competitors</w:t>
            </w:r>
          </w:p>
        </w:tc>
        <w:tc>
          <w:tcPr>
            <w:tcW w:type="dxa" w:w="3547"/>
          </w:tcPr>
          <w:p>
            <w:r>
              <w:t>Analyze AI demand across an industry</w:t>
            </w:r>
          </w:p>
        </w:tc>
      </w:tr>
      <w:tr>
        <w:tc>
          <w:tcPr>
            <w:tcW w:type="dxa" w:w="3547"/>
          </w:tcPr>
          <w:p>
            <w:r>
              <w:t>Audience</w:t>
            </w:r>
          </w:p>
        </w:tc>
        <w:tc>
          <w:tcPr>
            <w:tcW w:type="dxa" w:w="3547"/>
          </w:tcPr>
          <w:p>
            <w:r>
              <w:t>Sales &amp; Customers</w:t>
            </w:r>
          </w:p>
        </w:tc>
        <w:tc>
          <w:tcPr>
            <w:tcW w:type="dxa" w:w="3547"/>
          </w:tcPr>
          <w:p>
            <w:r>
              <w:t>Strategy &amp; Investors</w:t>
            </w:r>
          </w:p>
        </w:tc>
      </w:tr>
      <w:tr>
        <w:tc>
          <w:tcPr>
            <w:tcW w:type="dxa" w:w="3547"/>
          </w:tcPr>
          <w:p>
            <w:r>
              <w:t>Prompts</w:t>
            </w:r>
          </w:p>
        </w:tc>
        <w:tc>
          <w:tcPr>
            <w:tcW w:type="dxa" w:w="3547"/>
          </w:tcPr>
          <w:p>
            <w:r>
              <w:t>25</w:t>
            </w:r>
          </w:p>
        </w:tc>
        <w:tc>
          <w:tcPr>
            <w:tcW w:type="dxa" w:w="3547"/>
          </w:tcPr>
          <w:p>
            <w:r>
              <w:t>100</w:t>
            </w:r>
          </w:p>
        </w:tc>
      </w:tr>
      <w:tr>
        <w:tc>
          <w:tcPr>
            <w:tcW w:type="dxa" w:w="3547"/>
          </w:tcPr>
          <w:p>
            <w:r>
              <w:t>Outputs</w:t>
            </w:r>
          </w:p>
        </w:tc>
        <w:tc>
          <w:tcPr>
            <w:tcW w:type="dxa" w:w="3547"/>
          </w:tcPr>
          <w:p>
            <w:r>
              <w:t>AI Consideration, SOV, AI Readiness, Financial Impact</w:t>
            </w:r>
          </w:p>
        </w:tc>
        <w:tc>
          <w:tcPr>
            <w:tcW w:type="dxa" w:w="3547"/>
          </w:tcPr>
          <w:p>
            <w:r>
              <w:t>Claimed/Unclaimed Demand, Opportunity Pools, Heatmap</w:t>
            </w:r>
          </w:p>
        </w:tc>
      </w:tr>
      <w:tr>
        <w:tc>
          <w:tcPr>
            <w:tcW w:type="dxa" w:w="3547"/>
          </w:tcPr>
          <w:p>
            <w:r>
              <w:t>Turnaround</w:t>
            </w:r>
          </w:p>
        </w:tc>
        <w:tc>
          <w:tcPr>
            <w:tcW w:type="dxa" w:w="3547"/>
          </w:tcPr>
          <w:p>
            <w:r>
              <w:t>4–8 Hours</w:t>
            </w:r>
          </w:p>
        </w:tc>
        <w:tc>
          <w:tcPr>
            <w:tcW w:type="dxa" w:w="3547"/>
          </w:tcPr>
          <w:p>
            <w:r>
              <w:t>1–2 Business Days</w:t>
            </w:r>
          </w:p>
        </w:tc>
      </w:tr>
    </w:tbl>
    <w:p>
      <w:r>
        <w:rPr>
          <w:b/>
        </w:rPr>
        <w:t>4. High-Level Architecture</w:t>
      </w:r>
    </w:p>
    <w:p>
      <w:r>
        <w:t>Inputs</w:t>
        <w:br/>
        <w:t xml:space="preserve">   ↓</w:t>
        <w:br/>
        <w:t>Scope &amp; Configuration</w:t>
        <w:br/>
        <w:t xml:space="preserve">   ↓</w:t>
        <w:br/>
        <w:t>Topic &amp; Competitor Setup</w:t>
        <w:br/>
        <w:t xml:space="preserve">   ↓</w:t>
        <w:br/>
        <w:t>Prompt Generation</w:t>
        <w:br/>
        <w:t xml:space="preserve">   ↓</w:t>
        <w:br/>
        <w:t>AI Measurement (ChatGPT + Gemini)</w:t>
        <w:br/>
        <w:t xml:space="preserve">   ↓</w:t>
        <w:br/>
        <w:t>Metrics Aggregation</w:t>
        <w:br/>
        <w:t xml:space="preserve">   ↓</w:t>
        <w:br/>
        <w:t>HTML Report Generation</w:t>
        <w:br/>
        <w:t xml:space="preserve">   ↓</w:t>
        <w:br/>
        <w:t>QA &amp; Delivery</w:t>
      </w:r>
    </w:p>
    <w:p>
      <w:r>
        <w:rPr>
          <w:b/>
        </w:rPr>
        <w:t>5. Processing Workflow</w:t>
      </w:r>
    </w:p>
    <w:p>
      <w:r>
        <w:t>Stage 1 – Scope: Collect geography, company/industry, competitors, and commercial assumptions.</w:t>
        <w:br/>
        <w:br/>
        <w:t>Stage 2 – Topic Setup: Build demand themes and validate competitors.</w:t>
        <w:br/>
        <w:br/>
        <w:t>Stage 3 – Prompt Generation: Create representative buyer questions across discovery, evaluation, and decision stages.</w:t>
        <w:br/>
        <w:br/>
        <w:t>Stage 4 – AI Measurement: Estimate demand, query AI models, capture brand mentions, citations, and visibility metrics.</w:t>
        <w:br/>
        <w:br/>
        <w:t>Stage 5 – Report Assembly: Aggregate metrics into executive dashboards, perform QA, and deliver HTML reports.</w:t>
      </w:r>
    </w:p>
    <w:p>
      <w:r>
        <w:rPr>
          <w:b/>
        </w:rPr>
        <w:t>6. Key Metrics</w:t>
      </w:r>
    </w:p>
    <w:p>
      <w:r>
        <w:t>Company Reports</w:t>
        <w:br/>
        <w:t>• AI Consideration Score</w:t>
        <w:br/>
        <w:t>• Discovery/Evaluation Win Rate</w:t>
        <w:br/>
        <w:t>• Share of Voice</w:t>
        <w:br/>
        <w:t>• Won/Shared/Lost Demand</w:t>
        <w:br/>
        <w:t>• Financial Opportunity</w:t>
        <w:br/>
        <w:br/>
        <w:t>Industry Reports</w:t>
        <w:br/>
        <w:t>• Category Demand</w:t>
        <w:br/>
        <w:t>• Claimed vs Unclaimed Demand</w:t>
        <w:br/>
        <w:t>• Opportunity Pools</w:t>
        <w:br/>
        <w:t>• Theme Heatmap</w:t>
        <w:br/>
        <w:t>• Peer Rankings</w:t>
      </w:r>
    </w:p>
    <w:p>
      <w:r>
        <w:rPr>
          <w:b/>
        </w:rPr>
        <w:t>7. Delivery &amp; Roadmap</w:t>
      </w:r>
    </w:p>
    <w:p>
      <w:r>
        <w:t>Current: Manual trigger, HTML reports, internal QA.</w:t>
        <w:br/>
        <w:t>Next: Sales request portal, shareable links.</w:t>
        <w:br/>
        <w:t>Future: PDF export, CRM integration, self-service scorecards.</w:t>
      </w:r>
    </w:p>
    <w:p>
      <w:r>
        <w:rPr>
          <w:b/>
        </w:rPr>
        <w:t>8. Summary</w:t>
      </w:r>
    </w:p>
    <w:p>
      <w:r>
        <w:t>AI Demand Scorecards provide a scalable, reusable framework for measuring AI visibility across brands and industries. Both report types share a common measurement pipeline while differing in analytical focus. The design emphasizes rapid delivery, low operational cost, reusable workflows, and executive-ready outputs, making it an effective pre-sales and strategic decision-support capability.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