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i w:val="0"/>
          <w:color w:val="164B9B"/>
          <w:sz w:val="34"/>
        </w:rPr>
        <w:t>Framework Comparison Report</w:t>
      </w:r>
    </w:p>
    <w:p>
      <w:pPr>
        <w:spacing w:before="0" w:after="40"/>
        <w:jc w:val="center"/>
      </w:pPr>
      <w:r>
        <w:rPr>
          <w:rFonts w:ascii="Arial" w:hAnsi="Arial"/>
          <w:b w:val="0"/>
          <w:i/>
          <w:color w:val="5A5A5A"/>
          <w:sz w:val="20"/>
        </w:rPr>
        <w:t>Intent-Level Demand Volume Analysis  |  Framework A vs Framework B</w:t>
      </w:r>
    </w:p>
    <w:p>
      <w:pPr>
        <w:spacing w:before="40" w:after="160"/>
        <w:pBdr>
          <w:bottom w:val="single" w:sz="8" w:color="164B9B"/>
        </w:pBdr>
      </w:pPr>
    </w:p>
    <w:p>
      <w:pPr>
        <w:spacing w:before="200" w:after="60"/>
        <w:pBdr>
          <w:bottom w:val="single" w:sz="4" w:color="164B9B"/>
        </w:pBdr>
      </w:pPr>
      <w:r>
        <w:rPr>
          <w:rFonts w:ascii="Arial" w:hAnsi="Arial"/>
          <w:b/>
          <w:i w:val="0"/>
          <w:color w:val="164B9B"/>
          <w:sz w:val="17"/>
        </w:rPr>
        <w:t>1. OBJECTIVE</w:t>
      </w:r>
    </w:p>
    <w:p>
      <w:pPr>
        <w:spacing w:before="60" w:after="120"/>
      </w:pPr>
      <w:r>
        <w:rPr>
          <w:rFonts w:ascii="Arial" w:hAnsi="Arial"/>
          <w:b w:val="0"/>
          <w:i w:val="0"/>
          <w:sz w:val="20"/>
        </w:rPr>
        <w:t>This report compares demand volume distributions between Framework A and Framework B across three hierarchical levels: Intent, Prompt, and Keyword. The analysis addresses three core questions — (i) which framework drives higher aggregate volume, (ii) whether the intent and keyword distribution shifts between frameworks, and (iii) how consistently demand is captured across both frameworks.</w:t>
      </w:r>
    </w:p>
    <w:p>
      <w:pPr>
        <w:spacing w:before="200" w:after="60"/>
        <w:pBdr>
          <w:bottom w:val="single" w:sz="4" w:color="164B9B"/>
        </w:pBdr>
      </w:pPr>
      <w:r>
        <w:rPr>
          <w:rFonts w:ascii="Arial" w:hAnsi="Arial"/>
          <w:b/>
          <w:i w:val="0"/>
          <w:color w:val="164B9B"/>
          <w:sz w:val="17"/>
        </w:rPr>
        <w:t>2. DATA STRUCTURE &amp; HIERARCHY</w:t>
      </w:r>
    </w:p>
    <w:p>
      <w:pPr>
        <w:spacing w:before="60" w:after="80"/>
      </w:pPr>
      <w:r>
        <w:rPr>
          <w:rFonts w:ascii="Arial" w:hAnsi="Arial"/>
          <w:b w:val="0"/>
          <w:i w:val="0"/>
          <w:sz w:val="20"/>
        </w:rPr>
        <w:t>Demand volume is organized in a three-level hierarchy. Each level is analyzed independently and in aggregate: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Level</w:t>
            </w:r>
          </w:p>
        </w:tc>
        <w:tc>
          <w:tcPr>
            <w:tcW w:type="dxa" w:w="5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Unit of Analysis</w:t>
            </w:r>
          </w:p>
        </w:tc>
        <w:tc>
          <w:tcPr>
            <w:tcW w:type="dxa" w:w="5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Volume Type</w:t>
            </w:r>
          </w:p>
        </w:tc>
      </w:tr>
      <w:tr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Top-level user goal or category</w:t>
            </w:r>
          </w:p>
        </w:tc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 group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Sum of all prompt volumes under intent</w:t>
            </w:r>
          </w:p>
        </w:tc>
      </w:tr>
      <w:tr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Prompt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Specific query/prompt within an intent</w:t>
            </w:r>
          </w:p>
        </w:tc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Individual prompt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Raw count per prompt per framework</w:t>
            </w:r>
          </w:p>
        </w:tc>
      </w:tr>
      <w:tr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Search term or keyword tied to a prompt</w:t>
            </w:r>
          </w:p>
        </w:tc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Individual 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Raw count per keyword per framework</w:t>
            </w:r>
          </w:p>
        </w:tc>
      </w:tr>
    </w:tbl>
    <w:p>
      <w:pPr>
        <w:spacing w:before="0" w:after="40"/>
      </w:pPr>
    </w:p>
    <w:p>
      <w:pPr>
        <w:spacing w:before="200" w:after="60"/>
        <w:pBdr>
          <w:bottom w:val="single" w:sz="4" w:color="164B9B"/>
        </w:pBdr>
      </w:pPr>
      <w:r>
        <w:rPr>
          <w:rFonts w:ascii="Arial" w:hAnsi="Arial"/>
          <w:b/>
          <w:i w:val="0"/>
          <w:color w:val="164B9B"/>
          <w:sz w:val="17"/>
        </w:rPr>
        <w:t>3. RECOMMENDED METRICS BY ANALYSIS GOAL</w:t>
      </w:r>
    </w:p>
    <w:p>
      <w:pPr>
        <w:spacing w:before="60" w:after="80"/>
      </w:pPr>
      <w:r>
        <w:rPr>
          <w:rFonts w:ascii="Arial" w:hAnsi="Arial"/>
          <w:b w:val="0"/>
          <w:i w:val="0"/>
          <w:sz w:val="20"/>
        </w:rPr>
        <w:t>The following metrics are applied at each hierarchy level. They are grouped by the three analysis goals.</w:t>
      </w:r>
    </w:p>
    <w:p>
      <w:pPr>
        <w:spacing w:before="80" w:after="40"/>
      </w:pPr>
      <w:r>
        <w:rPr>
          <w:rFonts w:ascii="Arial" w:hAnsi="Arial"/>
          <w:b/>
          <w:i w:val="0"/>
          <w:color w:val="164B9B"/>
          <w:sz w:val="20"/>
        </w:rPr>
        <w:t>Goal A — Which framework drives more volume?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Formula</w:t>
            </w:r>
          </w:p>
        </w:tc>
        <w:tc>
          <w:tcPr>
            <w:tcW w:type="dxa" w:w="2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Applied At</w:t>
            </w:r>
          </w:p>
        </w:tc>
        <w:tc>
          <w:tcPr>
            <w:tcW w:type="dxa" w:w="5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Total Volume (TVol)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Sum of all raw counts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All levels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Framework with higher TVol captures more demand overall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Volume Difference (ΔVol)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TVol_A − TVol_B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All levels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Absolute gap; positive = Framework A leads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Volume Lift (%)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(TVol_A − TVol_B) / TVol_B × 100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All levels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Relative uplift of A over B; scale-independent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Top-N Intent Share (%)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Vol of top N intents / TVol × 100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Concentration of volume; high % = few intents dominate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hAnsi="Arial"/>
          <w:b/>
          <w:i w:val="0"/>
          <w:color w:val="164B9B"/>
          <w:sz w:val="20"/>
        </w:rPr>
        <w:t>Goal B — Does the intent / keyword distribution shift?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Formula / Method</w:t>
            </w:r>
          </w:p>
        </w:tc>
        <w:tc>
          <w:tcPr>
            <w:tcW w:type="dxa" w:w="2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Applied At</w:t>
            </w:r>
          </w:p>
        </w:tc>
        <w:tc>
          <w:tcPr>
            <w:tcW w:type="dxa" w:w="5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Share Shift (Δ Share %)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Share_A(i) − Share_B(i) per intent/keyword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Which intents/keywords gained or lost proportional share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KS Statistic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Max |CDF_A(x) − CDF_B(x)|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Detects any distributional shift; 0 = identical, 1 = max diff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Jensen-Shannon Divergence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Symmetric, bounded KL divergence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Overall shape divergence; 0 = same distribution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Rank Correlation (Spearman)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Correlation of intent/keyword rank orders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 = same priority order; lower = different ranking of intents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Gini Coefficient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Inequality of volume distribution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Compare concentration; higher = more skewed distribution</w:t>
            </w:r>
          </w:p>
        </w:tc>
      </w:tr>
    </w:tbl>
    <w:p>
      <w:pPr>
        <w:spacing w:before="0" w:after="40"/>
      </w:pPr>
    </w:p>
    <w:p>
      <w:pPr>
        <w:spacing w:before="120" w:after="40"/>
      </w:pPr>
      <w:r>
        <w:rPr>
          <w:rFonts w:ascii="Arial" w:hAnsi="Arial"/>
          <w:b/>
          <w:i w:val="0"/>
          <w:color w:val="164B9B"/>
          <w:sz w:val="20"/>
        </w:rPr>
        <w:t>Goal C — How consistent are the two frameworks?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Formula / Method</w:t>
            </w:r>
          </w:p>
        </w:tc>
        <w:tc>
          <w:tcPr>
            <w:tcW w:type="dxa" w:w="2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Applied At</w:t>
            </w:r>
          </w:p>
        </w:tc>
        <w:tc>
          <w:tcPr>
            <w:tcW w:type="dxa" w:w="5"/>
            <w:shd w:val="clear" w:color="auto" w:fill="164B9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Coverage Overlap (%)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|Intents_A ∩ Intents_B| / |A ∪ B| × 100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% of intents/keywords present in both; low = gaps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Prompt-level Pearson r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Corr(Vol_A, Vol_B) across prompts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Prompt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How linearly aligned volumes are per prompt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Mean Absolute Error (MAE)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Mean |Vol_A(i) − Vol_B(i)| per prompt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Prompt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Average per-prompt volume disagreement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Cohen's d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(μ_A − μ_B) / pooled SD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Prompt, Keyword</w:t>
            </w:r>
          </w:p>
        </w:tc>
        <w:tc>
          <w:tcPr>
            <w:tcW w:type="dxa" w:w="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Standardized effect size; &gt;0.8 = large practical difference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Hellinger Distance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Bounded 0–1 distribution distance</w:t>
            </w:r>
          </w:p>
        </w:tc>
        <w:tc>
          <w:tcPr>
            <w:tcW w:type="dxa" w:w="2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Intent, Keyword</w:t>
            </w:r>
          </w:p>
        </w:tc>
        <w:tc>
          <w:tcPr>
            <w:tcW w:type="dxa" w:w="5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 = identical distributions, 1 = completely disjoint</w:t>
            </w:r>
          </w:p>
        </w:tc>
      </w:tr>
    </w:tbl>
    <w:p>
      <w:pPr>
        <w:spacing w:before="0" w:after="40"/>
      </w:pPr>
    </w:p>
    <w:p>
      <w:pPr>
        <w:spacing w:before="200" w:after="60"/>
        <w:pBdr>
          <w:bottom w:val="single" w:sz="4" w:color="164B9B"/>
        </w:pBdr>
      </w:pPr>
      <w:r>
        <w:rPr>
          <w:rFonts w:ascii="Arial" w:hAnsi="Arial"/>
          <w:b/>
          <w:i w:val="0"/>
          <w:color w:val="164B9B"/>
          <w:sz w:val="17"/>
        </w:rPr>
        <w:t>4. INTERPRETATION GUIDE &amp; DECISION THRESHOLDS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"/>
            <w:shd w:val="clear" w:color="auto" w:fill="2D4A8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Metric</w:t>
            </w:r>
          </w:p>
        </w:tc>
        <w:tc>
          <w:tcPr>
            <w:tcW w:type="dxa" w:w="4"/>
            <w:shd w:val="clear" w:color="auto" w:fill="2D4A8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Low (Similar)</w:t>
            </w:r>
          </w:p>
        </w:tc>
        <w:tc>
          <w:tcPr>
            <w:tcW w:type="dxa" w:w="4"/>
            <w:shd w:val="clear" w:color="auto" w:fill="2D4A8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Medium (Moderate Shift)</w:t>
            </w:r>
          </w:p>
        </w:tc>
        <w:tc>
          <w:tcPr>
            <w:tcW w:type="dxa" w:w="4"/>
            <w:shd w:val="clear" w:color="auto" w:fill="2D4A8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High (Significant Shift)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Volume Lift %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10%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10% – 30%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30%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KS Statistic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0.10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0.10 – 0.30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0.30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JS Divergence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0.05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0.05 – 0.15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0.15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Spearman Rank Corr.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0.90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0.70 – 0.90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0.70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Pearson r (prompts)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0.90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0.70 – 0.90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0.70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Hellinger Distance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0.10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0.10 – 0.25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0.25</w:t>
            </w:r>
          </w:p>
        </w:tc>
      </w:tr>
      <w:tr>
        <w:tc>
          <w:tcPr>
            <w:tcW w:type="dxa" w:w="3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Cohen's d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0.20 (negligible)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0.20 – 0.80 (small–med)</w:t>
            </w:r>
          </w:p>
        </w:tc>
        <w:tc>
          <w:tcPr>
            <w:tcW w:type="dxa" w:w="4"/>
            <w:shd w:val="clear" w:color="auto" w:fill="EDF2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0.80 (large)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left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Coverage Overlap %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&gt; 90% (high overlap)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70% – 90%</w:t>
            </w:r>
          </w:p>
        </w:tc>
        <w:tc>
          <w:tcPr>
            <w:tcW w:type="dxa" w:w="4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before="30" w:after="30"/>
              <w:jc w:val="center"/>
            </w:pPr>
            <w:r>
              <w:rPr>
                <w:rFonts w:ascii="Arial" w:hAnsi="Arial"/>
                <w:b w:val="0"/>
                <w:i w:val="0"/>
                <w:color w:val="1E1E1E"/>
                <w:sz w:val="18"/>
              </w:rPr>
              <w:t>&lt; 70% (gaps exist)</w:t>
            </w:r>
          </w:p>
        </w:tc>
      </w:tr>
    </w:tbl>
    <w:p>
      <w:pPr>
        <w:spacing w:before="0" w:after="40"/>
      </w:pPr>
    </w:p>
    <w:p>
      <w:pPr>
        <w:spacing w:before="200" w:after="60"/>
        <w:pBdr>
          <w:bottom w:val="single" w:sz="4" w:color="164B9B"/>
        </w:pBdr>
      </w:pPr>
      <w:r>
        <w:rPr>
          <w:rFonts w:ascii="Arial" w:hAnsi="Arial"/>
          <w:b/>
          <w:i w:val="0"/>
          <w:color w:val="164B9B"/>
          <w:sz w:val="17"/>
        </w:rPr>
        <w:t>5. SUGGESTED ANALYSIS WORKFLOW</w:t>
      </w:r>
    </w:p>
    <w:p>
      <w:pPr>
        <w:spacing w:before="60" w:after="40"/>
      </w:pPr>
      <w:r>
        <w:rPr>
          <w:rFonts w:ascii="Arial" w:hAnsi="Arial"/>
          <w:b/>
          <w:i w:val="0"/>
          <w:color w:val="164B9B"/>
          <w:sz w:val="19"/>
        </w:rPr>
        <w:t xml:space="preserve">Step 1 — Aggregate totals:  </w:t>
      </w:r>
      <w:r>
        <w:rPr>
          <w:rFonts w:ascii="Arial" w:hAnsi="Arial"/>
          <w:b w:val="0"/>
          <w:i w:val="0"/>
          <w:sz w:val="19"/>
        </w:rPr>
        <w:t>Compute TVol_A and TVol_B. Calculate Volume Lift % to establish which framework leads overall.</w:t>
      </w:r>
    </w:p>
    <w:p>
      <w:pPr>
        <w:spacing w:before="60" w:after="40"/>
      </w:pPr>
      <w:r>
        <w:rPr>
          <w:rFonts w:ascii="Arial" w:hAnsi="Arial"/>
          <w:b/>
          <w:i w:val="0"/>
          <w:color w:val="164B9B"/>
          <w:sz w:val="19"/>
        </w:rPr>
        <w:t xml:space="preserve">Step 2 — Intent-level share:  </w:t>
      </w:r>
      <w:r>
        <w:rPr>
          <w:rFonts w:ascii="Arial" w:hAnsi="Arial"/>
          <w:b w:val="0"/>
          <w:i w:val="0"/>
          <w:sz w:val="19"/>
        </w:rPr>
        <w:t>Convert raw counts to share % per intent for each framework. Compute Share Shift per intent. Rank intents by absolute shift to find biggest movers.</w:t>
      </w:r>
    </w:p>
    <w:p>
      <w:pPr>
        <w:spacing w:before="60" w:after="40"/>
      </w:pPr>
      <w:r>
        <w:rPr>
          <w:rFonts w:ascii="Arial" w:hAnsi="Arial"/>
          <w:b/>
          <w:i w:val="0"/>
          <w:color w:val="164B9B"/>
          <w:sz w:val="19"/>
        </w:rPr>
        <w:t xml:space="preserve">Step 3 — Distribution test:  </w:t>
      </w:r>
      <w:r>
        <w:rPr>
          <w:rFonts w:ascii="Arial" w:hAnsi="Arial"/>
          <w:b w:val="0"/>
          <w:i w:val="0"/>
          <w:sz w:val="19"/>
        </w:rPr>
        <w:t>Run KS statistic and JS Divergence on the intent-level share distributions. A KS &gt; 0.15 or JS &gt; 0.08 signals a meaningful structural shift worth investigating.</w:t>
      </w:r>
    </w:p>
    <w:p>
      <w:pPr>
        <w:spacing w:before="60" w:after="40"/>
      </w:pPr>
      <w:r>
        <w:rPr>
          <w:rFonts w:ascii="Arial" w:hAnsi="Arial"/>
          <w:b/>
          <w:i w:val="0"/>
          <w:color w:val="164B9B"/>
          <w:sz w:val="19"/>
        </w:rPr>
        <w:t xml:space="preserve">Step 4 — Prompt-level alignment:  </w:t>
      </w:r>
      <w:r>
        <w:rPr>
          <w:rFonts w:ascii="Arial" w:hAnsi="Arial"/>
          <w:b w:val="0"/>
          <w:i w:val="0"/>
          <w:sz w:val="19"/>
        </w:rPr>
        <w:t>Compute Pearson r and MAE across matched prompts. Low r (&lt;0.8) means the frameworks disagree on which prompts matter most.</w:t>
      </w:r>
    </w:p>
    <w:p>
      <w:pPr>
        <w:spacing w:before="60" w:after="40"/>
      </w:pPr>
      <w:r>
        <w:rPr>
          <w:rFonts w:ascii="Arial" w:hAnsi="Arial"/>
          <w:b/>
          <w:i w:val="0"/>
          <w:color w:val="164B9B"/>
          <w:sz w:val="19"/>
        </w:rPr>
        <w:t xml:space="preserve">Step 5 — Keyword deep-dive:  </w:t>
      </w:r>
      <w:r>
        <w:rPr>
          <w:rFonts w:ascii="Arial" w:hAnsi="Arial"/>
          <w:b w:val="0"/>
          <w:i w:val="0"/>
          <w:sz w:val="19"/>
        </w:rPr>
        <w:t>For intents with high Share Shift, drill into keyword-level Hellinger distance to pinpoint exactly which terms are driving the divergence.</w:t>
      </w:r>
    </w:p>
    <w:p>
      <w:pPr>
        <w:spacing w:before="60" w:after="40"/>
      </w:pPr>
      <w:r>
        <w:rPr>
          <w:rFonts w:ascii="Arial" w:hAnsi="Arial"/>
          <w:b/>
          <w:i w:val="0"/>
          <w:color w:val="164B9B"/>
          <w:sz w:val="19"/>
        </w:rPr>
        <w:t xml:space="preserve">Step 6 — Coverage audit:  </w:t>
      </w:r>
      <w:r>
        <w:rPr>
          <w:rFonts w:ascii="Arial" w:hAnsi="Arial"/>
          <w:b w:val="0"/>
          <w:i w:val="0"/>
          <w:sz w:val="19"/>
        </w:rPr>
        <w:t>Calculate Coverage Overlap % to identify intents or keywords present in one framework but missing from the other — these are blind spots.</w:t>
      </w:r>
    </w:p>
    <w:p>
      <w:pPr>
        <w:spacing w:before="160" w:after="40"/>
        <w:pBdr>
          <w:top w:val="single" w:sz="4" w:color="AAAAAA"/>
        </w:pBdr>
      </w:pPr>
    </w:p>
    <w:p>
      <w:pPr>
        <w:spacing w:before="0" w:after="0"/>
        <w:jc w:val="center"/>
      </w:pPr>
      <w:r>
        <w:rPr>
          <w:rFonts w:ascii="Arial" w:hAnsi="Arial"/>
          <w:b w:val="0"/>
          <w:i/>
          <w:color w:val="5A5A5A"/>
          <w:sz w:val="16"/>
        </w:rPr>
        <w:t>Framework Comparison Report  |  Intent / Prompt / Keyword Demand Volume Analysis  |  Confidential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