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48"/>
          <w:szCs w:val="48"/>
        </w:rPr>
        <w:t xml:space="preserve">Confidence in Prompt Volume Estimations</w:t>
      </w:r>
    </w:p>
    <w:p>
      <w:pPr>
        <w:spacing w:before="0" w:after="40"/>
      </w:pPr>
      <w:r>
        <w:rPr>
          <w:rFonts w:ascii="Arial" w:cs="Arial" w:eastAsia="Arial" w:hAnsi="Arial"/>
          <w:color w:val="2E75B6"/>
          <w:sz w:val="26"/>
          <w:szCs w:val="26"/>
        </w:rPr>
        <w:t xml:space="preserve">Research Plan &amp; Comparative Framework</w:t>
      </w:r>
    </w:p>
    <w:p>
      <w:pPr>
        <w:spacing w:before="0" w:after="40"/>
      </w:pPr>
      <w:r>
        <w:rPr>
          <w:rFonts w:ascii="Arial" w:cs="Arial" w:eastAsia="Arial" w:hAnsi="Arial"/>
          <w:i/>
          <w:iCs/>
          <w:color w:val="404040"/>
          <w:sz w:val="20"/>
          <w:szCs w:val="20"/>
        </w:rPr>
        <w:t xml:space="preserve">Prepared for: Sainithin [Sai] Artham  |  Date: March 2026</w:t>
      </w:r>
    </w:p>
    <w:p>
      <w:pPr>
        <w:pBdr>
          <w:bottom w:val="single" w:color="2E75B6" w:sz="8" w:space="1"/>
        </w:pBdr>
        <w:spacing w:before="0" w:after="200"/>
      </w:pPr>
      <w:r>
        <w:t xml:space="preserve"/>
      </w:r>
    </w:p>
    <w:p>
      <w:pPr>
        <w:pBdr>
          <w:bottom w:val="single" w:color="2E75B6" w:sz="6" w:space="1"/>
        </w:pBdr>
        <w:spacing w:before="200" w:after="80"/>
      </w:pPr>
      <w:r>
        <w:rPr>
          <w:rFonts w:ascii="Arial" w:cs="Arial" w:eastAsia="Arial" w:hAnsi="Arial"/>
          <w:b/>
          <w:bCs/>
          <w:color w:val="1F4E79"/>
          <w:sz w:val="28"/>
          <w:szCs w:val="28"/>
        </w:rPr>
        <w:t xml:space="preserve">1.  Overview &amp; Problem Statement</w:t>
      </w:r>
    </w:p>
    <w:p>
      <w:pPr>
        <w:spacing w:before="80" w:after="0"/>
      </w:pPr>
      <w:r>
        <w:t xml:space="preserve"/>
      </w:r>
    </w:p>
    <w:p>
      <w:pPr>
        <w:spacing w:before="60" w:after="60"/>
      </w:pPr>
      <w:r>
        <w:rPr>
          <w:rFonts w:ascii="Arial" w:cs="Arial" w:eastAsia="Arial" w:hAnsi="Arial"/>
          <w:color w:val="404040"/>
          <w:sz w:val="20"/>
          <w:szCs w:val="20"/>
        </w:rPr>
        <w:t xml:space="preserve">AI search volumes (AI Search Volume = ASV, distinct from traditional Search Volume = SV) are increasingly critical for understanding user demand on platforms like ChatGPT, Gemini, Perplexity, and Claude. Unlike Google search, where volume data flows directly from Google Ads, AI prompt data has no single authoritative source — making estimation, triangulation, and cross-validation essential.</w:t>
      </w:r>
    </w:p>
    <w:p>
      <w:pPr>
        <w:spacing w:before="60" w:after="0"/>
      </w:pPr>
      <w:r>
        <w:t xml:space="preserve"/>
      </w:r>
    </w:p>
    <w:p>
      <w:pPr>
        <w:spacing w:before="60" w:after="60"/>
      </w:pPr>
      <w:r>
        <w:rPr>
          <w:rFonts w:ascii="Arial" w:cs="Arial" w:eastAsia="Arial" w:hAnsi="Arial"/>
          <w:color w:val="404040"/>
          <w:sz w:val="20"/>
          <w:szCs w:val="20"/>
        </w:rPr>
        <w:t xml:space="preserve">This plan outlines: (1) all available external sources of prompt volume data, (2) how to compare them at intent, prompt, and keyword levels, (3) approaches to convert traditional SV into AI Search Volume where direct AI data is unavailable, and (4) a concrete roadmap to improve our internal estimations for apple-to-apple comparison with the market.</w:t>
      </w:r>
    </w:p>
    <w:p>
      <w:pPr>
        <w:spacing w:before="60" w:after="0"/>
      </w:pPr>
      <w:r>
        <w:t xml:space="preserve"/>
      </w:r>
    </w:p>
    <w:p>
      <w:pPr>
        <w:spacing w:before="60" w:after="60"/>
      </w:pPr>
      <w:r>
        <w:rPr>
          <w:rFonts w:ascii="Arial" w:cs="Arial" w:eastAsia="Arial" w:hAnsi="Arial"/>
          <w:color w:val="404040"/>
          <w:sz w:val="20"/>
          <w:szCs w:val="20"/>
        </w:rPr>
        <w:t xml:space="preserve">Key terminology clarification:</w:t>
      </w:r>
    </w:p>
    <w:p>
      <w:pPr>
        <w:pStyle w:val="ListParagraph"/>
        <w:numPr>
          <w:ilvl w:val="0"/>
          <w:numId w:val="2"/>
        </w:numPr>
        <w:spacing w:before="40" w:after="40"/>
      </w:pPr>
      <w:r>
        <w:rPr>
          <w:rFonts w:ascii="Arial" w:cs="Arial" w:eastAsia="Arial" w:hAnsi="Arial"/>
          <w:color w:val="404040"/>
          <w:sz w:val="20"/>
          <w:szCs w:val="20"/>
        </w:rPr>
        <w:t xml:space="preserve">SV (Search Volume): Traditional keyword search volume from Google and similar engines.</w:t>
      </w:r>
    </w:p>
    <w:p>
      <w:pPr>
        <w:pStyle w:val="ListParagraph"/>
        <w:numPr>
          <w:ilvl w:val="0"/>
          <w:numId w:val="2"/>
        </w:numPr>
        <w:spacing w:before="40" w:after="40"/>
      </w:pPr>
      <w:r>
        <w:rPr>
          <w:rFonts w:ascii="Arial" w:cs="Arial" w:eastAsia="Arial" w:hAnsi="Arial"/>
          <w:color w:val="404040"/>
          <w:sz w:val="20"/>
          <w:szCs w:val="20"/>
        </w:rPr>
        <w:t xml:space="preserve">ASV (AI Search Volume): The equivalent metric for AI prompt engines — the frequency with which a given topic/prompt is asked in AI assistants. No authoritative direct source currently exists.</w:t>
      </w:r>
    </w:p>
    <w:p>
      <w:pPr>
        <w:pStyle w:val="ListParagraph"/>
        <w:numPr>
          <w:ilvl w:val="0"/>
          <w:numId w:val="2"/>
        </w:numPr>
        <w:spacing w:before="40" w:after="40"/>
      </w:pPr>
      <w:r>
        <w:rPr>
          <w:rFonts w:ascii="Arial" w:cs="Arial" w:eastAsia="Arial" w:hAnsi="Arial"/>
          <w:color w:val="404040"/>
          <w:sz w:val="20"/>
          <w:szCs w:val="20"/>
        </w:rPr>
        <w:t xml:space="preserve">GIR (Generative Intent Ratio): The estimated proportion of traditional SV that 'converts' into AI prompts, varying by intent type.</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2.  Granularity Framework: Intent → Prompt → Keyword</w:t>
      </w:r>
    </w:p>
    <w:p>
      <w:pPr>
        <w:spacing w:before="80" w:after="0"/>
      </w:pPr>
      <w:r>
        <w:t xml:space="preserve"/>
      </w:r>
    </w:p>
    <w:p>
      <w:pPr>
        <w:spacing w:before="60" w:after="60"/>
      </w:pPr>
      <w:r>
        <w:rPr>
          <w:rFonts w:ascii="Arial" w:cs="Arial" w:eastAsia="Arial" w:hAnsi="Arial"/>
          <w:color w:val="404040"/>
          <w:sz w:val="20"/>
          <w:szCs w:val="20"/>
        </w:rPr>
        <w:t xml:space="preserve">Any meaningful comparison of prompt volume estimates requires alignment on the level of granularity being measured. Below is the three-level framework used throughout this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rPr>
          <w:tblHeader/>
        </w:trPr>
        <w:tc>
          <w:tcPr>
            <w:tcW w:type="dxa" w:w="1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Granularity Level</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Definition</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Sources That Provide This</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Characteristics &amp; Trade-offs</w:t>
            </w:r>
          </w:p>
        </w:tc>
      </w:tr>
      <w:tr>
        <w:tc>
          <w:tcPr>
            <w:tcW w:type="dxa" w:w="168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Intent Level
(Broadest)</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User goal category (e.g., 'research software', 'find best product', 'how to do X')</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Profound (intent clustering), Semrush, Google Ads (intent filter), Similarweb (behavioral intent)</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Lower precision; good for market sizing &amp; category-level planning</w:t>
            </w:r>
          </w:p>
        </w:tc>
      </w:tr>
      <w:tr>
        <w:tc>
          <w:tcPr>
            <w:tcW w:type="dxa" w:w="16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Prompt Level
(Conversational)</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Natural language phrases as entered in AI tools (e.g., 'What is the best CRM for small business?')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Profound (direct), Writesonic/Prompt Explorer, AthenaHQ QVEM</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Highest AI-relevance; hardest to aggregate due to phrase variation</w:t>
            </w:r>
          </w:p>
        </w:tc>
      </w:tr>
      <w:tr>
        <w:tc>
          <w:tcPr>
            <w:tcW w:type="dxa" w:w="168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Keyword Level
(Traditional)</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Short search tokens (e.g., 'CRM software', 'best CRM')</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Google Ads/KP (authoritative for traditional SV), Ahrefs, Semrush (keyword research)</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Easiest to measure; lowest AI prompt fidelity; requires GIR conversion</w:t>
            </w:r>
          </w:p>
        </w:tc>
      </w:tr>
    </w:tbl>
    <w:p>
      <w:pPr>
        <w:spacing w:before="80" w:after="0"/>
      </w:pPr>
      <w:r>
        <w:t xml:space="preserve"/>
      </w:r>
    </w:p>
    <w:p>
      <w:pPr>
        <w:spacing w:before="60" w:after="60"/>
      </w:pPr>
      <w:r>
        <w:rPr>
          <w:rFonts w:ascii="Arial" w:cs="Arial" w:eastAsia="Arial" w:hAnsi="Arial"/>
          <w:i/>
          <w:iCs/>
          <w:color w:val="404040"/>
          <w:sz w:val="20"/>
          <w:szCs w:val="20"/>
        </w:rPr>
        <w:t xml:space="preserve">Key Insight: Profound operates primarily at the prompt level (direct conversational data), while Ahrefs and traditional tools operate at the keyword level. Our internal system should target coverage at all three levels for maximum comparability.</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3.  External Sources: Where Else Can We Get Prompt Volumes?</w:t>
      </w:r>
    </w:p>
    <w:p>
      <w:pPr>
        <w:spacing w:before="80" w:after="0"/>
      </w:pPr>
      <w:r>
        <w:t xml:space="preserve"/>
      </w:r>
    </w:p>
    <w:p>
      <w:pPr>
        <w:spacing w:before="60" w:after="60"/>
      </w:pPr>
      <w:r>
        <w:rPr>
          <w:rFonts w:ascii="Arial" w:cs="Arial" w:eastAsia="Arial" w:hAnsi="Arial"/>
          <w:color w:val="404040"/>
          <w:sz w:val="20"/>
          <w:szCs w:val="20"/>
        </w:rPr>
        <w:t xml:space="preserve">The table below catalogues all known external data sources — direct (observational) and indirect (estimated/modeled) — with their methodology, granularity coverage, and AI prompt relevance. Sources noted as 'SV only' need to be converted to ASV using the methods in Section 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Source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Data Type</w:t>
            </w:r>
          </w:p>
        </w:tc>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Granularity</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Methodology / Notes</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AI Prompt Coverage</w:t>
            </w:r>
          </w:p>
        </w:tc>
      </w:tr>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Profound (Worst Case)</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Direct (Consumer Panel)</w:t>
            </w:r>
          </w:p>
        </w:tc>
        <w:tc>
          <w:tcPr>
            <w:tcW w:type="dxa" w:w="1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Prompt + Keyword</w:t>
            </w:r>
          </w:p>
        </w:tc>
        <w:tc>
          <w:tcPr>
            <w:tcW w:type="dxa" w:w="19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WORST CASE BASELINE: Profound's own published estimates used as lower-bound benchmark. Panel under-represents mobile/enterprise; probabilistic extrapolation introduces compounding error. Treat as floor, not ceiling.</w:t>
            </w:r>
          </w:p>
        </w:tc>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Most direct AI prompt data available — but still probabilistic. Use as minimum credible estimate.</w:t>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Google Ads / AdWords (Keyword Planner)</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Direct (Traditional SV — Authoritative)</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 level only</w:t>
            </w:r>
          </w:p>
        </w:tc>
        <w:tc>
          <w:tcPr>
            <w:tcW w:type="dxa" w:w="1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gold standard for traditional SV. Google-native data covering 90%+ of search market. Buckets volume (100–1K, 1K–10K etc.) rather than exact numbers. No AI prompt data, but essential baseline for GIR conversion to ASV.</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SV only; requires GIR conversion to ASV. Most trusted SV source for conversion math.</w:t>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DataForSEO</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 Aggregated API</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 level only</w:t>
            </w:r>
          </w:p>
        </w:tc>
        <w:tc>
          <w:tcPr>
            <w:tcW w:type="dxa" w:w="1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Aggregates keyword volume from Google Ads API, Google Search Console, Bing, and additional sources. Returns real-time and historical SV via API. More granular than Semrush/Ahrefs for bulk data pulls. No native AI prompt tracking.</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Keyword-level SV only; no ASV. Best for bulk keyword volume API access and triangulation against AdWords.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Semrush (AI Visibility Toolkit + Estimates)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 Synthetic + Clickstream + Extrapolation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Keyword</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Combines: (1) Datos clickstream panel, (2) synthetic prompt generation via LLMs, (3) AdWords SV as base layer, (4) extrapolation models. Volume figures are Semrush's own estimates — not raw observed data. Subject to Semrush's model assumptions and synthetic data inflation.</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Keyword/Intent level; heavily modeled. Cross-validate against DataForSEO and AdWords before trusting absolute numbers.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Ahrefs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(Google KP, GSC, Third-party)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 level only</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Google Keyword Planner, Google Search Console, third-party aggregators; no native AI prompt tracking</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Keyword-level; traditional search only</w:t>
            </w:r>
          </w:p>
        </w:tc>
      </w:tr>
      <w:tr>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Writesonic / Prompt Explorer</w:t>
            </w:r>
          </w:p>
        </w:tc>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 Ensemble</w:t>
            </w:r>
          </w:p>
        </w:tc>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Prompt + Keyword</w:t>
            </w:r>
          </w:p>
        </w:tc>
        <w:tc>
          <w:tcPr>
            <w:tcW w:type="dxa" w:w="19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200M+ conversational dataset + keyword-based estimates; multi-source ensemble with bias correction</w:t>
            </w:r>
          </w:p>
        </w:tc>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Prompt-level; ensemble model</w:t>
            </w:r>
          </w:p>
        </w:tc>
      </w:tr>
      <w:tr>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AthenaHQ (QVEM)</w:t>
            </w:r>
          </w:p>
        </w:tc>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 ML Model</w:t>
            </w:r>
          </w:p>
        </w:tc>
        <w:tc>
          <w:tcPr>
            <w:tcW w:type="dxa" w:w="16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Prompt + Keyword</w:t>
            </w:r>
          </w:p>
        </w:tc>
        <w:tc>
          <w:tcPr>
            <w:tcW w:type="dxa" w:w="19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Proprietary Query Volume Estimation Model (QVEM); public + partner data + ML</w:t>
            </w:r>
          </w:p>
        </w:tc>
        <w:tc>
          <w:tcPr>
            <w:tcW w:type="dxa" w:w="20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Prompt-level; ML-driven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Similarweb (GenAI Intelligence)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 Clickstream</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level</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Billions of web/app signals; browser extensions, consented panels; tracks referral traffic from LLMs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Traffic &amp; referral level; not prompt-level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Datos (Semrush subsidiary)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Direct Clickstream</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level</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Millions of panelists; billions of URLs; URL-level journey tracking across 185 countries; privacy-compliant</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Behavior/journey level; not prompt count</w:t>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Google Trends</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Indirect (Relative SV)</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Keyword</w:t>
            </w:r>
          </w:p>
        </w:tc>
        <w:tc>
          <w:tcPr>
            <w:tcW w:type="dxa" w:w="1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Relative popularity index; no absolute volumes; useful for trend direction and seasonality</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Relative trend signal</w:t>
            </w:r>
          </w:p>
        </w:tc>
      </w:tr>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Ours (Internal Estimation)</w:t>
            </w:r>
          </w:p>
        </w:tc>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Mixed / Indirect</w:t>
            </w:r>
          </w:p>
        </w:tc>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Intent + Prompt + Keyword</w:t>
            </w:r>
          </w:p>
        </w:tc>
        <w:tc>
          <w:tcPr>
            <w:tcW w:type="dxa" w:w="1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Current methodology TBD — needs significant improvement for apple-to-apple comparison</w:t>
            </w:r>
          </w:p>
        </w:tc>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levels — target improvement</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3.1  Primary Sources (Direct AI Prompt Data)</w:t>
      </w:r>
    </w:p>
    <w:p>
      <w:pPr>
        <w:spacing w:before="60" w:after="60"/>
      </w:pPr>
      <w:r>
        <w:rPr>
          <w:rFonts w:ascii="Arial" w:cs="Arial" w:eastAsia="Arial" w:hAnsi="Arial"/>
          <w:color w:val="404040"/>
          <w:sz w:val="20"/>
          <w:szCs w:val="20"/>
        </w:rPr>
        <w:t xml:space="preserve">These sources provide the closest approximation to actual AI prompt volumes:</w:t>
      </w:r>
    </w:p>
    <w:p>
      <w:pPr>
        <w:spacing w:before="60" w:after="0"/>
      </w:pPr>
      <w:r>
        <w:t xml:space="preserve"/>
      </w:r>
    </w:p>
    <w:p>
      <w:pPr>
        <w:spacing w:before="160" w:after="60"/>
      </w:pPr>
      <w:r>
        <w:rPr>
          <w:rFonts w:ascii="Arial" w:cs="Arial" w:eastAsia="Arial" w:hAnsi="Arial"/>
          <w:b/>
          <w:bCs/>
          <w:color w:val="404040"/>
          <w:sz w:val="22"/>
          <w:szCs w:val="22"/>
        </w:rPr>
        <w:t xml:space="preserve">Profound</w:t>
      </w:r>
    </w:p>
    <w:p>
      <w:pPr>
        <w:spacing w:before="60" w:after="60"/>
      </w:pPr>
      <w:r>
        <w:rPr>
          <w:rFonts w:ascii="Arial" w:cs="Arial" w:eastAsia="Arial" w:hAnsi="Arial"/>
          <w:color w:val="404040"/>
          <w:sz w:val="20"/>
          <w:szCs w:val="20"/>
        </w:rPr>
        <w:t xml:space="preserve">Profound licenses conversations from double opt-in consumer panels of real AI assistant users. Scale is in the hundreds of millions of prompts per month, extrapolated via probabilistic modeling correcting for demographic and geographic biases. Coverage: ChatGPT, Gemini, Claude, Perplexity. Earliest and most widely referenced direct AI prompt volume source in the market. Key limitation: panel represents &lt;1% of total AI market; sampling bias remains a concern.</w:t>
      </w:r>
    </w:p>
    <w:p>
      <w:pPr>
        <w:spacing w:before="60" w:after="0"/>
      </w:pPr>
      <w:r>
        <w:t xml:space="preserve"/>
      </w:r>
    </w:p>
    <w:p>
      <w:pPr>
        <w:spacing w:before="160" w:after="60"/>
      </w:pPr>
      <w:r>
        <w:rPr>
          <w:rFonts w:ascii="Arial" w:cs="Arial" w:eastAsia="Arial" w:hAnsi="Arial"/>
          <w:b/>
          <w:bCs/>
          <w:color w:val="404040"/>
          <w:sz w:val="22"/>
          <w:szCs w:val="22"/>
        </w:rPr>
        <w:t xml:space="preserve">Writesonic Prompt Explorer</w:t>
      </w:r>
    </w:p>
    <w:p>
      <w:pPr>
        <w:spacing w:before="60" w:after="60"/>
      </w:pPr>
      <w:r>
        <w:rPr>
          <w:rFonts w:ascii="Arial" w:cs="Arial" w:eastAsia="Arial" w:hAnsi="Arial"/>
          <w:color w:val="404040"/>
          <w:sz w:val="20"/>
          <w:szCs w:val="20"/>
        </w:rPr>
        <w:t xml:space="preserve">Uses an ensemble methodology combining a 200M+ conversational dataset with keyword-based estimates and multi-source bias correction. Formula: Volume Estimate = f(Proprietary data, Public data, Partner data) ± Correction factor. Addresses the phrase-fragmentation problem by clustering semantically equivalent prompts before computing volume.</w:t>
      </w:r>
    </w:p>
    <w:p>
      <w:pPr>
        <w:spacing w:before="60" w:after="0"/>
      </w:pPr>
      <w:r>
        <w:t xml:space="preserve"/>
      </w:r>
    </w:p>
    <w:p>
      <w:pPr>
        <w:spacing w:before="160" w:after="60"/>
      </w:pPr>
      <w:r>
        <w:rPr>
          <w:rFonts w:ascii="Arial" w:cs="Arial" w:eastAsia="Arial" w:hAnsi="Arial"/>
          <w:b/>
          <w:bCs/>
          <w:color w:val="404040"/>
          <w:sz w:val="22"/>
          <w:szCs w:val="22"/>
        </w:rPr>
        <w:t xml:space="preserve">AthenaHQ (QVEM — Query Volume Estimation Model)</w:t>
      </w:r>
    </w:p>
    <w:p>
      <w:pPr>
        <w:spacing w:before="60" w:after="60"/>
      </w:pPr>
      <w:r>
        <w:rPr>
          <w:rFonts w:ascii="Arial" w:cs="Arial" w:eastAsia="Arial" w:hAnsi="Arial"/>
          <w:color w:val="404040"/>
          <w:sz w:val="20"/>
          <w:szCs w:val="20"/>
        </w:rPr>
        <w:t xml:space="preserve">Proprietary machine learning model combining public and private data sources. Optimized for generative engine optimization (GEO). Less transparent about data sourcing compared to Profound.</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3.2  Secondary Sources (Indirect — Require SV → ASV Conversion)</w:t>
      </w:r>
    </w:p>
    <w:p>
      <w:pPr>
        <w:spacing w:before="60" w:after="60"/>
      </w:pPr>
      <w:r>
        <w:rPr>
          <w:rFonts w:ascii="Arial" w:cs="Arial" w:eastAsia="Arial" w:hAnsi="Arial"/>
          <w:color w:val="404040"/>
          <w:sz w:val="20"/>
          <w:szCs w:val="20"/>
        </w:rPr>
        <w:t xml:space="preserve">These are traditional SV or clickstream sources that can be converted/proxied to derive AI Search Volume estimates:</w:t>
      </w:r>
    </w:p>
    <w:p>
      <w:pPr>
        <w:spacing w:before="60" w:after="0"/>
      </w:pPr>
      <w:r>
        <w:t xml:space="preserve"/>
      </w:r>
    </w:p>
    <w:p>
      <w:pPr>
        <w:spacing w:before="160" w:after="60"/>
      </w:pPr>
      <w:r>
        <w:rPr>
          <w:rFonts w:ascii="Arial" w:cs="Arial" w:eastAsia="Arial" w:hAnsi="Arial"/>
          <w:b/>
          <w:bCs/>
          <w:color w:val="404040"/>
          <w:sz w:val="22"/>
          <w:szCs w:val="22"/>
        </w:rPr>
        <w:t xml:space="preserve">Google Ads / Keyword Planner</w:t>
      </w:r>
    </w:p>
    <w:p>
      <w:pPr>
        <w:spacing w:before="60" w:after="60"/>
      </w:pPr>
      <w:r>
        <w:rPr>
          <w:rFonts w:ascii="Arial" w:cs="Arial" w:eastAsia="Arial" w:hAnsi="Arial"/>
          <w:color w:val="404040"/>
          <w:sz w:val="20"/>
          <w:szCs w:val="20"/>
        </w:rPr>
        <w:t xml:space="preserve">The gold standard for traditional SV. Historically trusted because: (1) data comes directly from Google; (2) Google had 90%+ search market share, making the dataset statistically sound. The challenge is that AI prompt behaviour diverges significantly from keyword search — users express full conversational questions rather than short queries.</w:t>
      </w:r>
    </w:p>
    <w:p>
      <w:pPr>
        <w:spacing w:before="60" w:after="0"/>
      </w:pPr>
      <w:r>
        <w:t xml:space="preserve"/>
      </w:r>
    </w:p>
    <w:p>
      <w:pPr>
        <w:spacing w:before="160" w:after="60"/>
      </w:pPr>
      <w:r>
        <w:rPr>
          <w:rFonts w:ascii="Arial" w:cs="Arial" w:eastAsia="Arial" w:hAnsi="Arial"/>
          <w:b/>
          <w:bCs/>
          <w:color w:val="404040"/>
          <w:sz w:val="22"/>
          <w:szCs w:val="22"/>
        </w:rPr>
        <w:t xml:space="preserve">Semrush + Datos Clickstream</w:t>
      </w:r>
    </w:p>
    <w:p>
      <w:pPr>
        <w:spacing w:before="60" w:after="60"/>
      </w:pPr>
      <w:r>
        <w:rPr>
          <w:rFonts w:ascii="Arial" w:cs="Arial" w:eastAsia="Arial" w:hAnsi="Arial"/>
          <w:color w:val="404040"/>
          <w:sz w:val="20"/>
          <w:szCs w:val="20"/>
        </w:rPr>
        <w:t xml:space="preserve">Semrush built AI prompt coverage through a combination of direct API integrations, user behavior analysis, and synthetic prompt generation, powered by Datos (its clickstream subsidiary). Datos tracks millions of panelists across 185 countries and billions of URLs, capturing user journeys before and after AI interactions. This is particularly valuable as a behavioral validation layer for any model-based estimates.</w:t>
      </w:r>
    </w:p>
    <w:p>
      <w:pPr>
        <w:spacing w:before="60" w:after="0"/>
      </w:pPr>
      <w:r>
        <w:t xml:space="preserve"/>
      </w:r>
    </w:p>
    <w:p>
      <w:pPr>
        <w:spacing w:before="160" w:after="60"/>
      </w:pPr>
      <w:r>
        <w:rPr>
          <w:rFonts w:ascii="Arial" w:cs="Arial" w:eastAsia="Arial" w:hAnsi="Arial"/>
          <w:b/>
          <w:bCs/>
          <w:color w:val="404040"/>
          <w:sz w:val="22"/>
          <w:szCs w:val="22"/>
        </w:rPr>
        <w:t xml:space="preserve">Similarweb GenAI Intelligence</w:t>
      </w:r>
    </w:p>
    <w:p>
      <w:pPr>
        <w:spacing w:before="60" w:after="60"/>
      </w:pPr>
      <w:r>
        <w:rPr>
          <w:rFonts w:ascii="Arial" w:cs="Arial" w:eastAsia="Arial" w:hAnsi="Arial"/>
          <w:color w:val="404040"/>
          <w:sz w:val="20"/>
          <w:szCs w:val="20"/>
        </w:rPr>
        <w:t xml:space="preserve">Similarweb tracks referral traffic from AI platforms (ChatGPT, Gemini, Perplexity, Claude) to external websites. Useful for measuring AI platform market share and identifying which topics drive outbound AI referrals. Key limitation: measures referral clicks, not raw AI prompt volumes. Gen AI referral visits grew 357% year-over-year as of June 2025.</w:t>
      </w:r>
    </w:p>
    <w:p>
      <w:pPr>
        <w:spacing w:before="60" w:after="0"/>
      </w:pPr>
      <w:r>
        <w:t xml:space="preserve"/>
      </w:r>
    </w:p>
    <w:p>
      <w:pPr>
        <w:spacing w:before="160" w:after="60"/>
      </w:pPr>
      <w:r>
        <w:rPr>
          <w:rFonts w:ascii="Arial" w:cs="Arial" w:eastAsia="Arial" w:hAnsi="Arial"/>
          <w:b/>
          <w:bCs/>
          <w:color w:val="404040"/>
          <w:sz w:val="22"/>
          <w:szCs w:val="22"/>
        </w:rPr>
        <w:t xml:space="preserve">Google Trends</w:t>
      </w:r>
    </w:p>
    <w:p>
      <w:pPr>
        <w:spacing w:before="60" w:after="60"/>
      </w:pPr>
      <w:r>
        <w:rPr>
          <w:rFonts w:ascii="Arial" w:cs="Arial" w:eastAsia="Arial" w:hAnsi="Arial"/>
          <w:color w:val="404040"/>
          <w:sz w:val="20"/>
          <w:szCs w:val="20"/>
        </w:rPr>
        <w:t xml:space="preserve">Relative interest index only (not absolute volumes). Useful for trend direction, seasonality patterns, and cross-topic comparisons. Should be used as a directional signal to validate or challenge other volume estimates, not as a standalone source.</w:t>
      </w:r>
    </w:p>
    <w:p>
      <w:pPr>
        <w:spacing w:before="60" w:after="0"/>
      </w:pPr>
      <w:r>
        <w:t xml:space="preserve"/>
      </w:r>
    </w:p>
    <w:p>
      <w:pPr>
        <w:spacing w:before="160" w:after="60"/>
      </w:pPr>
      <w:r>
        <w:rPr>
          <w:rFonts w:ascii="Arial" w:cs="Arial" w:eastAsia="Arial" w:hAnsi="Arial"/>
          <w:b/>
          <w:bCs/>
          <w:color w:val="404040"/>
          <w:sz w:val="22"/>
          <w:szCs w:val="22"/>
        </w:rPr>
        <w:t xml:space="preserve">Public Forums (Reddit, Stack Overflow, Quora)</w:t>
      </w:r>
    </w:p>
    <w:p>
      <w:pPr>
        <w:spacing w:before="60" w:after="60"/>
      </w:pPr>
      <w:r>
        <w:rPr>
          <w:rFonts w:ascii="Arial" w:cs="Arial" w:eastAsia="Arial" w:hAnsi="Arial"/>
          <w:color w:val="404040"/>
          <w:sz w:val="20"/>
          <w:szCs w:val="20"/>
        </w:rPr>
        <w:t xml:space="preserve">Writesonic and other ensemble models use forum post/thread volume as a proxy signal for topic demand in conversational formats. This is especially valuable in tech and developer verticals where community question-asking behavior strongly correlates with AI prompt behavior.</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4.  Converting Traditional SV to AI Search Volume (ASV)</w:t>
      </w:r>
    </w:p>
    <w:p>
      <w:pPr>
        <w:spacing w:before="80" w:after="0"/>
      </w:pPr>
      <w:r>
        <w:t xml:space="preserve"/>
      </w:r>
    </w:p>
    <w:p>
      <w:pPr>
        <w:spacing w:before="60" w:after="60"/>
      </w:pPr>
      <w:r>
        <w:rPr>
          <w:rFonts w:ascii="Arial" w:cs="Arial" w:eastAsia="Arial" w:hAnsi="Arial"/>
          <w:color w:val="404040"/>
          <w:sz w:val="20"/>
          <w:szCs w:val="20"/>
        </w:rPr>
        <w:t xml:space="preserve">When direct AI prompt data is unavailable, traditional Search Volume (SV) must be converted to estimated AI Search Volume (ASV). Below are the available methodologies, from simplest to most statistically robust: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Conversion Method</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Description</w:t>
            </w:r>
          </w:p>
        </w:tc>
        <w:tc>
          <w:tcPr>
            <w:tcW w:type="dxa" w:w="25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Formula / Approach</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Confidence Level</w:t>
            </w:r>
          </w:p>
        </w:tc>
      </w:tr>
      <w:tr>
        <w:tc>
          <w:tcPr>
            <w:tcW w:type="dxa" w:w="2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Generative Intent Ratio (GIR)</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Estimate what % of traditional SV translates to AI prompts; varies by intent type (informational ~30-50%, navigational ~5-15%)</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Apply GIR multiplier per intent bucket to traditional SV</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Medium — depends on quality of GIR estimates; must be calibrated per vertical</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Weighted Average (Intent-Adjusted)</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Assign weights to different intent categories; compute weighted avg conversion from SV to AI Search Volume (ASV)</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ASV = Σ(SV_i × weight_i × GIR_i) for each intent i</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Higher — accounts for heterogeneous intent distribution</w:t>
            </w:r>
          </w:p>
        </w:tc>
      </w:tr>
      <w:tr>
        <w:tc>
          <w:tcPr>
            <w:tcW w:type="dxa" w:w="2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Simple Ratio Scaling</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 aggregate ratio (total AI queries / total traditional searches for same topics)</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ASV = SV × (Total AI queries observed / Total SV in topic)</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Low-Medium — ignores per-intent variation; use only as sanity check</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Behavioral Shift Proxy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Use clickstream data (Datos/Similarweb) to measure % of users who switch from Google to AI for specific intent categories</w:t>
            </w:r>
          </w:p>
        </w:tc>
        <w:tc>
          <w:tcPr>
            <w:tcW w:type="dxa" w:w="25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Calibrate conversion factor using observed behavioral shift rates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 (if clickstream data is available and well-sampled)</w:t>
            </w:r>
          </w:p>
        </w:tc>
      </w:tr>
      <w:tr>
        <w:tc>
          <w:tcPr>
            <w:tcW w:type="dxa" w:w="24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Panel-Based Extrapolation (Profound-style)</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Start from real panel prompts; apply demographic and geographic correction factors to extrapolate to full market</w:t>
            </w:r>
          </w:p>
        </w:tc>
        <w:tc>
          <w:tcPr>
            <w:tcW w:type="dxa" w:w="256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ASV = Panel prompts × (Market pop / Panel size) × Bias correction factor</w:t>
            </w:r>
          </w:p>
        </w:tc>
        <w:tc>
          <w:tcPr>
            <w:tcW w:type="dxa" w:w="2200"/>
            <w:tcBorders>
              <w:top w:val="single" w:color="BFBFBF" w:sz="4"/>
              <w:left w:val="single" w:color="BFBFBF" w:sz="4"/>
              <w:bottom w:val="single" w:color="BFBFBF" w:sz="4"/>
              <w:right w:val="single" w:color="BFBFBF" w:sz="4"/>
            </w:tcBorders>
            <w:shd w:fill="DEEAF1"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Highest — but only if panel is large enough (&gt;1% coverage recommended)</w:t>
            </w:r>
          </w:p>
        </w:tc>
      </w:tr>
    </w:tbl>
    <w:p>
      <w:pPr>
        <w:spacing w:before="80" w:after="0"/>
      </w:pPr>
      <w:r>
        <w:t xml:space="preserve"/>
      </w:r>
    </w:p>
    <w:p>
      <w:pPr>
        <w:spacing w:before="60" w:after="60"/>
      </w:pPr>
      <w:r>
        <w:rPr>
          <w:rFonts w:ascii="Arial" w:cs="Arial" w:eastAsia="Arial" w:hAnsi="Arial"/>
          <w:b/>
          <w:bCs/>
          <w:color w:val="404040"/>
          <w:sz w:val="20"/>
          <w:szCs w:val="20"/>
        </w:rPr>
        <w:t xml:space="preserve">Recommended approach for our system: Use a tiered ensemble starting with the Generative Intent Ratio (GIR) by intent category, layered with behavioral shift proxies from Datos/Similarweb clickstream data, and calibrated against Profound's panel-based estimates wherever topic overlap exists. This creates a defensible, triangulated ASV estimate.</w:t>
      </w:r>
    </w:p>
    <w:p>
      <w:pPr>
        <w:spacing w:before="80" w:after="0"/>
      </w:pPr>
      <w:r>
        <w:t xml:space="preserve"/>
      </w:r>
    </w:p>
    <w:p>
      <w:pPr>
        <w:spacing w:before="160" w:after="60"/>
      </w:pPr>
      <w:r>
        <w:rPr>
          <w:rFonts w:ascii="Arial" w:cs="Arial" w:eastAsia="Arial" w:hAnsi="Arial"/>
          <w:b/>
          <w:bCs/>
          <w:color w:val="404040"/>
          <w:sz w:val="22"/>
          <w:szCs w:val="22"/>
        </w:rPr>
        <w:t xml:space="preserve">GIR Estimates by Intent Category (Preliminary, to be refined)</w:t>
      </w:r>
    </w:p>
    <w:p>
      <w:pPr>
        <w:spacing w:before="60" w:after="60"/>
      </w:pPr>
      <w:r>
        <w:rPr>
          <w:rFonts w:ascii="Arial" w:cs="Arial" w:eastAsia="Arial" w:hAnsi="Arial"/>
          <w:color w:val="404040"/>
          <w:sz w:val="20"/>
          <w:szCs w:val="20"/>
        </w:rPr>
        <w:t xml:space="preserve">Based on available market data and the observed differences in user behavior between traditional search and AI platforms:</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Informational intent (e.g., 'how to...', 'what is...'): GIR ≈ 40-60% — AI assistants are most commonly used for informational queries.</w:t>
      </w:r>
    </w:p>
    <w:p>
      <w:pPr>
        <w:pStyle w:val="ListParagraph"/>
        <w:numPr>
          <w:ilvl w:val="0"/>
          <w:numId w:val="2"/>
        </w:numPr>
        <w:spacing w:before="40" w:after="40"/>
      </w:pPr>
      <w:r>
        <w:rPr>
          <w:rFonts w:ascii="Arial" w:cs="Arial" w:eastAsia="Arial" w:hAnsi="Arial"/>
          <w:color w:val="404040"/>
          <w:sz w:val="20"/>
          <w:szCs w:val="20"/>
        </w:rPr>
        <w:t xml:space="preserve">Research/consideration intent (e.g., 'best X', 'compare A vs B', 'options for...'): GIR ≈ 25-40% — AI platforms are increasingly used for research and comparison.</w:t>
      </w:r>
    </w:p>
    <w:p>
      <w:pPr>
        <w:pStyle w:val="ListParagraph"/>
        <w:numPr>
          <w:ilvl w:val="0"/>
          <w:numId w:val="2"/>
        </w:numPr>
        <w:spacing w:before="40" w:after="40"/>
      </w:pPr>
      <w:r>
        <w:rPr>
          <w:rFonts w:ascii="Arial" w:cs="Arial" w:eastAsia="Arial" w:hAnsi="Arial"/>
          <w:color w:val="404040"/>
          <w:sz w:val="20"/>
          <w:szCs w:val="20"/>
        </w:rPr>
        <w:t xml:space="preserve">Navigational intent (e.g., brand names, specific site lookups): GIR ≈ 5-15% — Users typically still go directly to traditional search or the site.</w:t>
      </w:r>
    </w:p>
    <w:p>
      <w:pPr>
        <w:pStyle w:val="ListParagraph"/>
        <w:numPr>
          <w:ilvl w:val="0"/>
          <w:numId w:val="2"/>
        </w:numPr>
        <w:spacing w:before="40" w:after="40"/>
      </w:pPr>
      <w:r>
        <w:rPr>
          <w:rFonts w:ascii="Arial" w:cs="Arial" w:eastAsia="Arial" w:hAnsi="Arial"/>
          <w:color w:val="404040"/>
          <w:sz w:val="20"/>
          <w:szCs w:val="20"/>
        </w:rPr>
        <w:t xml:space="preserve">Transactional/commercial intent (e.g., 'buy X', 'discount for...'): GIR ≈ 10-20% — AI referral traffic converts at ~7%, signaling growing commercial use, but lower absolute volume than informational.</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5.  AdWords, DataForSEO &amp; Semrush: Role in ASV Estimation</w:t>
      </w:r>
    </w:p>
    <w:p>
      <w:pPr>
        <w:spacing w:before="80" w:after="0"/>
      </w:pPr>
      <w:r>
        <w:t xml:space="preserve"/>
      </w:r>
    </w:p>
    <w:p>
      <w:pPr>
        <w:spacing w:before="60" w:after="60"/>
      </w:pPr>
      <w:r>
        <w:rPr>
          <w:rFonts w:ascii="Arial" w:cs="Arial" w:eastAsia="Arial" w:hAnsi="Arial"/>
          <w:color w:val="404040"/>
          <w:sz w:val="20"/>
          <w:szCs w:val="20"/>
        </w:rPr>
        <w:t xml:space="preserve">Three sources require special treatment in our estimation framework because they serve very different roles. Conflating them leads to misleading apple-to-apple comparisons. Here is how to use each correctly:</w:t>
      </w:r>
    </w:p>
    <w:p>
      <w:pPr>
        <w:spacing w:before="80" w:after="0"/>
      </w:pPr>
      <w:r>
        <w:t xml:space="preserve"/>
      </w:r>
    </w:p>
    <w:p>
      <w:pPr>
        <w:pStyle w:val="Heading2"/>
        <w:spacing w:before="240" w:after="80"/>
      </w:pPr>
      <w:r>
        <w:rPr>
          <w:rFonts w:ascii="Arial" w:cs="Arial" w:eastAsia="Arial" w:hAnsi="Arial"/>
          <w:b/>
          <w:bCs/>
          <w:color w:val="2E75B6"/>
          <w:sz w:val="26"/>
          <w:szCs w:val="26"/>
        </w:rPr>
        <w:t xml:space="preserve">5.1  Google AdWords / Keyword Planner — The Authoritative SV Baseline</w:t>
      </w:r>
    </w:p>
    <w:p>
      <w:pPr>
        <w:spacing w:before="60" w:after="60"/>
      </w:pPr>
      <w:r>
        <w:rPr>
          <w:rFonts w:ascii="Arial" w:cs="Arial" w:eastAsia="Arial" w:hAnsi="Arial"/>
          <w:color w:val="404040"/>
          <w:sz w:val="20"/>
          <w:szCs w:val="20"/>
        </w:rPr>
        <w:t xml:space="preserve">AdWords is the starting point for any SV to ASV conversion pipeline. It is not a source of AI prompt data, but it is the most trusted source of traditional Search Volume because the data originates directly from Google's own query logs.</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Volume is reported in buckets (e.g., 1K-10K, 10K-100K), not exact numbers — this introduces approximately 30-50% uncertainty even at the SV level before any AI conversion is applied.</w:t>
      </w:r>
    </w:p>
    <w:p>
      <w:pPr>
        <w:pStyle w:val="ListParagraph"/>
        <w:numPr>
          <w:ilvl w:val="0"/>
          <w:numId w:val="2"/>
        </w:numPr>
        <w:spacing w:before="40" w:after="40"/>
      </w:pPr>
      <w:r>
        <w:rPr>
          <w:rFonts w:ascii="Arial" w:cs="Arial" w:eastAsia="Arial" w:hAnsi="Arial"/>
          <w:color w:val="404040"/>
          <w:sz w:val="20"/>
          <w:szCs w:val="20"/>
        </w:rPr>
        <w:t xml:space="preserve">Informational long-tail queries, which dominate AI prompts, tend to be under-reported or bucketed into low ranges in AdWords.</w:t>
      </w:r>
    </w:p>
    <w:p>
      <w:pPr>
        <w:pStyle w:val="ListParagraph"/>
        <w:numPr>
          <w:ilvl w:val="0"/>
          <w:numId w:val="2"/>
        </w:numPr>
        <w:spacing w:before="40" w:after="40"/>
      </w:pPr>
      <w:r>
        <w:rPr>
          <w:rFonts w:ascii="Arial" w:cs="Arial" w:eastAsia="Arial" w:hAnsi="Arial"/>
          <w:color w:val="404040"/>
          <w:sz w:val="20"/>
          <w:szCs w:val="20"/>
        </w:rPr>
        <w:t xml:space="preserve">Use AdWords as the denominator in GIR ratio calculations: GIR = ASV_observed / SV_adwords. Once GIR is calibrated per intent bucket, apply it across new keywords.</w:t>
      </w:r>
    </w:p>
    <w:p>
      <w:pPr>
        <w:pStyle w:val="ListParagraph"/>
        <w:numPr>
          <w:ilvl w:val="0"/>
          <w:numId w:val="2"/>
        </w:numPr>
        <w:spacing w:before="40" w:after="40"/>
      </w:pPr>
      <w:r>
        <w:rPr>
          <w:rFonts w:ascii="Arial" w:cs="Arial" w:eastAsia="Arial" w:hAnsi="Arial"/>
          <w:color w:val="404040"/>
          <w:sz w:val="20"/>
          <w:szCs w:val="20"/>
        </w:rPr>
        <w:t xml:space="preserve">Cross-validate AdWords SV against DataForSEO for high-priority keywords to catch bucket-boundary distortions.</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5.2  DataForSEO — Bulk API Layer for SV Triangulation</w:t>
      </w:r>
    </w:p>
    <w:p>
      <w:pPr>
        <w:spacing w:before="60" w:after="60"/>
      </w:pPr>
      <w:r>
        <w:rPr>
          <w:rFonts w:ascii="Arial" w:cs="Arial" w:eastAsia="Arial" w:hAnsi="Arial"/>
          <w:color w:val="404040"/>
          <w:sz w:val="20"/>
          <w:szCs w:val="20"/>
        </w:rPr>
        <w:t xml:space="preserve">DataForSEO provides programmatic access to Google Ads keyword volume data via API, along with aggregated data from Bing, YouTube, and App Store search. It is particularly valuable for bulk keyword processing and triangulation at scale.</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Pull raw SV for large keyword sets (thousands of keywords) faster and more cost-effectively than through the Google Ads UI directly.</w:t>
      </w:r>
    </w:p>
    <w:p>
      <w:pPr>
        <w:pStyle w:val="ListParagraph"/>
        <w:numPr>
          <w:ilvl w:val="0"/>
          <w:numId w:val="2"/>
        </w:numPr>
        <w:spacing w:before="40" w:after="40"/>
      </w:pPr>
      <w:r>
        <w:rPr>
          <w:rFonts w:ascii="Arial" w:cs="Arial" w:eastAsia="Arial" w:hAnsi="Arial"/>
          <w:color w:val="404040"/>
          <w:sz w:val="20"/>
          <w:szCs w:val="20"/>
        </w:rPr>
        <w:t xml:space="preserve">Access historical monthly volume trends at keyword level — useful for identifying seasonal patterns that affect ASV conversion ratios.</w:t>
      </w:r>
    </w:p>
    <w:p>
      <w:pPr>
        <w:pStyle w:val="ListParagraph"/>
        <w:numPr>
          <w:ilvl w:val="0"/>
          <w:numId w:val="2"/>
        </w:numPr>
        <w:spacing w:before="40" w:after="40"/>
      </w:pPr>
      <w:r>
        <w:rPr>
          <w:rFonts w:ascii="Arial" w:cs="Arial" w:eastAsia="Arial" w:hAnsi="Arial"/>
          <w:color w:val="404040"/>
          <w:sz w:val="20"/>
          <w:szCs w:val="20"/>
        </w:rPr>
        <w:t xml:space="preserve">Cross-validation check: Compare DataForSEO SV vs. Semrush SV for the same keywords. Divergences greater than 50% flag keywords where Semrush's model may be inflating or deflating estimates.</w:t>
      </w:r>
    </w:p>
    <w:p>
      <w:pPr>
        <w:pStyle w:val="ListParagraph"/>
        <w:numPr>
          <w:ilvl w:val="0"/>
          <w:numId w:val="2"/>
        </w:numPr>
        <w:spacing w:before="40" w:after="40"/>
      </w:pPr>
      <w:r>
        <w:rPr>
          <w:rFonts w:ascii="Arial" w:cs="Arial" w:eastAsia="Arial" w:hAnsi="Arial"/>
          <w:color w:val="404040"/>
          <w:sz w:val="20"/>
          <w:szCs w:val="20"/>
        </w:rPr>
        <w:t xml:space="preserve">Important: DataForSEO does not provide ASV. It is purely a traditional SV source. Do not use its volume numbers as AI search volumes without GIR conversion.</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5.3  Semrush Estimates — Cross-Check, Not Ground Truth</w:t>
      </w:r>
    </w:p>
    <w:p>
      <w:pPr>
        <w:spacing w:before="60" w:after="60"/>
      </w:pPr>
      <w:r>
        <w:rPr>
          <w:rFonts w:ascii="Arial" w:cs="Arial" w:eastAsia="Arial" w:hAnsi="Arial"/>
          <w:color w:val="404040"/>
          <w:sz w:val="20"/>
          <w:szCs w:val="20"/>
        </w:rPr>
        <w:t xml:space="preserve">Semrush's AI visibility and keyword volume estimates are composite figures produced by Semrush's own models, not raw observed data. Understanding what goes into these estimates is critical:</w:t>
      </w:r>
    </w:p>
    <w:p>
      <w:pPr>
        <w:spacing w:before="60" w:after="0"/>
      </w:pPr>
      <w:r>
        <w:t xml:space="preserve"/>
      </w:r>
    </w:p>
    <w:p>
      <w:pPr>
        <w:spacing w:before="60" w:after="60"/>
      </w:pPr>
      <w:r>
        <w:rPr>
          <w:rFonts w:ascii="Arial" w:cs="Arial" w:eastAsia="Arial" w:hAnsi="Arial"/>
          <w:color w:val="404040"/>
          <w:sz w:val="20"/>
          <w:szCs w:val="20"/>
        </w:rPr>
        <w:t xml:space="preserve">Semrush AI Volume = f(Datos clickstream + Synthetic prompt generation via LLM + AdWords SV base + Extrapolation model)</w:t>
      </w:r>
    </w:p>
    <w:p>
      <w:pPr>
        <w:spacing w:before="4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Semrush traditional SV is itself an estimate — uses AdWords data as a base layer plus its own clickstream corrections. Prefer DataForSEO or AdWords directly for raw SV inputs.</w:t>
      </w:r>
    </w:p>
    <w:p>
      <w:pPr>
        <w:pStyle w:val="ListParagraph"/>
        <w:numPr>
          <w:ilvl w:val="0"/>
          <w:numId w:val="2"/>
        </w:numPr>
        <w:spacing w:before="40" w:after="40"/>
      </w:pPr>
      <w:r>
        <w:rPr>
          <w:rFonts w:ascii="Arial" w:cs="Arial" w:eastAsia="Arial" w:hAnsi="Arial"/>
          <w:color w:val="404040"/>
          <w:sz w:val="20"/>
          <w:szCs w:val="20"/>
        </w:rPr>
        <w:t xml:space="preserve">Semrush AI Search Volume figures are doubly estimated: first SV is estimated, then an AI conversion layer is applied on top. Treat as directional signals, not authoritative numbers.</w:t>
      </w:r>
    </w:p>
    <w:p>
      <w:pPr>
        <w:pStyle w:val="ListParagraph"/>
        <w:numPr>
          <w:ilvl w:val="0"/>
          <w:numId w:val="2"/>
        </w:numPr>
        <w:spacing w:before="40" w:after="40"/>
      </w:pPr>
      <w:r>
        <w:rPr>
          <w:rFonts w:ascii="Arial" w:cs="Arial" w:eastAsia="Arial" w:hAnsi="Arial"/>
          <w:color w:val="404040"/>
          <w:sz w:val="20"/>
          <w:szCs w:val="20"/>
        </w:rPr>
        <w:t xml:space="preserve">Synthetic prompt inflation risk: Semrush uses LLM-generated synthetic prompts to expand its prompt database, which may overestimate AI volume for topics with limited real AI search activity.</w:t>
      </w:r>
    </w:p>
    <w:p>
      <w:pPr>
        <w:pStyle w:val="ListParagraph"/>
        <w:numPr>
          <w:ilvl w:val="0"/>
          <w:numId w:val="2"/>
        </w:numPr>
        <w:spacing w:before="40" w:after="40"/>
      </w:pPr>
      <w:r>
        <w:rPr>
          <w:rFonts w:ascii="Arial" w:cs="Arial" w:eastAsia="Arial" w:hAnsi="Arial"/>
          <w:color w:val="404040"/>
          <w:sz w:val="20"/>
          <w:szCs w:val="20"/>
        </w:rPr>
        <w:t xml:space="preserve">Best use case: Semrush AI estimates are most reliable for high-volume informational keywords. For niche or commercial keywords, cross-validate against Profound and DataForSEO GIR conversion.</w:t>
      </w:r>
    </w:p>
    <w:p>
      <w:pPr>
        <w:spacing w:before="100" w:after="0"/>
      </w:pPr>
      <w:r>
        <w:t xml:space="preserve"/>
      </w:r>
    </w:p>
    <w:p>
      <w:pPr>
        <w:pStyle w:val="Heading2"/>
        <w:spacing w:before="240" w:after="80"/>
      </w:pPr>
      <w:r>
        <w:rPr>
          <w:rFonts w:ascii="Arial" w:cs="Arial" w:eastAsia="Arial" w:hAnsi="Arial"/>
          <w:b/>
          <w:bCs/>
          <w:color w:val="2E75B6"/>
          <w:sz w:val="26"/>
          <w:szCs w:val="26"/>
        </w:rPr>
        <w:t xml:space="preserve">5.4  Profound as Worst-Case Baseline — Floor, Not Ceiling</w:t>
      </w:r>
    </w:p>
    <w:p>
      <w:pPr>
        <w:spacing w:before="60" w:after="60"/>
      </w:pPr>
      <w:r>
        <w:rPr>
          <w:rFonts w:ascii="Arial" w:cs="Arial" w:eastAsia="Arial" w:hAnsi="Arial"/>
          <w:color w:val="404040"/>
          <w:sz w:val="20"/>
          <w:szCs w:val="20"/>
        </w:rPr>
        <w:t xml:space="preserve">Profound represents the most direct measurement of AI prompts currently available. Treating it as the worst-case baseline means: Profound's estimates are the minimum credibility bar. If our estimates cannot match Profound's quality, our pipeline needs immediate attention.</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Opt-in panel bias: Panelists over-represent tech-savvy early adopters and under-represent casual mobile users — skewing estimates toward tech-heavy topics.</w:t>
      </w:r>
    </w:p>
    <w:p>
      <w:pPr>
        <w:pStyle w:val="ListParagraph"/>
        <w:numPr>
          <w:ilvl w:val="0"/>
          <w:numId w:val="2"/>
        </w:numPr>
        <w:spacing w:before="40" w:after="40"/>
      </w:pPr>
      <w:r>
        <w:rPr>
          <w:rFonts w:ascii="Arial" w:cs="Arial" w:eastAsia="Arial" w:hAnsi="Arial"/>
          <w:color w:val="404040"/>
          <w:sz w:val="20"/>
          <w:szCs w:val="20"/>
        </w:rPr>
        <w:t xml:space="preserve">Panel size limitation: Even at hundreds of millions of prompts per month, Profound's panel represents a fraction of estimated global AI queries (~2.5 billion per day). The extrapolation multiplier amplifies any sampling error.</w:t>
      </w:r>
    </w:p>
    <w:p>
      <w:pPr>
        <w:pStyle w:val="ListParagraph"/>
        <w:numPr>
          <w:ilvl w:val="0"/>
          <w:numId w:val="2"/>
        </w:numPr>
        <w:spacing w:before="40" w:after="40"/>
      </w:pPr>
      <w:r>
        <w:rPr>
          <w:rFonts w:ascii="Arial" w:cs="Arial" w:eastAsia="Arial" w:hAnsi="Arial"/>
          <w:color w:val="404040"/>
          <w:sz w:val="20"/>
          <w:szCs w:val="20"/>
        </w:rPr>
        <w:t xml:space="preserve">No enterprise coverage: Enterprise AI usage via Teams, API integrations, and embedded AI is not captured in consumer panels. B2B and developer verticals are systematically under-counted.</w:t>
      </w:r>
    </w:p>
    <w:p>
      <w:pPr>
        <w:pStyle w:val="ListParagraph"/>
        <w:numPr>
          <w:ilvl w:val="0"/>
          <w:numId w:val="2"/>
        </w:numPr>
        <w:spacing w:before="40" w:after="40"/>
      </w:pPr>
      <w:r>
        <w:rPr>
          <w:rFonts w:ascii="Arial" w:cs="Arial" w:eastAsia="Arial" w:hAnsi="Arial"/>
          <w:color w:val="404040"/>
          <w:sz w:val="20"/>
          <w:szCs w:val="20"/>
        </w:rPr>
        <w:t xml:space="preserve">Geography gaps: Coverage is strongest in English-speaking markets. Non-English prompt volumes are materially under-represented.</w:t>
      </w:r>
    </w:p>
    <w:p>
      <w:pPr>
        <w:spacing w:before="60" w:after="0"/>
      </w:pPr>
      <w:r>
        <w:t xml:space="preserve"/>
      </w:r>
    </w:p>
    <w:p>
      <w:pPr>
        <w:spacing w:before="60" w:after="60"/>
      </w:pPr>
      <w:r>
        <w:rPr>
          <w:rFonts w:ascii="Arial" w:cs="Arial" w:eastAsia="Arial" w:hAnsi="Arial"/>
          <w:i/>
          <w:iCs/>
          <w:color w:val="404040"/>
          <w:sz w:val="20"/>
          <w:szCs w:val="20"/>
        </w:rPr>
        <w:t xml:space="preserve">Practical instruction: Set Profound's published volume estimate as the minimum credible estimate for any keyword. Our internal estimate should meet or exceed Profound where we have broader signal coverage. If our numbers are consistently lower than Profound, it signals under-counting in our pipeline.</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6.  Improvement Roadmap: Apple-to-Apple Comparison</w:t>
      </w:r>
    </w:p>
    <w:p>
      <w:pPr>
        <w:spacing w:before="80" w:after="0"/>
      </w:pPr>
      <w:r>
        <w:t xml:space="preserve"/>
      </w:r>
    </w:p>
    <w:p>
      <w:pPr>
        <w:spacing w:before="60" w:after="60"/>
      </w:pPr>
      <w:r>
        <w:rPr>
          <w:rFonts w:ascii="Arial" w:cs="Arial" w:eastAsia="Arial" w:hAnsi="Arial"/>
          <w:color w:val="404040"/>
          <w:sz w:val="20"/>
          <w:szCs w:val="20"/>
        </w:rPr>
        <w:t xml:space="preserve">To achieve genuine comparability between our internal prompt volume estimates and market estimates from Profound, Semrush, and others, the following phased roadmap is recommended: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000"/>
        <w:gridCol w:w="1760"/>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Timeline</w:t>
            </w:r>
          </w:p>
        </w:tc>
        <w:tc>
          <w:tcPr>
            <w:tcW w:type="dxa" w:w="3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Action Item</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Expected Output / Impact</w:t>
            </w:r>
          </w:p>
        </w:tc>
        <w:tc>
          <w:tcPr>
            <w:tcW w:type="dxa" w:w="17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1 (Now)</w:t>
            </w:r>
          </w:p>
        </w:tc>
        <w:tc>
          <w:tcPr>
            <w:tcW w:type="dxa" w:w="3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Benchmark current internal estimates vs Profound &amp; Writesonic on overlapping keywords; compute correlation &amp; deviation %</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Build a shared comparison framework: Intent Level → Prompt Level → Keyword Level; quantify gap size</w:t>
            </w:r>
          </w:p>
        </w:tc>
        <w:tc>
          <w:tcPr>
            <w:tcW w:type="dxa" w:w="17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r>
        <w:tc>
          <w:tcPr>
            <w:tcW w:type="dxa" w:w="1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1 (Now)</w:t>
            </w:r>
          </w:p>
        </w:tc>
        <w:tc>
          <w:tcPr>
            <w:tcW w:type="dxa" w:w="3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Integrate Google Ads/Keyword Planner as baseline traditional SV; compute Generative Intent Ratios (GIR) per intent bucket using available panel data</w:t>
            </w:r>
          </w:p>
        </w:tc>
        <w:tc>
          <w:tcPr>
            <w:tcW w:type="dxa" w:w="3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Establish intent-level SV baseline; begin calibrating SV → ASV conversion factors</w:t>
            </w:r>
          </w:p>
        </w:tc>
        <w:tc>
          <w:tcPr>
            <w:tcW w:type="dxa" w:w="176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r>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2 (1-2 months)</w:t>
            </w:r>
          </w:p>
        </w:tc>
        <w:tc>
          <w:tcPr>
            <w:tcW w:type="dxa" w:w="3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Partner with or purchase Datos/Similarweb clickstream data; track user journeys on AI platforms (ChatGPT, Gemini, Perplexity, Claude) to observe real behavioral shifts</w:t>
            </w:r>
          </w:p>
        </w:tc>
        <w:tc>
          <w:tcPr>
            <w:tcW w:type="dxa" w:w="3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Field data validation layer; reduces dependence on single-source estimates</w:t>
            </w:r>
          </w:p>
        </w:tc>
        <w:tc>
          <w:tcPr>
            <w:tcW w:type="dxa" w:w="1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r>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2 (1-2 months)</w:t>
            </w:r>
          </w:p>
        </w:tc>
        <w:tc>
          <w:tcPr>
            <w:tcW w:type="dxa" w:w="3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Build ensemble model combining: (1) Traditional SV × GIR multiplier, (2) Consumer panel data (if procured), (3) Public forum signals (Reddit, Stack Overflow volumes)</w:t>
            </w:r>
          </w:p>
        </w:tc>
        <w:tc>
          <w:tcPr>
            <w:tcW w:type="dxa" w:w="3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Multi-source ensemble improves robustness; cross-source triangulation narrows confidence intervals</w:t>
            </w:r>
          </w:p>
        </w:tc>
        <w:tc>
          <w:tcPr>
            <w:tcW w:type="dxa" w:w="1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r>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3 (3+ months)</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Run a consumer survey panel (or partner with an existing opt-in panel) focused on AI search behavior — capturing intent, platform preference, and query frequency by topic</w:t>
            </w:r>
          </w:p>
        </w:tc>
        <w:tc>
          <w:tcPr>
            <w:tcW w:type="dxa" w:w="3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Proprietary ground truth data for high-priority verticals; enables demographic-level breakdowns</w:t>
            </w:r>
          </w:p>
        </w:tc>
        <w:tc>
          <w:tcPr>
            <w:tcW w:type="dxa" w:w="1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r>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Phase 3 (3+ months)</w:t>
            </w:r>
          </w:p>
        </w:tc>
        <w:tc>
          <w:tcPr>
            <w:tcW w:type="dxa" w:w="3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Develop weighted averaging approach: assign reliability weights to each source based on methodology transparency, panel size, and cross-validation performance; produce unified ASV estimate with confidence intervals</w:t>
            </w:r>
          </w:p>
        </w:tc>
        <w:tc>
          <w:tcPr>
            <w:tcW w:type="dxa" w:w="3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Apple-to-apple ASV estimates with stated uncertainty ranges; directly comparable to Profound/Semrush outputs</w:t>
            </w:r>
          </w:p>
        </w:tc>
        <w:tc>
          <w:tcPr>
            <w:tcW w:type="dxa" w:w="17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r>
    </w:tbl>
    <w:p>
      <w:pPr>
        <w:spacing w:before="100" w:after="0"/>
      </w:pPr>
      <w:r>
        <w:t xml:space="preserve"/>
      </w:r>
    </w:p>
    <w:p>
      <w:pPr>
        <w:pStyle w:val="Heading2"/>
        <w:spacing w:before="240" w:after="80"/>
      </w:pPr>
      <w:r>
        <w:rPr>
          <w:rFonts w:ascii="Arial" w:cs="Arial" w:eastAsia="Arial" w:hAnsi="Arial"/>
          <w:b/>
          <w:bCs/>
          <w:color w:val="2E75B6"/>
          <w:sz w:val="26"/>
          <w:szCs w:val="26"/>
        </w:rPr>
        <w:t xml:space="preserve">5.1  Weighted Averaging Framework</w:t>
      </w:r>
    </w:p>
    <w:p>
      <w:pPr>
        <w:spacing w:before="60" w:after="60"/>
      </w:pPr>
      <w:r>
        <w:rPr>
          <w:rFonts w:ascii="Arial" w:cs="Arial" w:eastAsia="Arial" w:hAnsi="Arial"/>
          <w:color w:val="404040"/>
          <w:sz w:val="20"/>
          <w:szCs w:val="20"/>
        </w:rPr>
        <w:t xml:space="preserve">To combine estimates from multiple sources into a single, defensible AI Search Volume number, the following weighted averaging approach is recommended:</w:t>
      </w:r>
    </w:p>
    <w:p>
      <w:pPr>
        <w:spacing w:before="60" w:after="0"/>
      </w:pPr>
      <w:r>
        <w:t xml:space="preserve"/>
      </w:r>
    </w:p>
    <w:p>
      <w:pPr>
        <w:spacing w:before="60" w:after="60"/>
      </w:pPr>
      <w:r>
        <w:rPr>
          <w:rFonts w:ascii="Arial" w:cs="Arial" w:eastAsia="Arial" w:hAnsi="Arial"/>
          <w:color w:val="404040"/>
          <w:sz w:val="20"/>
          <w:szCs w:val="20"/>
        </w:rPr>
        <w:t xml:space="preserve">ASV (final) = w₁ × ASV_profound + w₂ × (ASV_semrush_est) + w₃ × (SV_dataforseo × GIR) + w₄ × ASV_writesonic</w:t>
      </w:r>
    </w:p>
    <w:p>
      <w:pPr>
        <w:spacing w:before="40" w:after="0"/>
      </w:pPr>
      <w:r>
        <w:t xml:space="preserve"/>
      </w:r>
    </w:p>
    <w:p>
      <w:pPr>
        <w:spacing w:before="60" w:after="60"/>
      </w:pPr>
      <w:r>
        <w:rPr>
          <w:rFonts w:ascii="Arial" w:cs="Arial" w:eastAsia="Arial" w:hAnsi="Arial"/>
          <w:color w:val="404040"/>
          <w:sz w:val="20"/>
          <w:szCs w:val="20"/>
        </w:rPr>
        <w:t xml:space="preserve">Where weights (w₁...w₄) are assigned based on:</w:t>
      </w:r>
    </w:p>
    <w:p>
      <w:pPr>
        <w:pStyle w:val="ListParagraph"/>
        <w:numPr>
          <w:ilvl w:val="0"/>
          <w:numId w:val="2"/>
        </w:numPr>
        <w:spacing w:before="40" w:after="40"/>
      </w:pPr>
      <w:r>
        <w:rPr>
          <w:rFonts w:ascii="Arial" w:cs="Arial" w:eastAsia="Arial" w:hAnsi="Arial"/>
          <w:color w:val="404040"/>
          <w:sz w:val="20"/>
          <w:szCs w:val="20"/>
        </w:rPr>
        <w:t xml:space="preserve">Methodology transparency — sources with openly documented methodologies receive higher weight.</w:t>
      </w:r>
    </w:p>
    <w:p>
      <w:pPr>
        <w:pStyle w:val="ListParagraph"/>
        <w:numPr>
          <w:ilvl w:val="0"/>
          <w:numId w:val="2"/>
        </w:numPr>
        <w:spacing w:before="40" w:after="40"/>
      </w:pPr>
      <w:r>
        <w:rPr>
          <w:rFonts w:ascii="Arial" w:cs="Arial" w:eastAsia="Arial" w:hAnsi="Arial"/>
          <w:color w:val="404040"/>
          <w:sz w:val="20"/>
          <w:szCs w:val="20"/>
        </w:rPr>
        <w:t xml:space="preserve">Panel size / sample coverage — larger, better-validated panels receive higher weight.</w:t>
      </w:r>
    </w:p>
    <w:p>
      <w:pPr>
        <w:pStyle w:val="ListParagraph"/>
        <w:numPr>
          <w:ilvl w:val="0"/>
          <w:numId w:val="2"/>
        </w:numPr>
        <w:spacing w:before="40" w:after="40"/>
      </w:pPr>
      <w:r>
        <w:rPr>
          <w:rFonts w:ascii="Arial" w:cs="Arial" w:eastAsia="Arial" w:hAnsi="Arial"/>
          <w:color w:val="404040"/>
          <w:sz w:val="20"/>
          <w:szCs w:val="20"/>
        </w:rPr>
        <w:t xml:space="preserve">Cross-validation performance — sources that correlate well with other ground-truth signals receive higher weight.</w:t>
      </w:r>
    </w:p>
    <w:p>
      <w:pPr>
        <w:pStyle w:val="ListParagraph"/>
        <w:numPr>
          <w:ilvl w:val="0"/>
          <w:numId w:val="2"/>
        </w:numPr>
        <w:spacing w:before="40" w:after="40"/>
      </w:pPr>
      <w:r>
        <w:rPr>
          <w:rFonts w:ascii="Arial" w:cs="Arial" w:eastAsia="Arial" w:hAnsi="Arial"/>
          <w:color w:val="404040"/>
          <w:sz w:val="20"/>
          <w:szCs w:val="20"/>
        </w:rPr>
        <w:t xml:space="preserve">Recency — more frequently updated sources receive higher weight for volatile/trending topics.</w:t>
      </w:r>
    </w:p>
    <w:p>
      <w:pPr>
        <w:spacing w:before="60" w:after="0"/>
      </w:pPr>
      <w:r>
        <w:t xml:space="preserve"/>
      </w:r>
    </w:p>
    <w:p>
      <w:pPr>
        <w:spacing w:before="60" w:after="60"/>
      </w:pPr>
      <w:r>
        <w:rPr>
          <w:rFonts w:ascii="Arial" w:cs="Arial" w:eastAsia="Arial" w:hAnsi="Arial"/>
          <w:i/>
          <w:iCs/>
          <w:color w:val="404040"/>
          <w:sz w:val="20"/>
          <w:szCs w:val="20"/>
        </w:rPr>
        <w:t xml:space="preserve">Initially, weights should be equal (0.25 each) and then recalibrated through A/B testing of predictions against real-world outcomes such as brand mention rates, traffic referral volumes, and topic trending signals.</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7.  Key Limitations &amp; Honest Assessment</w:t>
      </w:r>
    </w:p>
    <w:p>
      <w:pPr>
        <w:spacing w:before="80" w:after="0"/>
      </w:pPr>
      <w:r>
        <w:t xml:space="preserve"/>
      </w:r>
    </w:p>
    <w:p>
      <w:pPr>
        <w:spacing w:before="60" w:after="60"/>
      </w:pPr>
      <w:r>
        <w:rPr>
          <w:rFonts w:ascii="Arial" w:cs="Arial" w:eastAsia="Arial" w:hAnsi="Arial"/>
          <w:color w:val="404040"/>
          <w:sz w:val="20"/>
          <w:szCs w:val="20"/>
        </w:rPr>
        <w:t xml:space="preserve">The industry-wide challenge with AI prompt volumes is significant and should be acknowledged openly:</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No authoritative source exists: Unlike traditional SV where Google provides direct data, there is no equivalent for AI platforms. All current estimates are probabilistic extrapolations.</w:t>
      </w:r>
    </w:p>
    <w:p>
      <w:pPr>
        <w:pStyle w:val="ListParagraph"/>
        <w:numPr>
          <w:ilvl w:val="0"/>
          <w:numId w:val="2"/>
        </w:numPr>
        <w:spacing w:before="40" w:after="40"/>
      </w:pPr>
      <w:r>
        <w:rPr>
          <w:rFonts w:ascii="Arial" w:cs="Arial" w:eastAsia="Arial" w:hAnsi="Arial"/>
          <w:color w:val="404040"/>
          <w:sz w:val="20"/>
          <w:szCs w:val="20"/>
        </w:rPr>
        <w:t xml:space="preserve">Sample coverage is critically thin: Even Profound, the most direct source, processes a panel that represents far less than 1% of the estimated 2.5 billion daily AI inputs. This creates substantial extrapolation risk.</w:t>
      </w:r>
    </w:p>
    <w:p>
      <w:pPr>
        <w:pStyle w:val="ListParagraph"/>
        <w:numPr>
          <w:ilvl w:val="0"/>
          <w:numId w:val="2"/>
        </w:numPr>
        <w:spacing w:before="40" w:after="40"/>
      </w:pPr>
      <w:r>
        <w:rPr>
          <w:rFonts w:ascii="Arial" w:cs="Arial" w:eastAsia="Arial" w:hAnsi="Arial"/>
          <w:color w:val="404040"/>
          <w:sz w:val="20"/>
          <w:szCs w:val="20"/>
        </w:rPr>
        <w:t xml:space="preserve">Demographic and platform skew: Consumer panels tend to over-represent tech-savvy, desktop users. Enterprise and mobile-app usage is systematically under-counted by most current methods.</w:t>
      </w:r>
    </w:p>
    <w:p>
      <w:pPr>
        <w:pStyle w:val="ListParagraph"/>
        <w:numPr>
          <w:ilvl w:val="0"/>
          <w:numId w:val="2"/>
        </w:numPr>
        <w:spacing w:before="40" w:after="40"/>
      </w:pPr>
      <w:r>
        <w:rPr>
          <w:rFonts w:ascii="Arial" w:cs="Arial" w:eastAsia="Arial" w:hAnsi="Arial"/>
          <w:color w:val="404040"/>
          <w:sz w:val="20"/>
          <w:szCs w:val="20"/>
        </w:rPr>
        <w:t xml:space="preserve">Phrase fragmentation problem: A single intent ('find project management software') can manifest as thousands of distinct natural language prompts in AI platforms. Volume attribution across these variants is methodologically complex.</w:t>
      </w:r>
    </w:p>
    <w:p>
      <w:pPr>
        <w:pStyle w:val="ListParagraph"/>
        <w:numPr>
          <w:ilvl w:val="[object Object]"/>
          <w:numId w:val="2"/>
        </w:numPr>
        <w:spacing w:before="40" w:after="40"/>
      </w:pPr>
      <w:r>
        <w:rPr>
          <w:rFonts w:ascii="Arial" w:cs="Arial" w:eastAsia="Arial" w:hAnsi="Arial"/>
          <w:color w:val="404040"/>
          <w:sz w:val="20"/>
          <w:szCs w:val="20"/>
        </w:rPr>
        <w:t xml:space="preserve">Pseudo-accuracy risk: Volume numbers from current tools appear precise but carry significant uncertainty. Use them as directional signals and confidence ranges, not exact figures.</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8.  Recommended Immediate Actions for Sai</w:t>
      </w:r>
    </w:p>
    <w:p>
      <w:pPr>
        <w:spacing w:before="80" w:after="0"/>
      </w:pPr>
      <w:r>
        <w:t xml:space="preserve"/>
      </w:r>
    </w:p>
    <w:p>
      <w:pPr>
        <w:spacing w:before="60" w:after="60"/>
      </w:pPr>
      <w:r>
        <w:rPr>
          <w:rFonts w:ascii="Arial" w:cs="Arial" w:eastAsia="Arial" w:hAnsi="Arial"/>
          <w:color w:val="404040"/>
          <w:sz w:val="20"/>
          <w:szCs w:val="20"/>
        </w:rPr>
        <w:t xml:space="preserve">Prioritised tasks to begin building confidence in our prompt volume estimations:</w:t>
      </w:r>
    </w:p>
    <w:p>
      <w:pPr>
        <w:spacing w:before="6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Action 1 — Source benchmarking: Pull prompt volume estimates from Profound and Writesonic for 50-100 overlapping keywords. Compute correlation with our internal estimates. Identify systematic over/under-estimation patterns.</w:t>
      </w:r>
    </w:p>
    <w:p>
      <w:pPr>
        <w:pStyle w:val="ListParagraph"/>
        <w:numPr>
          <w:ilvl w:val="0"/>
          <w:numId w:val="2"/>
        </w:numPr>
        <w:spacing w:before="40" w:after="40"/>
      </w:pPr>
      <w:r>
        <w:rPr>
          <w:rFonts w:ascii="Arial" w:cs="Arial" w:eastAsia="Arial" w:hAnsi="Arial"/>
          <w:color w:val="404040"/>
          <w:sz w:val="20"/>
          <w:szCs w:val="20"/>
        </w:rPr>
        <w:t xml:space="preserve">Action 2 — GIR calibration: Use Google Ads data + Profound panel data for the same keywords to compute empirical GIR values by intent category. This calibrates our SV → ASV conversion.</w:t>
      </w:r>
    </w:p>
    <w:p>
      <w:pPr>
        <w:pStyle w:val="ListParagraph"/>
        <w:numPr>
          <w:ilvl w:val="0"/>
          <w:numId w:val="2"/>
        </w:numPr>
        <w:spacing w:before="40" w:after="40"/>
      </w:pPr>
      <w:r>
        <w:rPr>
          <w:rFonts w:ascii="Arial" w:cs="Arial" w:eastAsia="Arial" w:hAnsi="Arial"/>
          <w:color w:val="404040"/>
          <w:sz w:val="20"/>
          <w:szCs w:val="20"/>
        </w:rPr>
        <w:t xml:space="preserve">Action 3 — Evaluate Datos/Similarweb data purchase: Assess cost vs. benefit of purchasing clickstream data as a behavioral validation layer for our models.</w:t>
      </w:r>
    </w:p>
    <w:p>
      <w:pPr>
        <w:pStyle w:val="ListParagraph"/>
        <w:numPr>
          <w:ilvl w:val="0"/>
          <w:numId w:val="2"/>
        </w:numPr>
        <w:spacing w:before="40" w:after="40"/>
      </w:pPr>
      <w:r>
        <w:rPr>
          <w:rFonts w:ascii="Arial" w:cs="Arial" w:eastAsia="Arial" w:hAnsi="Arial"/>
          <w:color w:val="404040"/>
          <w:sz w:val="20"/>
          <w:szCs w:val="20"/>
        </w:rPr>
        <w:t xml:space="preserve">Action 4 — Semrush AI Visibility Toolkit trial: Run a structured trial to understand how their prompt database (100M+) compares to Profound at the keyword level. Note: Semrush uses synthetic prompt generation alongside clickstream data, which may inflate certain estimates.</w:t>
      </w:r>
    </w:p>
    <w:p>
      <w:pPr>
        <w:pStyle w:val="ListParagraph"/>
        <w:numPr>
          <w:ilvl w:val="0"/>
          <w:numId w:val="2"/>
        </w:numPr>
        <w:spacing w:before="40" w:after="40"/>
      </w:pPr>
      <w:r>
        <w:rPr>
          <w:rFonts w:ascii="Arial" w:cs="Arial" w:eastAsia="Arial" w:hAnsi="Arial"/>
          <w:color w:val="404040"/>
          <w:sz w:val="20"/>
          <w:szCs w:val="20"/>
        </w:rPr>
        <w:t xml:space="preserve">Action 5 — Intent taxonomy alignment: Map our internal keyword/topic taxonomy to the three-level framework (intent → prompt → keyword) so all comparisons are made at the same level of granularity.</w:t>
      </w:r>
    </w:p>
    <w:p>
      <w:pPr>
        <w:pStyle w:val="ListParagraph"/>
        <w:numPr>
          <w:ilvl w:val="0"/>
          <w:numId w:val="2"/>
        </w:numPr>
        <w:spacing w:before="40" w:after="40"/>
      </w:pPr>
      <w:r>
        <w:rPr>
          <w:rFonts w:ascii="Arial" w:cs="Arial" w:eastAsia="Arial" w:hAnsi="Arial"/>
          <w:color w:val="404040"/>
          <w:sz w:val="20"/>
          <w:szCs w:val="20"/>
        </w:rPr>
        <w:t xml:space="preserve">Action 6 — Document confidence intervals: Begin expressing all ASV estimates with explicit uncertainty ranges (e.g., ±30-40% for most estimates based on current industry accuracy standards) rather than point estimates.</w:t>
      </w:r>
    </w:p>
    <w:p>
      <w:pPr>
        <w:spacing w:before="100" w:after="0"/>
      </w:pPr>
      <w:r>
        <w:t xml:space="preserve"/>
      </w:r>
    </w:p>
    <w:p>
      <w:pPr>
        <w:pBdr>
          <w:bottom w:val="single" w:color="2E75B6" w:sz="6" w:space="1"/>
        </w:pBdr>
        <w:spacing w:before="200" w:after="80"/>
      </w:pPr>
      <w:r>
        <w:rPr>
          <w:rFonts w:ascii="Arial" w:cs="Arial" w:eastAsia="Arial" w:hAnsi="Arial"/>
          <w:b/>
          <w:bCs/>
          <w:color w:val="1F4E79"/>
          <w:sz w:val="28"/>
          <w:szCs w:val="28"/>
        </w:rPr>
        <w:t xml:space="preserve">9.  Reference Links</w:t>
      </w:r>
    </w:p>
    <w:p>
      <w:pPr>
        <w:spacing w:before="80" w:after="0"/>
      </w:pPr>
      <w:r>
        <w:t xml:space="preserve"/>
      </w:r>
    </w:p>
    <w:p>
      <w:pPr>
        <w:spacing w:before="60" w:after="60"/>
      </w:pPr>
      <w:r>
        <w:rPr>
          <w:rFonts w:ascii="Arial" w:cs="Arial" w:eastAsia="Arial" w:hAnsi="Arial"/>
          <w:color w:val="404040"/>
          <w:sz w:val="20"/>
          <w:szCs w:val="20"/>
        </w:rPr>
        <w:t xml:space="preserve">Key references consulted in preparing this document:</w:t>
      </w:r>
    </w:p>
    <w:p>
      <w:pPr>
        <w:spacing w:before="40" w:after="0"/>
      </w:pPr>
      <w:r>
        <w:t xml:space="preserve"/>
      </w:r>
    </w:p>
    <w:p>
      <w:pPr>
        <w:pStyle w:val="ListParagraph"/>
        <w:numPr>
          <w:ilvl w:val="0"/>
          <w:numId w:val="2"/>
        </w:numPr>
        <w:spacing w:before="40" w:after="40"/>
      </w:pPr>
      <w:r>
        <w:rPr>
          <w:rFonts w:ascii="Arial" w:cs="Arial" w:eastAsia="Arial" w:hAnsi="Arial"/>
          <w:color w:val="404040"/>
          <w:sz w:val="20"/>
          <w:szCs w:val="20"/>
        </w:rPr>
        <w:t xml:space="preserve">Profound Prompt Volumes: https://www.tryprofound.com/blog/introducing-prompt-volumes</w:t>
      </w:r>
    </w:p>
    <w:p>
      <w:pPr>
        <w:pStyle w:val="ListParagraph"/>
        <w:numPr>
          <w:ilvl w:val="0"/>
          <w:numId w:val="2"/>
        </w:numPr>
        <w:spacing w:before="40" w:after="40"/>
      </w:pPr>
      <w:r>
        <w:rPr>
          <w:rFonts w:ascii="Arial" w:cs="Arial" w:eastAsia="Arial" w:hAnsi="Arial"/>
          <w:color w:val="404040"/>
          <w:sz w:val="20"/>
          <w:szCs w:val="20"/>
        </w:rPr>
        <w:t xml:space="preserve">Writesonic Prompt Explorer / AI Search Volume: https://writesonic.com/blog/ai-search-volume-prompt-explorer</w:t>
      </w:r>
    </w:p>
    <w:p>
      <w:pPr>
        <w:pStyle w:val="ListParagraph"/>
        <w:numPr>
          <w:ilvl w:val="0"/>
          <w:numId w:val="2"/>
        </w:numPr>
        <w:spacing w:before="40" w:after="40"/>
      </w:pPr>
      <w:r>
        <w:rPr>
          <w:rFonts w:ascii="Arial" w:cs="Arial" w:eastAsia="Arial" w:hAnsi="Arial"/>
          <w:color w:val="404040"/>
          <w:sz w:val="20"/>
          <w:szCs w:val="20"/>
        </w:rPr>
        <w:t xml:space="preserve">Semrush AI Search Visibility Checker: https://www.semrush.com/free-tools/ai-search-visibility-checker/</w:t>
      </w:r>
    </w:p>
    <w:p>
      <w:pPr>
        <w:pStyle w:val="ListParagraph"/>
        <w:numPr>
          <w:ilvl w:val="0"/>
          <w:numId w:val="2"/>
        </w:numPr>
        <w:spacing w:before="40" w:after="40"/>
      </w:pPr>
      <w:r>
        <w:rPr>
          <w:rFonts w:ascii="Arial" w:cs="Arial" w:eastAsia="Arial" w:hAnsi="Arial"/>
          <w:color w:val="404040"/>
          <w:sz w:val="20"/>
          <w:szCs w:val="20"/>
        </w:rPr>
        <w:t xml:space="preserve">Cloudflare AI Search Concepts: https://developers.cloudflare.com/ai-search/concepts/how-ai-search-works/</w:t>
      </w:r>
    </w:p>
    <w:p>
      <w:pPr>
        <w:pStyle w:val="ListParagraph"/>
        <w:numPr>
          <w:ilvl w:val="0"/>
          <w:numId w:val="2"/>
        </w:numPr>
        <w:spacing w:before="40" w:after="40"/>
      </w:pPr>
      <w:r>
        <w:rPr>
          <w:rFonts w:ascii="Arial" w:cs="Arial" w:eastAsia="Arial" w:hAnsi="Arial"/>
          <w:color w:val="404040"/>
          <w:sz w:val="20"/>
          <w:szCs w:val="20"/>
        </w:rPr>
        <w:t xml:space="preserve">Digiday — AI Referral Traffic State 2025: https://digiday.com/media/in-graphic-detail-the-state-of-ai-referral-traffic-in-2025/</w:t>
      </w:r>
    </w:p>
    <w:p>
      <w:pPr>
        <w:pStyle w:val="ListParagraph"/>
        <w:numPr>
          <w:ilvl w:val="0"/>
          <w:numId w:val="2"/>
        </w:numPr>
        <w:spacing w:before="40" w:after="40"/>
      </w:pPr>
      <w:r>
        <w:rPr>
          <w:rFonts w:ascii="Arial" w:cs="Arial" w:eastAsia="Arial" w:hAnsi="Arial"/>
          <w:color w:val="404040"/>
          <w:sz w:val="20"/>
          <w:szCs w:val="20"/>
        </w:rPr>
        <w:t xml:space="preserve">Datos Clickstream (Semrush): https://datos.live</w:t>
      </w:r>
    </w:p>
    <w:p>
      <w:pPr>
        <w:pStyle w:val="ListParagraph"/>
        <w:numPr>
          <w:ilvl w:val="0"/>
          <w:numId w:val="2"/>
        </w:numPr>
        <w:spacing w:before="40" w:after="40"/>
      </w:pPr>
      <w:r>
        <w:rPr>
          <w:rFonts w:ascii="Arial" w:cs="Arial" w:eastAsia="Arial" w:hAnsi="Arial"/>
          <w:color w:val="404040"/>
          <w:sz w:val="20"/>
          <w:szCs w:val="20"/>
        </w:rPr>
        <w:t xml:space="preserve">Similarweb 2025 GenAI Landscape Report</w:t>
      </w:r>
    </w:p>
    <w:p>
      <w:pPr>
        <w:pStyle w:val="ListParagraph"/>
        <w:numPr>
          <w:ilvl w:val="0"/>
          <w:numId w:val="2"/>
        </w:numPr>
        <w:spacing w:before="40" w:after="40"/>
      </w:pPr>
      <w:r>
        <w:rPr>
          <w:rFonts w:ascii="Arial" w:cs="Arial" w:eastAsia="Arial" w:hAnsi="Arial"/>
          <w:color w:val="404040"/>
          <w:sz w:val="20"/>
          <w:szCs w:val="20"/>
        </w:rPr>
        <w:t xml:space="preserve">Conductor — AI Prompt Volume Limitations: https://www.conductor.com/academy/debunking-ai-prompt-volume/</w:t>
      </w:r>
    </w:p>
    <w:p>
      <w:pPr>
        <w:pStyle w:val="ListParagraph"/>
        <w:numPr>
          <w:ilvl w:val="0"/>
          <w:numId w:val="2"/>
        </w:numPr>
        <w:spacing w:before="40" w:after="40"/>
      </w:pPr>
      <w:r>
        <w:rPr>
          <w:rFonts w:ascii="Arial" w:cs="Arial" w:eastAsia="Arial" w:hAnsi="Arial"/>
          <w:color w:val="404040"/>
          <w:sz w:val="20"/>
          <w:szCs w:val="20"/>
        </w:rPr>
        <w:t xml:space="preserve">AthenaHQ QVEM: https://athenahq.ai/index/generative-ai-search-query-volume-estimation-model/</w:t>
      </w:r>
    </w:p>
    <w:p>
      <w:pPr>
        <w:spacing w:before="60" w:after="0"/>
      </w:pPr>
      <w:r>
        <w:t xml:space="preserve"/>
      </w:r>
    </w:p>
    <w:p>
      <w:pPr>
        <w:pBdr>
          <w:top w:val="single" w:color="2E75B6" w:sz="8" w:space="1"/>
        </w:pBdr>
        <w:spacing w:before="200" w:after="0"/>
      </w:pPr>
      <w:r>
        <w:rPr>
          <w:rFonts w:ascii="Arial" w:cs="Arial" w:eastAsia="Arial" w:hAnsi="Arial"/>
          <w:i/>
          <w:iCs/>
          <w:color w:val="404040"/>
          <w:sz w:val="16"/>
          <w:szCs w:val="16"/>
        </w:rPr>
        <w:t xml:space="preserve">Prepared March 2026 — Internal Research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2026-03-03T09:16:35.702Z</dcterms:created>
  <dcterms:modified xsi:type="dcterms:W3CDTF">2026-03-03T09:16:35.702Z</dcterms:modified>
</cp:coreProperties>
</file>

<file path=docProps/custom.xml><?xml version="1.0" encoding="utf-8"?>
<Properties xmlns="http://schemas.openxmlformats.org/officeDocument/2006/custom-properties" xmlns:vt="http://schemas.openxmlformats.org/officeDocument/2006/docPropsVTypes"/>
</file>