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06 Regulators LawEnforcement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Regulator Notice – Intent</w:t>
      </w:r>
    </w:p>
    <w:p>
      <w:pPr>
        <w:spacing w:after="160"/>
      </w:pPr>
      <w:r>
        <w:t>Subject: Notification of security incident – [Company], [Date]</w:t>
        <w:br/>
        <w:br/>
        <w:t>We notify you of an incident affecting [data categories]/[customers in [JURISDICTION]]. Timeline: [key timestamps]. Nature: [brief]. Measures taken: [containment]. Contact: [Legal contact].</w:t>
      </w:r>
    </w:p>
    <w:p>
      <w:pPr>
        <w:pStyle w:val="Heading3"/>
      </w:pPr>
      <w:r>
        <w:t>Law Enforcement – Request</w:t>
      </w:r>
    </w:p>
    <w:p>
      <w:pPr>
        <w:spacing w:after="160"/>
      </w:pPr>
      <w:r>
        <w:t>We request assistance in [case type]. Summary: [facts], indicators of compromise: [IOCs], suspected actors: [if any], evidence preserved: [list]. Point of contact: [name].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