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1C3F8" w14:textId="57067753" w:rsidR="001C2E4E" w:rsidRPr="00B176F3" w:rsidRDefault="007A7B4B" w:rsidP="001C2E4E">
      <w:pPr>
        <w:pStyle w:val="Title"/>
        <w:rPr>
          <w:rStyle w:val="Emphasis"/>
          <w:b w:val="0"/>
          <w:i w:val="0"/>
          <w:spacing w:val="0"/>
        </w:rPr>
      </w:pPr>
      <w:r>
        <w:rPr>
          <w:rStyle w:val="Emphasis"/>
          <w:b w:val="0"/>
          <w:i w:val="0"/>
          <w:spacing w:val="0"/>
        </w:rPr>
        <w:t>Access Control</w:t>
      </w:r>
      <w:r w:rsidR="00D550B1">
        <w:rPr>
          <w:rStyle w:val="Emphasis"/>
          <w:b w:val="0"/>
          <w:i w:val="0"/>
          <w:spacing w:val="0"/>
        </w:rPr>
        <w:t xml:space="preserve"> Procedure</w:t>
      </w:r>
    </w:p>
    <w:p w14:paraId="2677BB04" w14:textId="77777777" w:rsidR="001C2E4E" w:rsidRPr="000576EE" w:rsidRDefault="001C2E4E" w:rsidP="001C2E4E">
      <w:pPr>
        <w:jc w:val="center"/>
        <w:rPr>
          <w:rFonts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1C2E4E" w:rsidRPr="009F2F01" w14:paraId="638EC3E3" w14:textId="77777777" w:rsidTr="00C257FB">
        <w:tc>
          <w:tcPr>
            <w:tcW w:w="1998" w:type="dxa"/>
            <w:shd w:val="clear" w:color="auto" w:fill="C0C0C0"/>
          </w:tcPr>
          <w:p w14:paraId="5A4E4B96" w14:textId="77777777" w:rsidR="001C2E4E" w:rsidRPr="009F2F01" w:rsidRDefault="001C2E4E" w:rsidP="00C257FB">
            <w:pPr>
              <w:rPr>
                <w:rFonts w:cs="Arial"/>
              </w:rPr>
            </w:pPr>
            <w:r w:rsidRPr="009F2F01">
              <w:rPr>
                <w:rFonts w:cs="Arial"/>
              </w:rPr>
              <w:t>Policy Area</w:t>
            </w:r>
          </w:p>
        </w:tc>
        <w:tc>
          <w:tcPr>
            <w:tcW w:w="6858" w:type="dxa"/>
            <w:shd w:val="clear" w:color="auto" w:fill="auto"/>
          </w:tcPr>
          <w:p w14:paraId="08B6B01B" w14:textId="77777777" w:rsidR="001C2E4E" w:rsidRPr="009F2F01" w:rsidRDefault="001C2E4E" w:rsidP="00C257FB">
            <w:pPr>
              <w:rPr>
                <w:rFonts w:cs="Arial"/>
              </w:rPr>
            </w:pPr>
            <w:r w:rsidRPr="009F2F01">
              <w:rPr>
                <w:rFonts w:cs="Arial"/>
              </w:rPr>
              <w:t>IT Policy Library</w:t>
            </w:r>
          </w:p>
        </w:tc>
      </w:tr>
      <w:tr w:rsidR="001C2E4E" w:rsidRPr="009F2F01" w14:paraId="310CD7CA" w14:textId="77777777" w:rsidTr="00C257FB">
        <w:tc>
          <w:tcPr>
            <w:tcW w:w="1998" w:type="dxa"/>
            <w:shd w:val="clear" w:color="auto" w:fill="C0C0C0"/>
          </w:tcPr>
          <w:p w14:paraId="76FDD1A0" w14:textId="77777777" w:rsidR="001C2E4E" w:rsidRPr="009F2F01" w:rsidRDefault="001C2E4E" w:rsidP="00C257FB">
            <w:pPr>
              <w:rPr>
                <w:rFonts w:cs="Arial"/>
              </w:rPr>
            </w:pPr>
            <w:r w:rsidRPr="009F2F01">
              <w:rPr>
                <w:rFonts w:cs="Arial"/>
              </w:rPr>
              <w:t>Approved Date</w:t>
            </w:r>
          </w:p>
        </w:tc>
        <w:tc>
          <w:tcPr>
            <w:tcW w:w="6858" w:type="dxa"/>
            <w:shd w:val="clear" w:color="auto" w:fill="auto"/>
          </w:tcPr>
          <w:p w14:paraId="025FD220" w14:textId="77777777" w:rsidR="001C2E4E" w:rsidRPr="009F2F01" w:rsidRDefault="001C2E4E" w:rsidP="00C257FB">
            <w:pPr>
              <w:rPr>
                <w:rFonts w:cs="Arial"/>
              </w:rPr>
            </w:pPr>
            <w:r w:rsidRPr="009F2F01">
              <w:rPr>
                <w:rFonts w:cs="Arial"/>
              </w:rPr>
              <w:t>December 31, 20XX</w:t>
            </w:r>
          </w:p>
        </w:tc>
      </w:tr>
      <w:tr w:rsidR="001C2E4E" w:rsidRPr="009F2F01" w14:paraId="4AD75926" w14:textId="77777777" w:rsidTr="00C257FB">
        <w:tc>
          <w:tcPr>
            <w:tcW w:w="1998" w:type="dxa"/>
            <w:shd w:val="clear" w:color="auto" w:fill="C0C0C0"/>
          </w:tcPr>
          <w:p w14:paraId="54BF22C5" w14:textId="77777777" w:rsidR="001C2E4E" w:rsidRPr="009F2F01" w:rsidRDefault="001C2E4E" w:rsidP="00C257FB">
            <w:pPr>
              <w:rPr>
                <w:rFonts w:cs="Arial"/>
              </w:rPr>
            </w:pPr>
            <w:r w:rsidRPr="009F2F01">
              <w:rPr>
                <w:rFonts w:cs="Arial"/>
              </w:rPr>
              <w:t>Approved By</w:t>
            </w:r>
          </w:p>
        </w:tc>
        <w:tc>
          <w:tcPr>
            <w:tcW w:w="6858" w:type="dxa"/>
            <w:shd w:val="clear" w:color="auto" w:fill="auto"/>
          </w:tcPr>
          <w:p w14:paraId="43A5CDDC" w14:textId="77777777" w:rsidR="001C2E4E" w:rsidRPr="009F2F01" w:rsidRDefault="001C2E4E" w:rsidP="00C257FB">
            <w:pPr>
              <w:rPr>
                <w:rFonts w:cs="Arial"/>
              </w:rPr>
            </w:pPr>
            <w:r w:rsidRPr="009F2F01">
              <w:rPr>
                <w:rFonts w:cs="Arial"/>
              </w:rPr>
              <w:t xml:space="preserve">Policy Committee </w:t>
            </w:r>
          </w:p>
        </w:tc>
      </w:tr>
      <w:tr w:rsidR="001C2E4E" w:rsidRPr="009F2F01" w14:paraId="3ABF3057" w14:textId="77777777" w:rsidTr="00C257FB">
        <w:tc>
          <w:tcPr>
            <w:tcW w:w="1998" w:type="dxa"/>
            <w:shd w:val="clear" w:color="auto" w:fill="C0C0C0"/>
          </w:tcPr>
          <w:p w14:paraId="4283D3AE" w14:textId="77777777" w:rsidR="001C2E4E" w:rsidRPr="009F2F01" w:rsidRDefault="001C2E4E" w:rsidP="00C257FB">
            <w:pPr>
              <w:rPr>
                <w:rFonts w:cs="Arial"/>
              </w:rPr>
            </w:pPr>
            <w:r w:rsidRPr="009F2F01">
              <w:rPr>
                <w:rFonts w:cs="Arial"/>
              </w:rPr>
              <w:t>Effective Date</w:t>
            </w:r>
          </w:p>
        </w:tc>
        <w:tc>
          <w:tcPr>
            <w:tcW w:w="6858" w:type="dxa"/>
            <w:shd w:val="clear" w:color="auto" w:fill="auto"/>
          </w:tcPr>
          <w:p w14:paraId="565CA1FC" w14:textId="77777777" w:rsidR="001C2E4E" w:rsidRPr="009F2F01" w:rsidRDefault="001C2E4E" w:rsidP="00C257FB">
            <w:pPr>
              <w:rPr>
                <w:rFonts w:cs="Arial"/>
              </w:rPr>
            </w:pPr>
            <w:r w:rsidRPr="009F2F01">
              <w:rPr>
                <w:rFonts w:cs="Arial"/>
              </w:rPr>
              <w:t>January 1, 20XX</w:t>
            </w:r>
          </w:p>
        </w:tc>
      </w:tr>
      <w:tr w:rsidR="001C2E4E" w:rsidRPr="009F2F01" w14:paraId="7276E2F1" w14:textId="77777777" w:rsidTr="00C257FB">
        <w:tc>
          <w:tcPr>
            <w:tcW w:w="1998" w:type="dxa"/>
            <w:shd w:val="clear" w:color="auto" w:fill="C0C0C0"/>
          </w:tcPr>
          <w:p w14:paraId="53AE53BE" w14:textId="77777777" w:rsidR="001C2E4E" w:rsidRPr="009F2F01" w:rsidRDefault="001C2E4E" w:rsidP="00C257FB">
            <w:pPr>
              <w:rPr>
                <w:rFonts w:cs="Arial"/>
              </w:rPr>
            </w:pPr>
            <w:r w:rsidRPr="009F2F01">
              <w:rPr>
                <w:rFonts w:cs="Arial"/>
              </w:rPr>
              <w:t>Current Version</w:t>
            </w:r>
          </w:p>
        </w:tc>
        <w:tc>
          <w:tcPr>
            <w:tcW w:w="6858" w:type="dxa"/>
            <w:shd w:val="clear" w:color="auto" w:fill="auto"/>
          </w:tcPr>
          <w:p w14:paraId="61CF8D91" w14:textId="77777777" w:rsidR="001C2E4E" w:rsidRPr="009F2F01" w:rsidRDefault="001C2E4E" w:rsidP="00C257FB">
            <w:pPr>
              <w:rPr>
                <w:rFonts w:cs="Arial"/>
              </w:rPr>
            </w:pPr>
            <w:r w:rsidRPr="009F2F01">
              <w:rPr>
                <w:rFonts w:cs="Arial"/>
              </w:rPr>
              <w:t>1.0</w:t>
            </w:r>
          </w:p>
        </w:tc>
      </w:tr>
    </w:tbl>
    <w:p w14:paraId="55ED2DA3" w14:textId="77777777" w:rsidR="001C2E4E" w:rsidRPr="000576EE" w:rsidRDefault="001C2E4E" w:rsidP="001C2E4E">
      <w:pPr>
        <w:rPr>
          <w:rFonts w:cs="Arial"/>
        </w:rPr>
      </w:pPr>
    </w:p>
    <w:p w14:paraId="06FCAA3F" w14:textId="77777777" w:rsidR="001C2E4E" w:rsidRPr="003E5988" w:rsidRDefault="001C2E4E" w:rsidP="001C2E4E">
      <w:pPr>
        <w:pStyle w:val="Heading1"/>
      </w:pPr>
      <w:r w:rsidRPr="003E5988">
        <w:t>I. Overview</w:t>
      </w:r>
    </w:p>
    <w:p w14:paraId="261BF92C" w14:textId="34B215D2" w:rsidR="0032125C" w:rsidRPr="000576EE" w:rsidRDefault="00E73CAD" w:rsidP="0032125C">
      <w:pPr>
        <w:rPr>
          <w:rFonts w:cs="Arial"/>
        </w:rPr>
      </w:pPr>
      <w:r>
        <w:rPr>
          <w:rFonts w:cs="Arial"/>
        </w:rPr>
        <w:t>T</w:t>
      </w:r>
      <w:r>
        <w:rPr>
          <w:rFonts w:cs="Arial"/>
        </w:rPr>
        <w:t xml:space="preserve">his </w:t>
      </w:r>
      <w:r>
        <w:rPr>
          <w:rFonts w:cs="Arial"/>
        </w:rPr>
        <w:t>procedure provides detailed steps and actions to secure Information Systems per the Access Control Policy.</w:t>
      </w:r>
    </w:p>
    <w:p w14:paraId="1A32CF00" w14:textId="77777777" w:rsidR="001C2E4E" w:rsidRPr="00557ACD" w:rsidRDefault="001C2E4E" w:rsidP="001C2E4E">
      <w:pPr>
        <w:pStyle w:val="Heading1"/>
      </w:pPr>
      <w:r w:rsidRPr="00557ACD">
        <w:t>II. Purpose</w:t>
      </w:r>
    </w:p>
    <w:p w14:paraId="2A3BE774" w14:textId="31D0A352" w:rsidR="001D117C" w:rsidRPr="001D117C" w:rsidRDefault="00C42775" w:rsidP="001D117C">
      <w:pPr>
        <w:rPr>
          <w:rFonts w:cs="Arial"/>
        </w:rPr>
      </w:pPr>
      <w:r>
        <w:rPr>
          <w:rFonts w:cs="Arial"/>
        </w:rPr>
        <w:t>The purpose of this p</w:t>
      </w:r>
      <w:r w:rsidR="001D117C" w:rsidRPr="001D117C">
        <w:rPr>
          <w:rFonts w:cs="Arial"/>
        </w:rPr>
        <w:t xml:space="preserve">rocedure is to formally document </w:t>
      </w:r>
      <w:r w:rsidR="00E73CAD">
        <w:rPr>
          <w:rFonts w:cs="Arial"/>
        </w:rPr>
        <w:t xml:space="preserve">the steps, actions, and processes needed to </w:t>
      </w:r>
      <w:r w:rsidR="001D117C" w:rsidRPr="001D117C">
        <w:rPr>
          <w:rFonts w:cs="Arial"/>
        </w:rPr>
        <w:t>meet the requirem</w:t>
      </w:r>
      <w:r w:rsidR="00996DA3">
        <w:rPr>
          <w:rFonts w:cs="Arial"/>
        </w:rPr>
        <w:t xml:space="preserve">ents specified in ABC Company's </w:t>
      </w:r>
      <w:r w:rsidR="00727187">
        <w:rPr>
          <w:rFonts w:cs="Arial"/>
        </w:rPr>
        <w:t>Access Control</w:t>
      </w:r>
      <w:r w:rsidR="00996DA3">
        <w:rPr>
          <w:rFonts w:cs="Arial"/>
        </w:rPr>
        <w:t xml:space="preserve"> Policy.</w:t>
      </w:r>
    </w:p>
    <w:p w14:paraId="572B064F" w14:textId="77777777" w:rsidR="001C2E4E" w:rsidRPr="000576EE" w:rsidRDefault="001C2E4E" w:rsidP="001C2E4E">
      <w:pPr>
        <w:pStyle w:val="Heading1"/>
      </w:pPr>
      <w:r w:rsidRPr="000576EE">
        <w:t>III. Scope</w:t>
      </w:r>
    </w:p>
    <w:p w14:paraId="289DF53E" w14:textId="2530AC44" w:rsidR="001C2E4E" w:rsidRPr="000576EE" w:rsidRDefault="001C2E4E" w:rsidP="001C2E4E">
      <w:pPr>
        <w:rPr>
          <w:rFonts w:cs="Arial"/>
        </w:rPr>
      </w:pPr>
      <w:r>
        <w:rPr>
          <w:rFonts w:cs="Arial"/>
        </w:rPr>
        <w:t xml:space="preserve">This </w:t>
      </w:r>
      <w:r w:rsidR="00C42775">
        <w:rPr>
          <w:rFonts w:cs="Arial"/>
        </w:rPr>
        <w:t>procedure</w:t>
      </w:r>
      <w:r w:rsidRPr="00D1463B">
        <w:rPr>
          <w:rFonts w:cs="Arial"/>
        </w:rPr>
        <w:t xml:space="preserve"> applies </w:t>
      </w:r>
      <w:r>
        <w:rPr>
          <w:rFonts w:cs="Arial"/>
        </w:rPr>
        <w:t>to</w:t>
      </w:r>
      <w:r w:rsidRPr="00F14198">
        <w:rPr>
          <w:rFonts w:cs="Arial"/>
        </w:rPr>
        <w:t xml:space="preserve"> </w:t>
      </w:r>
      <w:r>
        <w:rPr>
          <w:rFonts w:cs="Arial"/>
        </w:rPr>
        <w:t xml:space="preserve">all ABC Company </w:t>
      </w:r>
      <w:r w:rsidR="00727187">
        <w:rPr>
          <w:rFonts w:cs="Arial"/>
        </w:rPr>
        <w:t xml:space="preserve">Department Heads and IT </w:t>
      </w:r>
      <w:r>
        <w:rPr>
          <w:rFonts w:cs="Arial"/>
        </w:rPr>
        <w:t xml:space="preserve">Staff who </w:t>
      </w:r>
      <w:r w:rsidR="00996DA3">
        <w:rPr>
          <w:rFonts w:cs="Arial"/>
        </w:rPr>
        <w:t xml:space="preserve">administer </w:t>
      </w:r>
      <w:r w:rsidR="00727187">
        <w:rPr>
          <w:rFonts w:cs="Arial"/>
        </w:rPr>
        <w:t>access controls</w:t>
      </w:r>
      <w:r w:rsidR="00E73CAD">
        <w:rPr>
          <w:rFonts w:cs="Arial"/>
        </w:rPr>
        <w:t xml:space="preserve"> to Information Systems.</w:t>
      </w:r>
    </w:p>
    <w:p w14:paraId="4ED61E9E" w14:textId="77777777" w:rsidR="001C2E4E" w:rsidRPr="000576EE" w:rsidRDefault="00905C6F" w:rsidP="001C2E4E">
      <w:pPr>
        <w:pStyle w:val="Heading1"/>
      </w:pPr>
      <w:r>
        <w:t>IV. Procedure</w:t>
      </w:r>
    </w:p>
    <w:p w14:paraId="210A6949" w14:textId="5A7649DE" w:rsidR="0098298C" w:rsidRDefault="0098298C" w:rsidP="0098298C">
      <w:pPr>
        <w:jc w:val="left"/>
      </w:pPr>
      <w:r>
        <w:t xml:space="preserve">On an annual basis, </w:t>
      </w:r>
      <w:r w:rsidR="000C3892">
        <w:t xml:space="preserve">Department Heads </w:t>
      </w:r>
      <w:r>
        <w:t>review department Staff job descriptions to ensure they specify the appropriate level of access to Sensitive Information.</w:t>
      </w:r>
    </w:p>
    <w:p w14:paraId="749A9B0B" w14:textId="77777777" w:rsidR="0098298C" w:rsidRDefault="0098298C" w:rsidP="0098298C">
      <w:pPr>
        <w:jc w:val="left"/>
      </w:pPr>
    </w:p>
    <w:p w14:paraId="0AF8F89E" w14:textId="11884E5B" w:rsidR="00E97A73" w:rsidRDefault="004F762B" w:rsidP="00E97A73">
      <w:pPr>
        <w:jc w:val="left"/>
      </w:pPr>
      <w:r>
        <w:t xml:space="preserve">As needed, </w:t>
      </w:r>
      <w:r w:rsidR="00E97A73" w:rsidRPr="004C04A1">
        <w:t>Configuration Items are added to the Configuration Management Database</w:t>
      </w:r>
      <w:r>
        <w:t xml:space="preserve"> per the Configuration Management Plan.  </w:t>
      </w:r>
      <w:r w:rsidR="00E97A73" w:rsidRPr="004C04A1">
        <w:t xml:space="preserve">The Configuration Management Database includes relevant information about Configuration Items including a description, Resource Owner, attributes, baselines, relationships, changes, and other important information.  </w:t>
      </w:r>
      <w:r w:rsidR="00E97A73">
        <w:t xml:space="preserve">Devices that contain Sensitive Information are specifically identified and inventoried as Configuration Items in the Configuration Management Database.  For more information see the Configuration Management Plan for configuration controls and configuration management audits that </w:t>
      </w:r>
      <w:r w:rsidR="00E97A73" w:rsidRPr="00E97A73">
        <w:t xml:space="preserve">review information in the </w:t>
      </w:r>
      <w:r w:rsidR="00E97A73">
        <w:t>Configuration Management D</w:t>
      </w:r>
      <w:r w:rsidR="00E97A73" w:rsidRPr="00E97A73">
        <w:t>atabase to verify it is complete and error free.</w:t>
      </w:r>
    </w:p>
    <w:p w14:paraId="50FEA925" w14:textId="77777777" w:rsidR="00E97A73" w:rsidRDefault="00E97A73" w:rsidP="00E97A73">
      <w:pPr>
        <w:jc w:val="left"/>
      </w:pPr>
    </w:p>
    <w:p w14:paraId="7458E64D" w14:textId="361C25AD" w:rsidR="0098298C" w:rsidRDefault="0098298C" w:rsidP="0098298C">
      <w:pPr>
        <w:jc w:val="left"/>
      </w:pPr>
      <w:r>
        <w:t xml:space="preserve">On a quarterly basis, </w:t>
      </w:r>
      <w:r w:rsidR="000C3892">
        <w:t xml:space="preserve">Department Heads </w:t>
      </w:r>
      <w:r>
        <w:t>review Information Systems Access Request Forms for appropriate  approvals, changes to access rights, and termination of rights</w:t>
      </w:r>
      <w:r w:rsidR="000C3892">
        <w:t>.</w:t>
      </w:r>
      <w:r w:rsidR="00E97A73">
        <w:t xml:space="preserve">  </w:t>
      </w:r>
      <w:r w:rsidR="000C3892">
        <w:t xml:space="preserve">ABC Company access permissions are validated by IT Staff to ensure Information System users, and processes acting on behalf of users or devices, are properly identified.  IT Staff </w:t>
      </w:r>
      <w:r>
        <w:t xml:space="preserve">compare Information Systems Access Request Forms with system configurations to ensure Staff access </w:t>
      </w:r>
      <w:r w:rsidR="000C3892">
        <w:t xml:space="preserve">rights </w:t>
      </w:r>
      <w:r>
        <w:t>agree with Access Request Forms.</w:t>
      </w:r>
      <w:r w:rsidR="000C3892">
        <w:t xml:space="preserve">  Any variations are brought to the attention of the appropriate Department Head for resolution.</w:t>
      </w:r>
    </w:p>
    <w:p w14:paraId="3D0F9CB8" w14:textId="77777777" w:rsidR="000C3892" w:rsidRDefault="000C3892" w:rsidP="0098298C">
      <w:pPr>
        <w:jc w:val="left"/>
      </w:pPr>
    </w:p>
    <w:p w14:paraId="29E35B08" w14:textId="77777777" w:rsidR="000C3892" w:rsidRDefault="000C3892" w:rsidP="0098298C">
      <w:pPr>
        <w:jc w:val="left"/>
      </w:pPr>
      <w:r>
        <w:lastRenderedPageBreak/>
        <w:t xml:space="preserve">On a quarterly basis, IT Staff review access rights </w:t>
      </w:r>
      <w:r w:rsidR="0098298C">
        <w:t>from parent organizations and subsidiaries</w:t>
      </w:r>
      <w:r>
        <w:t>.  IT Staff compare Information Systems Access Request Forms with system configurations to ensure Staff access rights agree with Access Request Forms.  Any variations are brought to the attention of the appropriate Department Head for resolution.</w:t>
      </w:r>
    </w:p>
    <w:p w14:paraId="2544DC83" w14:textId="77777777" w:rsidR="000C3892" w:rsidRDefault="000C3892" w:rsidP="0098298C">
      <w:pPr>
        <w:jc w:val="left"/>
      </w:pPr>
    </w:p>
    <w:p w14:paraId="5124076D" w14:textId="16C027E7" w:rsidR="0098298C" w:rsidRDefault="00B52E87" w:rsidP="0098298C">
      <w:pPr>
        <w:jc w:val="left"/>
      </w:pPr>
      <w:r>
        <w:t xml:space="preserve">On a quarterly basis, authentication controls for software applications, servers, workstations, firewalls, network devices, service providers, and related equipment </w:t>
      </w:r>
      <w:r w:rsidR="000C3892">
        <w:t xml:space="preserve">are reviewed </w:t>
      </w:r>
      <w:r>
        <w:t xml:space="preserve">by IT Staff </w:t>
      </w:r>
      <w:r w:rsidR="0098298C">
        <w:t xml:space="preserve">to </w:t>
      </w:r>
      <w:r>
        <w:t>verify they meet Password Policy requirements.  Any variations are brought to the attention of the appropriate Department Head for resolution.</w:t>
      </w:r>
    </w:p>
    <w:p w14:paraId="12F45DBE" w14:textId="77777777" w:rsidR="00B52E87" w:rsidRDefault="00B52E87" w:rsidP="0098298C">
      <w:pPr>
        <w:jc w:val="left"/>
      </w:pPr>
    </w:p>
    <w:p w14:paraId="50C470C1" w14:textId="3238902B" w:rsidR="0098298C" w:rsidRDefault="00E97A73" w:rsidP="0098298C">
      <w:pPr>
        <w:jc w:val="left"/>
      </w:pPr>
      <w:r>
        <w:t xml:space="preserve">When new equipment is installed, and on a quarterly basis, IT Staff ensure that workstations with Sensitive Information are protected through the use of monitor positioning, </w:t>
      </w:r>
      <w:r w:rsidR="0098298C">
        <w:t xml:space="preserve">privacy screens, password protected screen savers, </w:t>
      </w:r>
      <w:r w:rsidR="00727187">
        <w:t xml:space="preserve">session timeout, </w:t>
      </w:r>
      <w:r>
        <w:t xml:space="preserve">and </w:t>
      </w:r>
      <w:r w:rsidR="0098298C">
        <w:t>auto logoff.</w:t>
      </w:r>
    </w:p>
    <w:p w14:paraId="3D056BA7" w14:textId="13FFC86E" w:rsidR="00E97A73" w:rsidRDefault="00E97A73" w:rsidP="0098298C">
      <w:pPr>
        <w:jc w:val="left"/>
      </w:pPr>
    </w:p>
    <w:p w14:paraId="56B8D783" w14:textId="598E7ECE" w:rsidR="00E97A73" w:rsidRDefault="00E97A73" w:rsidP="0098298C">
      <w:pPr>
        <w:jc w:val="left"/>
      </w:pPr>
      <w:r>
        <w:t>When new utility/audit programs are installed, and on a quarterly basis, IT Staff ensure that programs capable of overriding system and application controls are restricted and tightly controlled.</w:t>
      </w:r>
    </w:p>
    <w:p w14:paraId="4AA39BD2" w14:textId="019DB237" w:rsidR="00E97A73" w:rsidRDefault="00E97A73" w:rsidP="0098298C">
      <w:pPr>
        <w:jc w:val="left"/>
      </w:pPr>
    </w:p>
    <w:p w14:paraId="77A14C5C" w14:textId="2D582251" w:rsidR="0098298C" w:rsidRDefault="00727187" w:rsidP="0098298C">
      <w:pPr>
        <w:jc w:val="left"/>
      </w:pPr>
      <w:r>
        <w:t>When new equipment is installed, and o</w:t>
      </w:r>
      <w:r w:rsidR="00E97A73">
        <w:t xml:space="preserve">n a quarterly basis, </w:t>
      </w:r>
      <w:r>
        <w:t>IT Staff verify that p</w:t>
      </w:r>
      <w:r w:rsidR="0098298C">
        <w:t xml:space="preserve">asswords/phrases are changed according to </w:t>
      </w:r>
      <w:r>
        <w:t>the</w:t>
      </w:r>
      <w:r w:rsidR="0098298C">
        <w:t xml:space="preserve"> schedule identified in the Password Policy.</w:t>
      </w:r>
    </w:p>
    <w:p w14:paraId="26004B15" w14:textId="77777777" w:rsidR="0098298C" w:rsidRDefault="0098298C" w:rsidP="00492048">
      <w:pPr>
        <w:jc w:val="left"/>
      </w:pPr>
    </w:p>
    <w:p w14:paraId="0333268D" w14:textId="42E1EC7A" w:rsidR="00E577BE" w:rsidRPr="00492048" w:rsidRDefault="00727187" w:rsidP="00492048">
      <w:pPr>
        <w:jc w:val="left"/>
      </w:pPr>
      <w:r>
        <w:t>When new firewalls are installed, and on a quarterly basis, IT Staff e</w:t>
      </w:r>
      <w:r w:rsidR="00996DA3" w:rsidRPr="00492048">
        <w:t>nsure the firewall is placed in a physical location that restricts access to authorized individuals.</w:t>
      </w:r>
      <w:r>
        <w:t xml:space="preserve">  Firewalls are hardened per the Firewall Hardening Procedure.  </w:t>
      </w:r>
      <w:r w:rsidR="00E577BE" w:rsidRPr="00492048">
        <w:t xml:space="preserve">Each firewall administrator </w:t>
      </w:r>
      <w:r>
        <w:t xml:space="preserve">uses their </w:t>
      </w:r>
      <w:r w:rsidR="00E577BE" w:rsidRPr="00492048">
        <w:t xml:space="preserve">own unique administrator account when managing the firewall. </w:t>
      </w:r>
    </w:p>
    <w:p w14:paraId="5C5AB055" w14:textId="77777777" w:rsidR="00E577BE" w:rsidRPr="00492048" w:rsidRDefault="00E577BE" w:rsidP="00492048">
      <w:pPr>
        <w:jc w:val="left"/>
      </w:pPr>
    </w:p>
    <w:p w14:paraId="59B73432" w14:textId="29C970B6" w:rsidR="00996DA3" w:rsidRPr="00492048" w:rsidRDefault="00727187" w:rsidP="00492048">
      <w:pPr>
        <w:jc w:val="left"/>
      </w:pPr>
      <w:r>
        <w:t>When new equipment is installed, and on a quarterly basis, IT Staff r</w:t>
      </w:r>
      <w:r w:rsidR="00996DA3" w:rsidRPr="00492048">
        <w:t xml:space="preserve">efer to manufacturer resources for </w:t>
      </w:r>
      <w:r>
        <w:t xml:space="preserve">updated </w:t>
      </w:r>
      <w:r w:rsidR="00996DA3" w:rsidRPr="00492048">
        <w:t>guidance on hardening</w:t>
      </w:r>
      <w:r w:rsidR="00492048" w:rsidRPr="00492048">
        <w:t xml:space="preserve"> firewalls</w:t>
      </w:r>
      <w:r>
        <w:t xml:space="preserve">, servers, </w:t>
      </w:r>
      <w:r w:rsidR="00492048" w:rsidRPr="00492048">
        <w:t>and security functionality.</w:t>
      </w:r>
    </w:p>
    <w:p w14:paraId="645A4631" w14:textId="77777777" w:rsidR="001C2E4E" w:rsidRPr="000576EE" w:rsidRDefault="00492048" w:rsidP="00492048">
      <w:pPr>
        <w:pStyle w:val="Heading1"/>
        <w:tabs>
          <w:tab w:val="left" w:pos="5023"/>
        </w:tabs>
      </w:pPr>
      <w:r>
        <w:t xml:space="preserve">V. Enforcement </w:t>
      </w:r>
    </w:p>
    <w:p w14:paraId="7643B272" w14:textId="77777777" w:rsidR="001C2E4E" w:rsidRPr="000576EE" w:rsidRDefault="001C2E4E" w:rsidP="001C2E4E">
      <w:pPr>
        <w:rPr>
          <w:rFonts w:cs="Arial"/>
        </w:rPr>
      </w:pPr>
      <w:r w:rsidRPr="000576EE">
        <w:rPr>
          <w:rFonts w:cs="Arial"/>
        </w:rPr>
        <w:t xml:space="preserve">Any Staff member found to have violated this </w:t>
      </w:r>
      <w:r w:rsidR="00C42775">
        <w:rPr>
          <w:rFonts w:cs="Arial"/>
        </w:rPr>
        <w:t>procedure</w:t>
      </w:r>
      <w:r w:rsidRPr="000576EE">
        <w:rPr>
          <w:rFonts w:cs="Arial"/>
        </w:rPr>
        <w:t xml:space="preserve"> may be subject to disciplinary action, up to and including termination.</w:t>
      </w:r>
    </w:p>
    <w:p w14:paraId="1E21A7CB" w14:textId="77777777" w:rsidR="001C2E4E" w:rsidRPr="000576EE" w:rsidRDefault="001C2E4E" w:rsidP="001C2E4E">
      <w:pPr>
        <w:pStyle w:val="Heading1"/>
      </w:pPr>
      <w:r w:rsidRPr="000576EE">
        <w:t>VI. Distribution</w:t>
      </w:r>
    </w:p>
    <w:p w14:paraId="0C2ECB46" w14:textId="36AB22E4" w:rsidR="001C2E4E" w:rsidRPr="000576EE" w:rsidRDefault="001C2E4E" w:rsidP="001C2E4E">
      <w:pPr>
        <w:rPr>
          <w:rFonts w:cs="Arial"/>
        </w:rPr>
      </w:pPr>
      <w:r w:rsidRPr="00BB5E02">
        <w:rPr>
          <w:rFonts w:cs="Arial"/>
        </w:rPr>
        <w:t xml:space="preserve">This </w:t>
      </w:r>
      <w:r w:rsidR="00C42775">
        <w:rPr>
          <w:rFonts w:cs="Arial"/>
        </w:rPr>
        <w:t xml:space="preserve">procedure </w:t>
      </w:r>
      <w:r w:rsidRPr="00BB5E02">
        <w:rPr>
          <w:rFonts w:cs="Arial"/>
        </w:rPr>
        <w:t xml:space="preserve">is to be distributed to </w:t>
      </w:r>
      <w:r w:rsidR="00727187">
        <w:rPr>
          <w:rFonts w:cs="Arial"/>
        </w:rPr>
        <w:t xml:space="preserve">ABC Company Department Heads and IT Staff </w:t>
      </w:r>
      <w:r>
        <w:rPr>
          <w:rFonts w:cs="Arial"/>
        </w:rPr>
        <w:t xml:space="preserve">who </w:t>
      </w:r>
      <w:r w:rsidR="00996DA3">
        <w:rPr>
          <w:rFonts w:cs="Arial"/>
        </w:rPr>
        <w:t xml:space="preserve">administer </w:t>
      </w:r>
      <w:r w:rsidR="00727187">
        <w:rPr>
          <w:rFonts w:cs="Arial"/>
        </w:rPr>
        <w:t>access controls.</w:t>
      </w:r>
    </w:p>
    <w:p w14:paraId="7A38FC91" w14:textId="77777777" w:rsidR="001C2E4E" w:rsidRPr="000576EE" w:rsidRDefault="001C2E4E" w:rsidP="001C2E4E">
      <w:pPr>
        <w:rPr>
          <w:rFonts w:cs="Arial"/>
        </w:rPr>
      </w:pPr>
    </w:p>
    <w:p w14:paraId="773E3318" w14:textId="77777777" w:rsidR="001C2E4E" w:rsidRPr="000576EE" w:rsidRDefault="001C2E4E" w:rsidP="001C2E4E">
      <w:pPr>
        <w:rPr>
          <w:rFonts w:cs="Arial"/>
          <w:b/>
        </w:rPr>
      </w:pPr>
      <w:r>
        <w:rPr>
          <w:rFonts w:cs="Arial"/>
          <w:b/>
        </w:rPr>
        <w:t>Procedure</w:t>
      </w:r>
      <w:r w:rsidRPr="000576EE">
        <w:rPr>
          <w:rFonts w:cs="Arial"/>
          <w:b/>
        </w:rPr>
        <w:t xml:space="preserve"> History</w:t>
      </w:r>
    </w:p>
    <w:p w14:paraId="283B19A1" w14:textId="77777777" w:rsidR="001C2E4E" w:rsidRDefault="001C2E4E" w:rsidP="001C2E4E">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1C2E4E" w:rsidRPr="009F2F01" w14:paraId="47918980" w14:textId="77777777" w:rsidTr="00C257FB">
        <w:tc>
          <w:tcPr>
            <w:tcW w:w="1137" w:type="dxa"/>
            <w:shd w:val="clear" w:color="auto" w:fill="C0C0C0"/>
          </w:tcPr>
          <w:p w14:paraId="7E52FD57" w14:textId="77777777" w:rsidR="001C2E4E" w:rsidRPr="009F2F01" w:rsidRDefault="001C2E4E" w:rsidP="00C257FB">
            <w:pPr>
              <w:rPr>
                <w:rFonts w:cs="Arial"/>
              </w:rPr>
            </w:pPr>
            <w:r w:rsidRPr="009F2F01">
              <w:rPr>
                <w:rFonts w:cs="Arial"/>
              </w:rPr>
              <w:t>Version</w:t>
            </w:r>
          </w:p>
        </w:tc>
        <w:tc>
          <w:tcPr>
            <w:tcW w:w="1401" w:type="dxa"/>
            <w:shd w:val="clear" w:color="auto" w:fill="C0C0C0"/>
          </w:tcPr>
          <w:p w14:paraId="50CDFA3A" w14:textId="77777777" w:rsidR="001C2E4E" w:rsidRPr="009F2F01" w:rsidRDefault="001C2E4E" w:rsidP="00C257FB">
            <w:pPr>
              <w:rPr>
                <w:rFonts w:cs="Arial"/>
              </w:rPr>
            </w:pPr>
            <w:r w:rsidRPr="009F2F01">
              <w:rPr>
                <w:rFonts w:cs="Arial"/>
              </w:rPr>
              <w:t>Date</w:t>
            </w:r>
          </w:p>
        </w:tc>
        <w:tc>
          <w:tcPr>
            <w:tcW w:w="4104" w:type="dxa"/>
            <w:shd w:val="clear" w:color="auto" w:fill="C0C0C0"/>
          </w:tcPr>
          <w:p w14:paraId="09055439" w14:textId="77777777" w:rsidR="001C2E4E" w:rsidRPr="009F2F01" w:rsidRDefault="001C2E4E" w:rsidP="00C257FB">
            <w:pPr>
              <w:rPr>
                <w:rFonts w:cs="Arial"/>
              </w:rPr>
            </w:pPr>
            <w:r w:rsidRPr="009F2F01">
              <w:rPr>
                <w:rFonts w:cs="Arial"/>
              </w:rPr>
              <w:t>Description</w:t>
            </w:r>
          </w:p>
        </w:tc>
        <w:tc>
          <w:tcPr>
            <w:tcW w:w="2214" w:type="dxa"/>
            <w:shd w:val="clear" w:color="auto" w:fill="C0C0C0"/>
          </w:tcPr>
          <w:p w14:paraId="2C7CB752" w14:textId="77777777" w:rsidR="001C2E4E" w:rsidRPr="009F2F01" w:rsidRDefault="001C2E4E" w:rsidP="00C257FB">
            <w:pPr>
              <w:jc w:val="center"/>
              <w:rPr>
                <w:rFonts w:cs="Arial"/>
              </w:rPr>
            </w:pPr>
            <w:r w:rsidRPr="009F2F01">
              <w:rPr>
                <w:rFonts w:cs="Arial"/>
              </w:rPr>
              <w:t>Approved By</w:t>
            </w:r>
          </w:p>
        </w:tc>
      </w:tr>
      <w:tr w:rsidR="001C2E4E" w:rsidRPr="009F2F01" w14:paraId="01725871" w14:textId="77777777" w:rsidTr="00C257FB">
        <w:tc>
          <w:tcPr>
            <w:tcW w:w="1137" w:type="dxa"/>
            <w:shd w:val="clear" w:color="auto" w:fill="auto"/>
          </w:tcPr>
          <w:p w14:paraId="3554BCA2" w14:textId="77777777" w:rsidR="001C2E4E" w:rsidRPr="009F2F01" w:rsidRDefault="001C2E4E" w:rsidP="00C257FB">
            <w:pPr>
              <w:rPr>
                <w:rFonts w:cs="Arial"/>
              </w:rPr>
            </w:pPr>
            <w:r w:rsidRPr="009F2F01">
              <w:rPr>
                <w:rFonts w:cs="Arial"/>
              </w:rPr>
              <w:t>1.0</w:t>
            </w:r>
          </w:p>
        </w:tc>
        <w:tc>
          <w:tcPr>
            <w:tcW w:w="1401" w:type="dxa"/>
            <w:shd w:val="clear" w:color="auto" w:fill="auto"/>
          </w:tcPr>
          <w:p w14:paraId="0ED5511F" w14:textId="77777777" w:rsidR="001C2E4E" w:rsidRPr="009F2F01" w:rsidRDefault="001C2E4E" w:rsidP="00C257FB">
            <w:pPr>
              <w:rPr>
                <w:rFonts w:cs="Arial"/>
              </w:rPr>
            </w:pPr>
            <w:r w:rsidRPr="009F2F01">
              <w:rPr>
                <w:rFonts w:cs="Arial"/>
              </w:rPr>
              <w:t>1/1/20XX</w:t>
            </w:r>
          </w:p>
        </w:tc>
        <w:tc>
          <w:tcPr>
            <w:tcW w:w="4104" w:type="dxa"/>
            <w:shd w:val="clear" w:color="auto" w:fill="auto"/>
          </w:tcPr>
          <w:p w14:paraId="2895C391" w14:textId="77777777" w:rsidR="001C2E4E" w:rsidRPr="009F2F01" w:rsidRDefault="001C2E4E" w:rsidP="001C2E4E">
            <w:pPr>
              <w:rPr>
                <w:rFonts w:cs="Arial"/>
              </w:rPr>
            </w:pPr>
            <w:r w:rsidRPr="009F2F01">
              <w:rPr>
                <w:rFonts w:cs="Arial"/>
              </w:rPr>
              <w:t xml:space="preserve">Initial </w:t>
            </w:r>
            <w:r>
              <w:rPr>
                <w:rFonts w:cs="Arial"/>
              </w:rPr>
              <w:t>procedure</w:t>
            </w:r>
            <w:r w:rsidRPr="009F2F01">
              <w:rPr>
                <w:rFonts w:cs="Arial"/>
              </w:rPr>
              <w:t xml:space="preserve"> release</w:t>
            </w:r>
          </w:p>
        </w:tc>
        <w:tc>
          <w:tcPr>
            <w:tcW w:w="2214" w:type="dxa"/>
            <w:shd w:val="clear" w:color="auto" w:fill="auto"/>
          </w:tcPr>
          <w:p w14:paraId="147C5916" w14:textId="77777777" w:rsidR="001C2E4E" w:rsidRPr="009F2F01" w:rsidRDefault="001C2E4E" w:rsidP="00C257FB">
            <w:pPr>
              <w:rPr>
                <w:rFonts w:cs="Arial"/>
              </w:rPr>
            </w:pPr>
          </w:p>
        </w:tc>
      </w:tr>
      <w:tr w:rsidR="001C2E4E" w:rsidRPr="009F2F01" w14:paraId="2830A05C" w14:textId="77777777" w:rsidTr="00C257FB">
        <w:tc>
          <w:tcPr>
            <w:tcW w:w="1137" w:type="dxa"/>
            <w:shd w:val="clear" w:color="auto" w:fill="auto"/>
          </w:tcPr>
          <w:p w14:paraId="1AB7AA6A" w14:textId="77777777" w:rsidR="001C2E4E" w:rsidRPr="009F2F01" w:rsidRDefault="001C2E4E" w:rsidP="00C257FB">
            <w:pPr>
              <w:rPr>
                <w:rFonts w:cs="Arial"/>
              </w:rPr>
            </w:pPr>
          </w:p>
        </w:tc>
        <w:tc>
          <w:tcPr>
            <w:tcW w:w="1401" w:type="dxa"/>
            <w:shd w:val="clear" w:color="auto" w:fill="auto"/>
          </w:tcPr>
          <w:p w14:paraId="1311634D" w14:textId="77777777" w:rsidR="001C2E4E" w:rsidRPr="009F2F01" w:rsidRDefault="001C2E4E" w:rsidP="00C257FB">
            <w:pPr>
              <w:rPr>
                <w:rFonts w:cs="Arial"/>
              </w:rPr>
            </w:pPr>
          </w:p>
        </w:tc>
        <w:tc>
          <w:tcPr>
            <w:tcW w:w="4104" w:type="dxa"/>
            <w:shd w:val="clear" w:color="auto" w:fill="auto"/>
          </w:tcPr>
          <w:p w14:paraId="1D1B4832" w14:textId="77777777" w:rsidR="001C2E4E" w:rsidRPr="009F2F01" w:rsidRDefault="001C2E4E" w:rsidP="00C257FB">
            <w:pPr>
              <w:rPr>
                <w:rFonts w:cs="Arial"/>
              </w:rPr>
            </w:pPr>
          </w:p>
        </w:tc>
        <w:tc>
          <w:tcPr>
            <w:tcW w:w="2214" w:type="dxa"/>
            <w:shd w:val="clear" w:color="auto" w:fill="auto"/>
          </w:tcPr>
          <w:p w14:paraId="3AAD5F5F" w14:textId="77777777" w:rsidR="001C2E4E" w:rsidRPr="009F2F01" w:rsidRDefault="001C2E4E" w:rsidP="00C257FB">
            <w:pPr>
              <w:rPr>
                <w:rFonts w:cs="Arial"/>
              </w:rPr>
            </w:pPr>
          </w:p>
        </w:tc>
      </w:tr>
      <w:tr w:rsidR="001C2E4E" w:rsidRPr="009F2F01" w14:paraId="3B144AA7" w14:textId="77777777" w:rsidTr="00C257FB">
        <w:tc>
          <w:tcPr>
            <w:tcW w:w="1137" w:type="dxa"/>
            <w:shd w:val="clear" w:color="auto" w:fill="auto"/>
          </w:tcPr>
          <w:p w14:paraId="6C84A74F" w14:textId="77777777" w:rsidR="001C2E4E" w:rsidRPr="009F2F01" w:rsidRDefault="001C2E4E" w:rsidP="00C257FB">
            <w:pPr>
              <w:rPr>
                <w:rFonts w:cs="Arial"/>
              </w:rPr>
            </w:pPr>
          </w:p>
        </w:tc>
        <w:tc>
          <w:tcPr>
            <w:tcW w:w="1401" w:type="dxa"/>
            <w:shd w:val="clear" w:color="auto" w:fill="auto"/>
          </w:tcPr>
          <w:p w14:paraId="38138340" w14:textId="77777777" w:rsidR="001C2E4E" w:rsidRPr="009F2F01" w:rsidRDefault="001C2E4E" w:rsidP="00C257FB">
            <w:pPr>
              <w:rPr>
                <w:rFonts w:cs="Arial"/>
              </w:rPr>
            </w:pPr>
          </w:p>
        </w:tc>
        <w:tc>
          <w:tcPr>
            <w:tcW w:w="4104" w:type="dxa"/>
            <w:shd w:val="clear" w:color="auto" w:fill="auto"/>
          </w:tcPr>
          <w:p w14:paraId="5F9F0A56" w14:textId="77777777" w:rsidR="001C2E4E" w:rsidRPr="009F2F01" w:rsidRDefault="001C2E4E" w:rsidP="00C257FB">
            <w:pPr>
              <w:rPr>
                <w:rFonts w:cs="Arial"/>
              </w:rPr>
            </w:pPr>
          </w:p>
        </w:tc>
        <w:tc>
          <w:tcPr>
            <w:tcW w:w="2214" w:type="dxa"/>
            <w:shd w:val="clear" w:color="auto" w:fill="auto"/>
          </w:tcPr>
          <w:p w14:paraId="735C6825" w14:textId="77777777" w:rsidR="001C2E4E" w:rsidRPr="009F2F01" w:rsidRDefault="001C2E4E" w:rsidP="00C257FB">
            <w:pPr>
              <w:rPr>
                <w:rFonts w:cs="Arial"/>
              </w:rPr>
            </w:pPr>
          </w:p>
        </w:tc>
      </w:tr>
      <w:tr w:rsidR="001C2E4E" w:rsidRPr="009F2F01" w14:paraId="52720B5B" w14:textId="77777777" w:rsidTr="00C257FB">
        <w:tc>
          <w:tcPr>
            <w:tcW w:w="1137" w:type="dxa"/>
            <w:shd w:val="clear" w:color="auto" w:fill="auto"/>
          </w:tcPr>
          <w:p w14:paraId="1480C236" w14:textId="77777777" w:rsidR="001C2E4E" w:rsidRPr="009F2F01" w:rsidRDefault="001C2E4E" w:rsidP="00C257FB">
            <w:pPr>
              <w:rPr>
                <w:rFonts w:cs="Arial"/>
              </w:rPr>
            </w:pPr>
          </w:p>
        </w:tc>
        <w:tc>
          <w:tcPr>
            <w:tcW w:w="1401" w:type="dxa"/>
            <w:shd w:val="clear" w:color="auto" w:fill="auto"/>
          </w:tcPr>
          <w:p w14:paraId="2AA7476B" w14:textId="77777777" w:rsidR="001C2E4E" w:rsidRPr="009F2F01" w:rsidRDefault="001C2E4E" w:rsidP="00C257FB">
            <w:pPr>
              <w:rPr>
                <w:rFonts w:cs="Arial"/>
              </w:rPr>
            </w:pPr>
          </w:p>
        </w:tc>
        <w:tc>
          <w:tcPr>
            <w:tcW w:w="4104" w:type="dxa"/>
            <w:shd w:val="clear" w:color="auto" w:fill="auto"/>
          </w:tcPr>
          <w:p w14:paraId="6E6B9761" w14:textId="77777777" w:rsidR="001C2E4E" w:rsidRPr="009F2F01" w:rsidRDefault="001C2E4E" w:rsidP="00C257FB">
            <w:pPr>
              <w:rPr>
                <w:rFonts w:cs="Arial"/>
              </w:rPr>
            </w:pPr>
          </w:p>
        </w:tc>
        <w:tc>
          <w:tcPr>
            <w:tcW w:w="2214" w:type="dxa"/>
            <w:shd w:val="clear" w:color="auto" w:fill="auto"/>
          </w:tcPr>
          <w:p w14:paraId="309B5754" w14:textId="77777777" w:rsidR="001C2E4E" w:rsidRPr="009F2F01" w:rsidRDefault="001C2E4E" w:rsidP="00C257FB">
            <w:pPr>
              <w:rPr>
                <w:rFonts w:cs="Arial"/>
              </w:rPr>
            </w:pPr>
          </w:p>
        </w:tc>
      </w:tr>
      <w:tr w:rsidR="001C2E4E" w:rsidRPr="009F2F01" w14:paraId="3267B624" w14:textId="77777777" w:rsidTr="00C257FB">
        <w:tc>
          <w:tcPr>
            <w:tcW w:w="1137" w:type="dxa"/>
            <w:shd w:val="clear" w:color="auto" w:fill="auto"/>
          </w:tcPr>
          <w:p w14:paraId="7C2A73BA" w14:textId="77777777" w:rsidR="001C2E4E" w:rsidRPr="009F2F01" w:rsidRDefault="001C2E4E" w:rsidP="00C257FB">
            <w:pPr>
              <w:rPr>
                <w:rFonts w:cs="Arial"/>
              </w:rPr>
            </w:pPr>
          </w:p>
        </w:tc>
        <w:tc>
          <w:tcPr>
            <w:tcW w:w="1401" w:type="dxa"/>
            <w:shd w:val="clear" w:color="auto" w:fill="auto"/>
          </w:tcPr>
          <w:p w14:paraId="03A6A654" w14:textId="77777777" w:rsidR="001C2E4E" w:rsidRPr="009F2F01" w:rsidRDefault="001C2E4E" w:rsidP="00C257FB">
            <w:pPr>
              <w:rPr>
                <w:rFonts w:cs="Arial"/>
              </w:rPr>
            </w:pPr>
          </w:p>
        </w:tc>
        <w:tc>
          <w:tcPr>
            <w:tcW w:w="4104" w:type="dxa"/>
            <w:shd w:val="clear" w:color="auto" w:fill="auto"/>
          </w:tcPr>
          <w:p w14:paraId="2B478C74" w14:textId="77777777" w:rsidR="001C2E4E" w:rsidRPr="009F2F01" w:rsidRDefault="001C2E4E" w:rsidP="00C257FB">
            <w:pPr>
              <w:rPr>
                <w:rFonts w:cs="Arial"/>
              </w:rPr>
            </w:pPr>
          </w:p>
        </w:tc>
        <w:tc>
          <w:tcPr>
            <w:tcW w:w="2214" w:type="dxa"/>
            <w:shd w:val="clear" w:color="auto" w:fill="auto"/>
          </w:tcPr>
          <w:p w14:paraId="72E410DC" w14:textId="77777777" w:rsidR="001C2E4E" w:rsidRPr="009F2F01" w:rsidRDefault="001C2E4E" w:rsidP="00C257FB">
            <w:pPr>
              <w:rPr>
                <w:rFonts w:cs="Arial"/>
              </w:rPr>
            </w:pPr>
          </w:p>
        </w:tc>
      </w:tr>
    </w:tbl>
    <w:p w14:paraId="4FC36469" w14:textId="77777777" w:rsidR="00760D4E" w:rsidRDefault="00760D4E" w:rsidP="00760D4E">
      <w:pPr>
        <w:rPr>
          <w:rFonts w:cs="Arial"/>
        </w:rPr>
      </w:pPr>
    </w:p>
    <w:p w14:paraId="15EFE81D" w14:textId="77777777" w:rsidR="00760D4E" w:rsidRDefault="00760D4E" w:rsidP="00760D4E">
      <w:pPr>
        <w:rPr>
          <w:rFonts w:cs="Arial"/>
        </w:rPr>
      </w:pPr>
    </w:p>
    <w:p w14:paraId="2FA85D74" w14:textId="77777777" w:rsidR="00760D4E" w:rsidRPr="00F17C5D" w:rsidRDefault="00760D4E" w:rsidP="00760D4E">
      <w:pPr>
        <w:rPr>
          <w:rFonts w:cs="Arial"/>
          <w:b/>
        </w:rPr>
      </w:pPr>
      <w:r w:rsidRPr="00F17C5D">
        <w:rPr>
          <w:rFonts w:cs="Arial"/>
          <w:b/>
        </w:rPr>
        <w:t>References:</w:t>
      </w:r>
    </w:p>
    <w:p w14:paraId="2E1C82E5" w14:textId="77777777" w:rsidR="007A7B4B" w:rsidRDefault="007A7B4B" w:rsidP="007A7B4B">
      <w:pPr>
        <w:rPr>
          <w:rFonts w:cs="Arial"/>
        </w:rPr>
      </w:pPr>
      <w:r>
        <w:rPr>
          <w:rFonts w:cs="Arial"/>
        </w:rPr>
        <w:t xml:space="preserve">COBIT </w:t>
      </w:r>
      <w:r w:rsidRPr="00D50634">
        <w:rPr>
          <w:rFonts w:cs="Arial"/>
        </w:rPr>
        <w:t>APO01.</w:t>
      </w:r>
      <w:r>
        <w:rPr>
          <w:rFonts w:cs="Arial"/>
        </w:rPr>
        <w:t>02</w:t>
      </w:r>
      <w:r w:rsidRPr="00D50634">
        <w:rPr>
          <w:rFonts w:cs="Arial"/>
        </w:rPr>
        <w:t>,</w:t>
      </w:r>
      <w:r>
        <w:rPr>
          <w:rFonts w:cs="Arial"/>
        </w:rPr>
        <w:t xml:space="preserve"> </w:t>
      </w:r>
      <w:r w:rsidRPr="00D50634">
        <w:rPr>
          <w:rFonts w:cs="Arial"/>
        </w:rPr>
        <w:t>APO01.</w:t>
      </w:r>
      <w:r>
        <w:rPr>
          <w:rFonts w:cs="Arial"/>
        </w:rPr>
        <w:t xml:space="preserve">11, APO14.10, </w:t>
      </w:r>
      <w:r w:rsidRPr="00D50634">
        <w:rPr>
          <w:rFonts w:cs="Arial"/>
        </w:rPr>
        <w:t>BAI09.</w:t>
      </w:r>
      <w:r>
        <w:rPr>
          <w:rFonts w:cs="Arial"/>
        </w:rPr>
        <w:t>03-</w:t>
      </w:r>
      <w:r w:rsidRPr="00D50634">
        <w:rPr>
          <w:rFonts w:cs="Arial"/>
        </w:rPr>
        <w:t>0</w:t>
      </w:r>
      <w:r>
        <w:rPr>
          <w:rFonts w:cs="Arial"/>
        </w:rPr>
        <w:t>4, DSS01.05, MEA02.11</w:t>
      </w:r>
    </w:p>
    <w:p w14:paraId="16D65992" w14:textId="77777777" w:rsidR="007A7B4B" w:rsidRPr="008E1251" w:rsidRDefault="007A7B4B" w:rsidP="007A7B4B">
      <w:pPr>
        <w:rPr>
          <w:rFonts w:cs="Arial"/>
        </w:rPr>
      </w:pPr>
      <w:r w:rsidRPr="008E1251">
        <w:rPr>
          <w:rFonts w:cs="Arial"/>
        </w:rPr>
        <w:t xml:space="preserve">GDPR Article </w:t>
      </w:r>
      <w:r>
        <w:rPr>
          <w:rFonts w:cs="Arial"/>
        </w:rPr>
        <w:t>25, 32</w:t>
      </w:r>
    </w:p>
    <w:p w14:paraId="3836E95E" w14:textId="77777777" w:rsidR="007A7B4B" w:rsidRPr="008E1251" w:rsidRDefault="007A7B4B" w:rsidP="007A7B4B">
      <w:pPr>
        <w:rPr>
          <w:rFonts w:cs="Arial"/>
        </w:rPr>
      </w:pPr>
      <w:r w:rsidRPr="008E1251">
        <w:rPr>
          <w:rFonts w:cs="Arial"/>
        </w:rPr>
        <w:t>HIPAA 164.308(a)(3)(ii)(A), 164.308(a)(3)(ii)(B)</w:t>
      </w:r>
    </w:p>
    <w:p w14:paraId="2DA37EE3" w14:textId="77777777" w:rsidR="007A7B4B" w:rsidRPr="008E1251" w:rsidRDefault="007A7B4B" w:rsidP="007A7B4B">
      <w:pPr>
        <w:rPr>
          <w:rFonts w:cs="Arial"/>
        </w:rPr>
      </w:pPr>
      <w:r>
        <w:rPr>
          <w:rFonts w:cs="Arial"/>
        </w:rPr>
        <w:t>ISO 27001</w:t>
      </w:r>
      <w:r w:rsidRPr="008E1251">
        <w:rPr>
          <w:rFonts w:cs="Arial"/>
        </w:rPr>
        <w:t xml:space="preserve"> </w:t>
      </w:r>
      <w:r>
        <w:rPr>
          <w:rFonts w:cs="Arial"/>
        </w:rPr>
        <w:t>A.7.2.1, A.8.1.2-3</w:t>
      </w:r>
    </w:p>
    <w:p w14:paraId="744785BB" w14:textId="77777777" w:rsidR="007A7B4B" w:rsidRPr="008E1251" w:rsidRDefault="007A7B4B" w:rsidP="007A7B4B">
      <w:pPr>
        <w:rPr>
          <w:rFonts w:cs="Arial"/>
        </w:rPr>
      </w:pPr>
      <w:r>
        <w:rPr>
          <w:rFonts w:cs="Arial"/>
        </w:rPr>
        <w:t>NIST SP 800-37</w:t>
      </w:r>
      <w:r w:rsidRPr="008E1251">
        <w:rPr>
          <w:rFonts w:cs="Arial"/>
        </w:rPr>
        <w:t xml:space="preserve"> </w:t>
      </w:r>
      <w:r>
        <w:rPr>
          <w:rFonts w:cs="Arial"/>
        </w:rPr>
        <w:t>3.3</w:t>
      </w:r>
    </w:p>
    <w:p w14:paraId="76E24AC5" w14:textId="77777777" w:rsidR="007A7B4B" w:rsidRPr="008E1251" w:rsidRDefault="007A7B4B" w:rsidP="007A7B4B">
      <w:pPr>
        <w:rPr>
          <w:rFonts w:cs="Arial"/>
        </w:rPr>
      </w:pPr>
      <w:r w:rsidRPr="008E1251">
        <w:rPr>
          <w:rFonts w:cs="Arial"/>
        </w:rPr>
        <w:t xml:space="preserve">NIST SP 800-53 </w:t>
      </w:r>
      <w:r>
        <w:rPr>
          <w:rFonts w:cs="Arial"/>
        </w:rPr>
        <w:t>AC-1-3</w:t>
      </w:r>
    </w:p>
    <w:p w14:paraId="625B60E0" w14:textId="77777777" w:rsidR="007A7B4B" w:rsidRPr="008E1251" w:rsidRDefault="007A7B4B" w:rsidP="007A7B4B">
      <w:pPr>
        <w:rPr>
          <w:rFonts w:cs="Arial"/>
        </w:rPr>
      </w:pPr>
      <w:r>
        <w:rPr>
          <w:rFonts w:cs="Arial"/>
        </w:rPr>
        <w:t xml:space="preserve">NIST Cybersecurity Framework </w:t>
      </w:r>
      <w:r w:rsidRPr="0047134B">
        <w:rPr>
          <w:rFonts w:cs="Arial"/>
        </w:rPr>
        <w:t>PR.AC</w:t>
      </w:r>
      <w:r>
        <w:rPr>
          <w:rFonts w:cs="Arial"/>
        </w:rPr>
        <w:t xml:space="preserve">1-7, </w:t>
      </w:r>
      <w:r w:rsidRPr="00CF538F">
        <w:rPr>
          <w:rFonts w:cs="Arial"/>
        </w:rPr>
        <w:t>DE.CM-1</w:t>
      </w:r>
      <w:r>
        <w:rPr>
          <w:rFonts w:cs="Arial"/>
        </w:rPr>
        <w:t xml:space="preserve">-3, </w:t>
      </w:r>
      <w:r w:rsidRPr="00256ED9">
        <w:rPr>
          <w:rFonts w:cs="Arial"/>
        </w:rPr>
        <w:t>DE.DP-2</w:t>
      </w:r>
      <w:r>
        <w:rPr>
          <w:rFonts w:cs="Arial"/>
        </w:rPr>
        <w:t xml:space="preserve">, </w:t>
      </w:r>
      <w:r w:rsidRPr="00256ED9">
        <w:rPr>
          <w:rFonts w:cs="Arial"/>
        </w:rPr>
        <w:t>RS.RP-1</w:t>
      </w:r>
    </w:p>
    <w:p w14:paraId="66A04E36" w14:textId="77777777" w:rsidR="007A7B4B" w:rsidRPr="000576EE" w:rsidRDefault="007A7B4B" w:rsidP="007A7B4B">
      <w:pPr>
        <w:rPr>
          <w:rFonts w:cs="Arial"/>
        </w:rPr>
      </w:pPr>
      <w:r w:rsidRPr="008E1251">
        <w:rPr>
          <w:rFonts w:cs="Arial"/>
        </w:rPr>
        <w:t>PCI</w:t>
      </w:r>
      <w:r>
        <w:rPr>
          <w:rFonts w:cs="Arial"/>
        </w:rPr>
        <w:t xml:space="preserve"> 7.1-3, </w:t>
      </w:r>
      <w:r w:rsidRPr="00D67B2D">
        <w:rPr>
          <w:rFonts w:cs="Arial"/>
        </w:rPr>
        <w:t>PCI Software Security Framework</w:t>
      </w:r>
    </w:p>
    <w:p w14:paraId="54C0C60B" w14:textId="77777777" w:rsidR="005766C9" w:rsidRDefault="005766C9" w:rsidP="003A0C63">
      <w:pPr>
        <w:rPr>
          <w:rFonts w:cs="Arial"/>
        </w:rPr>
      </w:pPr>
    </w:p>
    <w:p w14:paraId="027A67D8" w14:textId="77777777" w:rsidR="00C73226" w:rsidRDefault="00C73226" w:rsidP="003A0C63">
      <w:pPr>
        <w:rPr>
          <w:rFonts w:cs="Arial"/>
        </w:rPr>
      </w:pPr>
    </w:p>
    <w:p w14:paraId="2CEE86C3" w14:textId="77777777" w:rsidR="00C73226" w:rsidRPr="000576EE" w:rsidRDefault="00C73226" w:rsidP="003A0C63">
      <w:pPr>
        <w:rPr>
          <w:rFonts w:cs="Arial"/>
        </w:rPr>
      </w:pPr>
    </w:p>
    <w:sectPr w:rsidR="00C73226" w:rsidRPr="000576EE" w:rsidSect="00AC176D">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AF498" w14:textId="77777777" w:rsidR="00221B6C" w:rsidRDefault="00221B6C">
      <w:r>
        <w:separator/>
      </w:r>
    </w:p>
  </w:endnote>
  <w:endnote w:type="continuationSeparator" w:id="0">
    <w:p w14:paraId="65F5E74A" w14:textId="77777777" w:rsidR="00221B6C" w:rsidRDefault="00221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B3C64"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68D32C"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00401"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103AD8">
      <w:rPr>
        <w:noProof/>
      </w:rPr>
      <w:t>3</w:t>
    </w:r>
    <w:r>
      <w:fldChar w:fldCharType="end"/>
    </w:r>
    <w:r>
      <w:t xml:space="preserve"> of </w:t>
    </w:r>
    <w:fldSimple w:instr=" NUMPAGES ">
      <w:r w:rsidR="00103AD8">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7AB39" w14:textId="77777777" w:rsidR="00221B6C" w:rsidRDefault="00221B6C">
      <w:r>
        <w:separator/>
      </w:r>
    </w:p>
  </w:footnote>
  <w:footnote w:type="continuationSeparator" w:id="0">
    <w:p w14:paraId="00C4B350" w14:textId="77777777" w:rsidR="00221B6C" w:rsidRDefault="00221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37266" w14:textId="77777777" w:rsidR="008A427F" w:rsidRPr="00AB5876" w:rsidRDefault="008A427F" w:rsidP="00133095">
    <w:pPr>
      <w:pStyle w:val="Header"/>
      <w:tabs>
        <w:tab w:val="clear" w:pos="4320"/>
        <w:tab w:val="clear" w:pos="8640"/>
      </w:tabs>
      <w:rPr>
        <w:color w:val="365F91"/>
      </w:rPr>
    </w:pPr>
    <w:r w:rsidRPr="00AB5876">
      <w:rPr>
        <w:rFonts w:cs="Arial"/>
        <w:color w:val="365F91"/>
        <w:sz w:val="48"/>
        <w:szCs w:val="48"/>
      </w:rPr>
      <w:t>ABC Company</w:t>
    </w:r>
    <w:r w:rsidRPr="00AB5876">
      <w:rPr>
        <w:color w:val="365F91"/>
      </w:rPr>
      <w:tab/>
    </w:r>
    <w:r w:rsidRPr="00AB5876">
      <w:rPr>
        <w:color w:val="365F91"/>
      </w:rPr>
      <w:tab/>
    </w:r>
  </w:p>
  <w:p w14:paraId="22B8B00A" w14:textId="77777777" w:rsidR="008A427F" w:rsidRPr="000C66B7" w:rsidRDefault="00581834">
    <w:pPr>
      <w:pStyle w:val="Header"/>
    </w:pPr>
    <w:r>
      <w:rPr>
        <w:noProof/>
      </w:rPr>
      <mc:AlternateContent>
        <mc:Choice Requires="wps">
          <w:drawing>
            <wp:anchor distT="0" distB="0" distL="114300" distR="114300" simplePos="0" relativeHeight="251657728" behindDoc="0" locked="0" layoutInCell="1" allowOverlap="1" wp14:anchorId="5A6B6EFE" wp14:editId="668DF65D">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6D109F"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4E77"/>
    <w:multiLevelType w:val="hybridMultilevel"/>
    <w:tmpl w:val="C2D28F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809A2"/>
    <w:multiLevelType w:val="hybridMultilevel"/>
    <w:tmpl w:val="8F4AAF72"/>
    <w:lvl w:ilvl="0" w:tplc="1C3A58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565DE"/>
    <w:multiLevelType w:val="hybridMultilevel"/>
    <w:tmpl w:val="8AF08FF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B7A84"/>
    <w:multiLevelType w:val="hybridMultilevel"/>
    <w:tmpl w:val="C06EC1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839D1"/>
    <w:multiLevelType w:val="hybridMultilevel"/>
    <w:tmpl w:val="9E16638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30899"/>
    <w:multiLevelType w:val="hybridMultilevel"/>
    <w:tmpl w:val="13CA7BC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446EC"/>
    <w:multiLevelType w:val="hybridMultilevel"/>
    <w:tmpl w:val="550ADA04"/>
    <w:lvl w:ilvl="0" w:tplc="B8DED2E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71693"/>
    <w:multiLevelType w:val="hybridMultilevel"/>
    <w:tmpl w:val="606A1BC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62A47"/>
    <w:multiLevelType w:val="hybridMultilevel"/>
    <w:tmpl w:val="AE4E7CD0"/>
    <w:lvl w:ilvl="0" w:tplc="0484997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C2353"/>
    <w:multiLevelType w:val="hybridMultilevel"/>
    <w:tmpl w:val="A1EC7C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D119B"/>
    <w:multiLevelType w:val="hybridMultilevel"/>
    <w:tmpl w:val="51E65C0A"/>
    <w:lvl w:ilvl="0" w:tplc="1C3A58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0178A"/>
    <w:multiLevelType w:val="hybridMultilevel"/>
    <w:tmpl w:val="13F27A14"/>
    <w:lvl w:ilvl="0" w:tplc="DCAEA62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A1952"/>
    <w:multiLevelType w:val="hybridMultilevel"/>
    <w:tmpl w:val="4EFEC9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F77C1"/>
    <w:multiLevelType w:val="hybridMultilevel"/>
    <w:tmpl w:val="CFC8B9E8"/>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70755"/>
    <w:multiLevelType w:val="hybridMultilevel"/>
    <w:tmpl w:val="FB76900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8578C"/>
    <w:multiLevelType w:val="hybridMultilevel"/>
    <w:tmpl w:val="CB1C7DF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9C4561"/>
    <w:multiLevelType w:val="hybridMultilevel"/>
    <w:tmpl w:val="B694F1A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C7EEF"/>
    <w:multiLevelType w:val="hybridMultilevel"/>
    <w:tmpl w:val="D54095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FC633F"/>
    <w:multiLevelType w:val="hybridMultilevel"/>
    <w:tmpl w:val="7DC0A390"/>
    <w:lvl w:ilvl="0" w:tplc="0A1AC3FE">
      <w:start w:val="1"/>
      <w:numFmt w:val="bullet"/>
      <w:lvlText w:val=""/>
      <w:lvlJc w:val="left"/>
      <w:pPr>
        <w:ind w:left="1080" w:hanging="72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1E33B4"/>
    <w:multiLevelType w:val="hybridMultilevel"/>
    <w:tmpl w:val="949C9DC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E286E"/>
    <w:multiLevelType w:val="hybridMultilevel"/>
    <w:tmpl w:val="433EF742"/>
    <w:lvl w:ilvl="0" w:tplc="DE04C4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E1E82"/>
    <w:multiLevelType w:val="hybridMultilevel"/>
    <w:tmpl w:val="BA945B5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354E25"/>
    <w:multiLevelType w:val="hybridMultilevel"/>
    <w:tmpl w:val="B644F1D2"/>
    <w:lvl w:ilvl="0" w:tplc="EBC0C3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002ABC"/>
    <w:multiLevelType w:val="hybridMultilevel"/>
    <w:tmpl w:val="625015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0709DD"/>
    <w:multiLevelType w:val="hybridMultilevel"/>
    <w:tmpl w:val="0562F38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F923E0"/>
    <w:multiLevelType w:val="hybridMultilevel"/>
    <w:tmpl w:val="0C3EE71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21135"/>
    <w:multiLevelType w:val="hybridMultilevel"/>
    <w:tmpl w:val="C0BEB1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7A29C0"/>
    <w:multiLevelType w:val="hybridMultilevel"/>
    <w:tmpl w:val="E176FC3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494D02"/>
    <w:multiLevelType w:val="hybridMultilevel"/>
    <w:tmpl w:val="0CD474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DD4F77"/>
    <w:multiLevelType w:val="hybridMultilevel"/>
    <w:tmpl w:val="BD167CD4"/>
    <w:lvl w:ilvl="0" w:tplc="34A29F7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B71E1"/>
    <w:multiLevelType w:val="hybridMultilevel"/>
    <w:tmpl w:val="97C01106"/>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228EE"/>
    <w:multiLevelType w:val="hybridMultilevel"/>
    <w:tmpl w:val="E62E1452"/>
    <w:lvl w:ilvl="0" w:tplc="0AD6F7C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DE3A66"/>
    <w:multiLevelType w:val="hybridMultilevel"/>
    <w:tmpl w:val="B240E780"/>
    <w:lvl w:ilvl="0" w:tplc="0A1AC3FE">
      <w:start w:val="1"/>
      <w:numFmt w:val="bullet"/>
      <w:lvlText w:val=""/>
      <w:lvlJc w:val="left"/>
      <w:pPr>
        <w:ind w:left="720" w:hanging="360"/>
      </w:pPr>
      <w:rPr>
        <w:rFonts w:ascii="Symbol" w:hAnsi="Symbol" w:hint="default"/>
        <w:sz w:val="20"/>
      </w:rPr>
    </w:lvl>
    <w:lvl w:ilvl="1" w:tplc="CB1EF438">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5540CF"/>
    <w:multiLevelType w:val="hybridMultilevel"/>
    <w:tmpl w:val="24CCFBA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2C3AD6"/>
    <w:multiLevelType w:val="hybridMultilevel"/>
    <w:tmpl w:val="D2FA512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3B59A2"/>
    <w:multiLevelType w:val="hybridMultilevel"/>
    <w:tmpl w:val="E6026C7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26"/>
  </w:num>
  <w:num w:numId="5">
    <w:abstractNumId w:val="27"/>
  </w:num>
  <w:num w:numId="6">
    <w:abstractNumId w:val="29"/>
  </w:num>
  <w:num w:numId="7">
    <w:abstractNumId w:val="21"/>
  </w:num>
  <w:num w:numId="8">
    <w:abstractNumId w:val="33"/>
  </w:num>
  <w:num w:numId="9">
    <w:abstractNumId w:val="9"/>
  </w:num>
  <w:num w:numId="10">
    <w:abstractNumId w:val="13"/>
  </w:num>
  <w:num w:numId="11">
    <w:abstractNumId w:val="18"/>
  </w:num>
  <w:num w:numId="12">
    <w:abstractNumId w:val="0"/>
  </w:num>
  <w:num w:numId="13">
    <w:abstractNumId w:val="8"/>
  </w:num>
  <w:num w:numId="14">
    <w:abstractNumId w:val="14"/>
  </w:num>
  <w:num w:numId="15">
    <w:abstractNumId w:val="20"/>
  </w:num>
  <w:num w:numId="16">
    <w:abstractNumId w:val="2"/>
  </w:num>
  <w:num w:numId="17">
    <w:abstractNumId w:val="34"/>
  </w:num>
  <w:num w:numId="18">
    <w:abstractNumId w:val="5"/>
  </w:num>
  <w:num w:numId="19">
    <w:abstractNumId w:val="23"/>
  </w:num>
  <w:num w:numId="20">
    <w:abstractNumId w:val="28"/>
  </w:num>
  <w:num w:numId="21">
    <w:abstractNumId w:val="12"/>
  </w:num>
  <w:num w:numId="22">
    <w:abstractNumId w:val="35"/>
  </w:num>
  <w:num w:numId="23">
    <w:abstractNumId w:val="30"/>
  </w:num>
  <w:num w:numId="24">
    <w:abstractNumId w:val="25"/>
  </w:num>
  <w:num w:numId="25">
    <w:abstractNumId w:val="7"/>
  </w:num>
  <w:num w:numId="26">
    <w:abstractNumId w:val="10"/>
  </w:num>
  <w:num w:numId="27">
    <w:abstractNumId w:val="22"/>
  </w:num>
  <w:num w:numId="28">
    <w:abstractNumId w:val="16"/>
  </w:num>
  <w:num w:numId="29">
    <w:abstractNumId w:val="15"/>
  </w:num>
  <w:num w:numId="30">
    <w:abstractNumId w:val="19"/>
  </w:num>
  <w:num w:numId="31">
    <w:abstractNumId w:val="6"/>
  </w:num>
  <w:num w:numId="32">
    <w:abstractNumId w:val="31"/>
  </w:num>
  <w:num w:numId="33">
    <w:abstractNumId w:val="32"/>
  </w:num>
  <w:num w:numId="34">
    <w:abstractNumId w:val="11"/>
  </w:num>
  <w:num w:numId="35">
    <w:abstractNumId w:val="1"/>
  </w:num>
  <w:num w:numId="36">
    <w:abstractNumId w:val="17"/>
  </w:num>
  <w:num w:numId="37">
    <w:abstractNumId w:val="3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07C5A"/>
    <w:rsid w:val="000106E1"/>
    <w:rsid w:val="0001084E"/>
    <w:rsid w:val="0001194F"/>
    <w:rsid w:val="000128D1"/>
    <w:rsid w:val="00014083"/>
    <w:rsid w:val="00014F47"/>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3C7"/>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6A57"/>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3892"/>
    <w:rsid w:val="000C5A6D"/>
    <w:rsid w:val="000C66B7"/>
    <w:rsid w:val="000C6C4D"/>
    <w:rsid w:val="000D03C7"/>
    <w:rsid w:val="000D1F02"/>
    <w:rsid w:val="000D5E1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3AD8"/>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2E4E"/>
    <w:rsid w:val="001C31DC"/>
    <w:rsid w:val="001C4F1F"/>
    <w:rsid w:val="001C56C9"/>
    <w:rsid w:val="001C6213"/>
    <w:rsid w:val="001C78FA"/>
    <w:rsid w:val="001C7D99"/>
    <w:rsid w:val="001C7FDE"/>
    <w:rsid w:val="001D0DF6"/>
    <w:rsid w:val="001D117C"/>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04859"/>
    <w:rsid w:val="0021274B"/>
    <w:rsid w:val="00214F3C"/>
    <w:rsid w:val="00217520"/>
    <w:rsid w:val="00217ADA"/>
    <w:rsid w:val="00221B6C"/>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50C0"/>
    <w:rsid w:val="00255923"/>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25C"/>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0C63"/>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0BFE"/>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5B94"/>
    <w:rsid w:val="00477A68"/>
    <w:rsid w:val="00477F4A"/>
    <w:rsid w:val="0048278F"/>
    <w:rsid w:val="00484149"/>
    <w:rsid w:val="00485012"/>
    <w:rsid w:val="0048501F"/>
    <w:rsid w:val="00485066"/>
    <w:rsid w:val="0048563A"/>
    <w:rsid w:val="00486FBD"/>
    <w:rsid w:val="00487B1A"/>
    <w:rsid w:val="004909DD"/>
    <w:rsid w:val="00490CA2"/>
    <w:rsid w:val="00491326"/>
    <w:rsid w:val="00491852"/>
    <w:rsid w:val="00492048"/>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04A1"/>
    <w:rsid w:val="004C6263"/>
    <w:rsid w:val="004D10F1"/>
    <w:rsid w:val="004D2744"/>
    <w:rsid w:val="004D52E7"/>
    <w:rsid w:val="004D5460"/>
    <w:rsid w:val="004E0A1E"/>
    <w:rsid w:val="004E1F5A"/>
    <w:rsid w:val="004E2B37"/>
    <w:rsid w:val="004E2C34"/>
    <w:rsid w:val="004E51BB"/>
    <w:rsid w:val="004E5828"/>
    <w:rsid w:val="004E5E3B"/>
    <w:rsid w:val="004E7054"/>
    <w:rsid w:val="004F1821"/>
    <w:rsid w:val="004F31F3"/>
    <w:rsid w:val="004F6737"/>
    <w:rsid w:val="004F762B"/>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1834"/>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17B0B"/>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2BC2"/>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0FC8"/>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187"/>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0D4E"/>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A7B4B"/>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C0F"/>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6A80"/>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1B"/>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B7DF9"/>
    <w:rsid w:val="008C01DE"/>
    <w:rsid w:val="008C0E6B"/>
    <w:rsid w:val="008C1045"/>
    <w:rsid w:val="008C4534"/>
    <w:rsid w:val="008C4E22"/>
    <w:rsid w:val="008C57DE"/>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5C6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29F5"/>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57E53"/>
    <w:rsid w:val="009612F8"/>
    <w:rsid w:val="0096247A"/>
    <w:rsid w:val="0096291A"/>
    <w:rsid w:val="009632D1"/>
    <w:rsid w:val="00964916"/>
    <w:rsid w:val="00966072"/>
    <w:rsid w:val="00966815"/>
    <w:rsid w:val="00970869"/>
    <w:rsid w:val="00971254"/>
    <w:rsid w:val="00973510"/>
    <w:rsid w:val="00975666"/>
    <w:rsid w:val="0097568E"/>
    <w:rsid w:val="00980CF3"/>
    <w:rsid w:val="009811AE"/>
    <w:rsid w:val="009825DA"/>
    <w:rsid w:val="0098298C"/>
    <w:rsid w:val="00983D17"/>
    <w:rsid w:val="00984CCD"/>
    <w:rsid w:val="00985F64"/>
    <w:rsid w:val="00987E6A"/>
    <w:rsid w:val="00991045"/>
    <w:rsid w:val="009914DA"/>
    <w:rsid w:val="00992479"/>
    <w:rsid w:val="00992717"/>
    <w:rsid w:val="00993909"/>
    <w:rsid w:val="00995144"/>
    <w:rsid w:val="0099601D"/>
    <w:rsid w:val="00996949"/>
    <w:rsid w:val="00996DA3"/>
    <w:rsid w:val="009A1F64"/>
    <w:rsid w:val="009A25AF"/>
    <w:rsid w:val="009A7CB5"/>
    <w:rsid w:val="009B0563"/>
    <w:rsid w:val="009B109E"/>
    <w:rsid w:val="009B1444"/>
    <w:rsid w:val="009B30E9"/>
    <w:rsid w:val="009B37EB"/>
    <w:rsid w:val="009B5642"/>
    <w:rsid w:val="009B5ED6"/>
    <w:rsid w:val="009C30DD"/>
    <w:rsid w:val="009C4657"/>
    <w:rsid w:val="009C69D0"/>
    <w:rsid w:val="009D0199"/>
    <w:rsid w:val="009D12E6"/>
    <w:rsid w:val="009D2B91"/>
    <w:rsid w:val="009D2E5D"/>
    <w:rsid w:val="009D6118"/>
    <w:rsid w:val="009D6D35"/>
    <w:rsid w:val="009E11E8"/>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1AB7"/>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1A"/>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D75C3"/>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104A"/>
    <w:rsid w:val="00B0241F"/>
    <w:rsid w:val="00B032C2"/>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2E8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483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7FB"/>
    <w:rsid w:val="00C25DB7"/>
    <w:rsid w:val="00C26D28"/>
    <w:rsid w:val="00C31285"/>
    <w:rsid w:val="00C351F3"/>
    <w:rsid w:val="00C35F33"/>
    <w:rsid w:val="00C37447"/>
    <w:rsid w:val="00C37837"/>
    <w:rsid w:val="00C4089C"/>
    <w:rsid w:val="00C41F90"/>
    <w:rsid w:val="00C422E7"/>
    <w:rsid w:val="00C42775"/>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3226"/>
    <w:rsid w:val="00C74ECF"/>
    <w:rsid w:val="00C760B9"/>
    <w:rsid w:val="00C765F7"/>
    <w:rsid w:val="00C80301"/>
    <w:rsid w:val="00C814C3"/>
    <w:rsid w:val="00C81A9C"/>
    <w:rsid w:val="00C8489B"/>
    <w:rsid w:val="00C87265"/>
    <w:rsid w:val="00C873CD"/>
    <w:rsid w:val="00C87939"/>
    <w:rsid w:val="00C87F3C"/>
    <w:rsid w:val="00C87F7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C77AC"/>
    <w:rsid w:val="00CD2B7B"/>
    <w:rsid w:val="00CD305B"/>
    <w:rsid w:val="00CD72BD"/>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0B1"/>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12D1"/>
    <w:rsid w:val="00DB32D0"/>
    <w:rsid w:val="00DB35BC"/>
    <w:rsid w:val="00DB7117"/>
    <w:rsid w:val="00DC0E63"/>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577BE"/>
    <w:rsid w:val="00E60912"/>
    <w:rsid w:val="00E6142E"/>
    <w:rsid w:val="00E61C23"/>
    <w:rsid w:val="00E62B5B"/>
    <w:rsid w:val="00E652C6"/>
    <w:rsid w:val="00E67252"/>
    <w:rsid w:val="00E721F2"/>
    <w:rsid w:val="00E72DA7"/>
    <w:rsid w:val="00E73CAD"/>
    <w:rsid w:val="00E73D63"/>
    <w:rsid w:val="00E75303"/>
    <w:rsid w:val="00E81D0E"/>
    <w:rsid w:val="00E83FA4"/>
    <w:rsid w:val="00E85997"/>
    <w:rsid w:val="00E91D97"/>
    <w:rsid w:val="00E91ECB"/>
    <w:rsid w:val="00E9393B"/>
    <w:rsid w:val="00E95EB0"/>
    <w:rsid w:val="00E96C7A"/>
    <w:rsid w:val="00E97A73"/>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6C3D"/>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02C62B"/>
  <w15:docId w15:val="{B2360FC5-5275-4A65-8D14-71829A9A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2048"/>
    <w:pPr>
      <w:spacing w:line="276" w:lineRule="auto"/>
      <w:jc w:val="both"/>
    </w:pPr>
    <w:rPr>
      <w:rFonts w:ascii="Arial" w:hAnsi="Arial"/>
    </w:r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3A0C63"/>
    <w:rPr>
      <w:rFonts w:ascii="Arial Bold" w:hAnsi="Arial Bold"/>
      <w:b/>
      <w:bCs/>
      <w:caps w:val="0"/>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Firewall Hardening Procedure</vt:lpstr>
    </vt:vector>
  </TitlesOfParts>
  <Company>Altius IT</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Procedure</dc:title>
  <dc:creator>Altius IT</dc:creator>
  <cp:lastModifiedBy>Altius IT</cp:lastModifiedBy>
  <cp:revision>7</cp:revision>
  <cp:lastPrinted>2012-07-23T23:36:00Z</cp:lastPrinted>
  <dcterms:created xsi:type="dcterms:W3CDTF">2020-06-25T18:05:00Z</dcterms:created>
  <dcterms:modified xsi:type="dcterms:W3CDTF">2020-06-25T19:52:00Z</dcterms:modified>
</cp:coreProperties>
</file>