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1C3F8" w14:textId="5D87BB00" w:rsidR="001C2E4E" w:rsidRPr="00B176F3" w:rsidRDefault="007A7B4B" w:rsidP="001C2E4E">
      <w:pPr>
        <w:pStyle w:val="Title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A</w:t>
      </w:r>
      <w:r w:rsidR="00CA180D">
        <w:rPr>
          <w:rStyle w:val="Emphasis"/>
          <w:b w:val="0"/>
          <w:i w:val="0"/>
          <w:spacing w:val="0"/>
        </w:rPr>
        <w:t xml:space="preserve">nti-Malware </w:t>
      </w:r>
      <w:r w:rsidR="00D550B1">
        <w:rPr>
          <w:rStyle w:val="Emphasis"/>
          <w:b w:val="0"/>
          <w:i w:val="0"/>
          <w:spacing w:val="0"/>
        </w:rPr>
        <w:t>Procedure</w:t>
      </w:r>
    </w:p>
    <w:p w14:paraId="2677BB04" w14:textId="77777777" w:rsidR="001C2E4E" w:rsidRPr="000576EE" w:rsidRDefault="001C2E4E" w:rsidP="001C2E4E">
      <w:pPr>
        <w:jc w:val="center"/>
        <w:rPr>
          <w:rFonts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6"/>
        <w:gridCol w:w="6664"/>
      </w:tblGrid>
      <w:tr w:rsidR="001C2E4E" w:rsidRPr="009F2F01" w14:paraId="638EC3E3" w14:textId="77777777" w:rsidTr="00C257FB">
        <w:tc>
          <w:tcPr>
            <w:tcW w:w="1998" w:type="dxa"/>
            <w:shd w:val="clear" w:color="auto" w:fill="C0C0C0"/>
          </w:tcPr>
          <w:p w14:paraId="5A4E4B96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14:paraId="08B6B01B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IT Policy Library</w:t>
            </w:r>
          </w:p>
        </w:tc>
      </w:tr>
      <w:tr w:rsidR="001C2E4E" w:rsidRPr="009F2F01" w14:paraId="310CD7CA" w14:textId="77777777" w:rsidTr="00C257FB">
        <w:tc>
          <w:tcPr>
            <w:tcW w:w="1998" w:type="dxa"/>
            <w:shd w:val="clear" w:color="auto" w:fill="C0C0C0"/>
          </w:tcPr>
          <w:p w14:paraId="76FDD1A0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Approved Date</w:t>
            </w:r>
          </w:p>
        </w:tc>
        <w:tc>
          <w:tcPr>
            <w:tcW w:w="6858" w:type="dxa"/>
            <w:shd w:val="clear" w:color="auto" w:fill="auto"/>
          </w:tcPr>
          <w:p w14:paraId="025FD220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December 31, 20XX</w:t>
            </w:r>
          </w:p>
        </w:tc>
      </w:tr>
      <w:tr w:rsidR="001C2E4E" w:rsidRPr="009F2F01" w14:paraId="4AD75926" w14:textId="77777777" w:rsidTr="00C257FB">
        <w:tc>
          <w:tcPr>
            <w:tcW w:w="1998" w:type="dxa"/>
            <w:shd w:val="clear" w:color="auto" w:fill="C0C0C0"/>
          </w:tcPr>
          <w:p w14:paraId="54BF22C5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14:paraId="43A5CDDC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 xml:space="preserve">Policy Committee </w:t>
            </w:r>
          </w:p>
        </w:tc>
      </w:tr>
      <w:tr w:rsidR="001C2E4E" w:rsidRPr="009F2F01" w14:paraId="3ABF3057" w14:textId="77777777" w:rsidTr="00C257FB">
        <w:tc>
          <w:tcPr>
            <w:tcW w:w="1998" w:type="dxa"/>
            <w:shd w:val="clear" w:color="auto" w:fill="C0C0C0"/>
          </w:tcPr>
          <w:p w14:paraId="4283D3AE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14:paraId="565CA1FC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January 1, 20XX</w:t>
            </w:r>
          </w:p>
        </w:tc>
      </w:tr>
      <w:tr w:rsidR="001C2E4E" w:rsidRPr="009F2F01" w14:paraId="7276E2F1" w14:textId="77777777" w:rsidTr="00C257FB">
        <w:tc>
          <w:tcPr>
            <w:tcW w:w="1998" w:type="dxa"/>
            <w:shd w:val="clear" w:color="auto" w:fill="C0C0C0"/>
          </w:tcPr>
          <w:p w14:paraId="53AE53BE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14:paraId="61CF8D91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1.0</w:t>
            </w:r>
          </w:p>
        </w:tc>
      </w:tr>
    </w:tbl>
    <w:p w14:paraId="55ED2DA3" w14:textId="77777777" w:rsidR="001C2E4E" w:rsidRPr="000576EE" w:rsidRDefault="001C2E4E" w:rsidP="001C2E4E">
      <w:pPr>
        <w:rPr>
          <w:rFonts w:cs="Arial"/>
        </w:rPr>
      </w:pPr>
    </w:p>
    <w:p w14:paraId="06FCAA3F" w14:textId="77777777" w:rsidR="001C2E4E" w:rsidRPr="003E5988" w:rsidRDefault="001C2E4E" w:rsidP="001C2E4E">
      <w:pPr>
        <w:pStyle w:val="Heading1"/>
      </w:pPr>
      <w:r w:rsidRPr="003E5988">
        <w:t>I. Overview</w:t>
      </w:r>
    </w:p>
    <w:p w14:paraId="261BF92C" w14:textId="38699DF0" w:rsidR="0032125C" w:rsidRPr="000576EE" w:rsidRDefault="00E73CAD" w:rsidP="0032125C">
      <w:pPr>
        <w:rPr>
          <w:rFonts w:cs="Arial"/>
        </w:rPr>
      </w:pPr>
      <w:r>
        <w:rPr>
          <w:rFonts w:cs="Arial"/>
        </w:rPr>
        <w:t xml:space="preserve">This procedure provides detailed steps and actions to secure Information Systems per the </w:t>
      </w:r>
      <w:r w:rsidR="00E605C1">
        <w:rPr>
          <w:rFonts w:cs="Arial"/>
        </w:rPr>
        <w:t>Anti-Malware</w:t>
      </w:r>
      <w:r>
        <w:rPr>
          <w:rFonts w:cs="Arial"/>
        </w:rPr>
        <w:t xml:space="preserve"> Policy.</w:t>
      </w:r>
    </w:p>
    <w:p w14:paraId="1A32CF00" w14:textId="77777777" w:rsidR="001C2E4E" w:rsidRPr="00557ACD" w:rsidRDefault="001C2E4E" w:rsidP="001C2E4E">
      <w:pPr>
        <w:pStyle w:val="Heading1"/>
      </w:pPr>
      <w:r w:rsidRPr="00557ACD">
        <w:t>II. Purpose</w:t>
      </w:r>
    </w:p>
    <w:p w14:paraId="2A3BE774" w14:textId="65E44F23" w:rsidR="001D117C" w:rsidRPr="001D117C" w:rsidRDefault="00C42775" w:rsidP="001D117C">
      <w:pPr>
        <w:rPr>
          <w:rFonts w:cs="Arial"/>
        </w:rPr>
      </w:pPr>
      <w:r>
        <w:rPr>
          <w:rFonts w:cs="Arial"/>
        </w:rPr>
        <w:t>The purpose of this p</w:t>
      </w:r>
      <w:r w:rsidR="001D117C" w:rsidRPr="001D117C">
        <w:rPr>
          <w:rFonts w:cs="Arial"/>
        </w:rPr>
        <w:t xml:space="preserve">rocedure is to formally document </w:t>
      </w:r>
      <w:r w:rsidR="00E73CAD">
        <w:rPr>
          <w:rFonts w:cs="Arial"/>
        </w:rPr>
        <w:t xml:space="preserve">the steps, actions, and processes needed to </w:t>
      </w:r>
      <w:r w:rsidR="001D117C" w:rsidRPr="001D117C">
        <w:rPr>
          <w:rFonts w:cs="Arial"/>
        </w:rPr>
        <w:t>meet the requirem</w:t>
      </w:r>
      <w:r w:rsidR="00996DA3">
        <w:rPr>
          <w:rFonts w:cs="Arial"/>
        </w:rPr>
        <w:t xml:space="preserve">ents specified in ABC Company's </w:t>
      </w:r>
      <w:r w:rsidR="00E605C1">
        <w:rPr>
          <w:rFonts w:cs="Arial"/>
        </w:rPr>
        <w:t>Anti-Malware</w:t>
      </w:r>
      <w:r w:rsidR="00996DA3">
        <w:rPr>
          <w:rFonts w:cs="Arial"/>
        </w:rPr>
        <w:t xml:space="preserve"> Policy.</w:t>
      </w:r>
    </w:p>
    <w:p w14:paraId="572B064F" w14:textId="77777777" w:rsidR="001C2E4E" w:rsidRPr="000576EE" w:rsidRDefault="001C2E4E" w:rsidP="001C2E4E">
      <w:pPr>
        <w:pStyle w:val="Heading1"/>
      </w:pPr>
      <w:r w:rsidRPr="000576EE">
        <w:t>III. Scope</w:t>
      </w:r>
    </w:p>
    <w:p w14:paraId="289DF53E" w14:textId="0D5CD568" w:rsidR="001C2E4E" w:rsidRPr="000576EE" w:rsidRDefault="001C2E4E" w:rsidP="001C2E4E">
      <w:pPr>
        <w:rPr>
          <w:rFonts w:cs="Arial"/>
        </w:rPr>
      </w:pPr>
      <w:r>
        <w:rPr>
          <w:rFonts w:cs="Arial"/>
        </w:rPr>
        <w:t xml:space="preserve">This </w:t>
      </w:r>
      <w:r w:rsidR="00C42775">
        <w:rPr>
          <w:rFonts w:cs="Arial"/>
        </w:rPr>
        <w:t>procedure</w:t>
      </w:r>
      <w:r w:rsidRPr="00D1463B">
        <w:rPr>
          <w:rFonts w:cs="Arial"/>
        </w:rPr>
        <w:t xml:space="preserve"> applies </w:t>
      </w:r>
      <w:r>
        <w:rPr>
          <w:rFonts w:cs="Arial"/>
        </w:rPr>
        <w:t>to</w:t>
      </w:r>
      <w:r w:rsidRPr="00F14198">
        <w:rPr>
          <w:rFonts w:cs="Arial"/>
        </w:rPr>
        <w:t xml:space="preserve"> </w:t>
      </w:r>
      <w:r>
        <w:rPr>
          <w:rFonts w:cs="Arial"/>
        </w:rPr>
        <w:t xml:space="preserve">all ABC Company </w:t>
      </w:r>
      <w:r w:rsidR="00727187">
        <w:rPr>
          <w:rFonts w:cs="Arial"/>
        </w:rPr>
        <w:t xml:space="preserve">Department Heads and IT </w:t>
      </w:r>
      <w:r>
        <w:rPr>
          <w:rFonts w:cs="Arial"/>
        </w:rPr>
        <w:t xml:space="preserve">Staff who </w:t>
      </w:r>
      <w:r w:rsidR="00996DA3">
        <w:rPr>
          <w:rFonts w:cs="Arial"/>
        </w:rPr>
        <w:t xml:space="preserve">administer </w:t>
      </w:r>
      <w:r w:rsidR="00271C66">
        <w:rPr>
          <w:rFonts w:cs="Arial"/>
        </w:rPr>
        <w:t>networks.</w:t>
      </w:r>
    </w:p>
    <w:p w14:paraId="4ED61E9E" w14:textId="77777777" w:rsidR="001C2E4E" w:rsidRPr="000576EE" w:rsidRDefault="00905C6F" w:rsidP="001C2E4E">
      <w:pPr>
        <w:pStyle w:val="Heading1"/>
      </w:pPr>
      <w:r>
        <w:t>IV. Procedure</w:t>
      </w:r>
    </w:p>
    <w:p w14:paraId="414E9686" w14:textId="7F744C71" w:rsidR="00494259" w:rsidRDefault="00494259" w:rsidP="00C8209B">
      <w:pPr>
        <w:rPr>
          <w:rFonts w:cs="Arial"/>
        </w:rPr>
      </w:pPr>
      <w:r>
        <w:rPr>
          <w:rFonts w:cs="Arial"/>
        </w:rPr>
        <w:t xml:space="preserve">On an annual basis, end users receive security related training regarding malicious software.  </w:t>
      </w:r>
      <w:r w:rsidRPr="00494259">
        <w:rPr>
          <w:rFonts w:cs="Arial"/>
        </w:rPr>
        <w:t>New Staff are trained within 30 days of, being granted access to any IT resources.  Staff receive regular training, reference materials, and reminders</w:t>
      </w:r>
      <w:r>
        <w:rPr>
          <w:rFonts w:cs="Arial"/>
        </w:rPr>
        <w:t xml:space="preserve"> that include malware related risks.  For more information see the Security Awareness and Training Plan.</w:t>
      </w:r>
    </w:p>
    <w:p w14:paraId="761A98CE" w14:textId="77777777" w:rsidR="00494259" w:rsidRDefault="00494259" w:rsidP="00C8209B">
      <w:pPr>
        <w:rPr>
          <w:rFonts w:cs="Arial"/>
        </w:rPr>
      </w:pPr>
    </w:p>
    <w:p w14:paraId="7B13FA64" w14:textId="19DF74EC" w:rsidR="00284E74" w:rsidRPr="00D47898" w:rsidRDefault="00494259" w:rsidP="00284E74">
      <w:pPr>
        <w:rPr>
          <w:rFonts w:cs="Arial"/>
        </w:rPr>
      </w:pPr>
      <w:r>
        <w:rPr>
          <w:rFonts w:cs="Arial"/>
        </w:rPr>
        <w:t>When new equipment is installed and, o</w:t>
      </w:r>
      <w:r w:rsidR="00C8209B">
        <w:rPr>
          <w:rFonts w:cs="Arial"/>
        </w:rPr>
        <w:t xml:space="preserve">n a quarterly basis, IT Staff </w:t>
      </w:r>
      <w:r>
        <w:rPr>
          <w:rFonts w:cs="Arial"/>
        </w:rPr>
        <w:t>review configurations to ensure that c</w:t>
      </w:r>
      <w:r w:rsidR="00C8209B">
        <w:rPr>
          <w:rFonts w:cs="Arial"/>
        </w:rPr>
        <w:t>entrally managed anti-malware software continuously monitors and protects Information Systems</w:t>
      </w:r>
      <w:r w:rsidR="00284E74">
        <w:rPr>
          <w:rFonts w:cs="Arial"/>
        </w:rPr>
        <w:t xml:space="preserve">.  Such software is reviewed to ensure it is </w:t>
      </w:r>
      <w:r w:rsidR="00284E74" w:rsidRPr="00D47898">
        <w:rPr>
          <w:rFonts w:cs="Arial"/>
        </w:rPr>
        <w:t>capable of detecting, removing, and protecting against all known types of malicious soft</w:t>
      </w:r>
      <w:r w:rsidR="00284E74">
        <w:rPr>
          <w:rFonts w:cs="Arial"/>
        </w:rPr>
        <w:t>ware including Ransomware.</w:t>
      </w:r>
      <w:r w:rsidR="00284E74">
        <w:rPr>
          <w:rFonts w:cs="Arial"/>
        </w:rPr>
        <w:t xml:space="preserve">  M</w:t>
      </w:r>
      <w:r w:rsidR="00284E74" w:rsidRPr="00D47898">
        <w:rPr>
          <w:rFonts w:cs="Arial"/>
        </w:rPr>
        <w:t>echa</w:t>
      </w:r>
      <w:r w:rsidR="00284E74">
        <w:rPr>
          <w:rFonts w:cs="Arial"/>
        </w:rPr>
        <w:t xml:space="preserve">nisms are </w:t>
      </w:r>
      <w:r w:rsidR="00284E74">
        <w:rPr>
          <w:rFonts w:cs="Arial"/>
        </w:rPr>
        <w:t xml:space="preserve">reviewed to ensure </w:t>
      </w:r>
      <w:r w:rsidR="00284E74">
        <w:rPr>
          <w:rFonts w:cs="Arial"/>
        </w:rPr>
        <w:t xml:space="preserve">the scanning engine and signature database </w:t>
      </w:r>
      <w:r w:rsidR="00284E74">
        <w:rPr>
          <w:rFonts w:cs="Arial"/>
        </w:rPr>
        <w:t xml:space="preserve">are </w:t>
      </w:r>
      <w:r w:rsidR="00284E74">
        <w:rPr>
          <w:rFonts w:cs="Arial"/>
        </w:rPr>
        <w:t>updated every 12 hours.</w:t>
      </w:r>
    </w:p>
    <w:p w14:paraId="12029A49" w14:textId="4879C77D" w:rsidR="00494259" w:rsidRDefault="00494259" w:rsidP="00C8209B">
      <w:pPr>
        <w:rPr>
          <w:rFonts w:cs="Arial"/>
        </w:rPr>
      </w:pPr>
    </w:p>
    <w:p w14:paraId="18BEF8B9" w14:textId="7D89879E" w:rsidR="00C8209B" w:rsidRDefault="00494259" w:rsidP="00494259">
      <w:pPr>
        <w:rPr>
          <w:rFonts w:cs="Arial"/>
        </w:rPr>
      </w:pPr>
      <w:r>
        <w:rPr>
          <w:rFonts w:cs="Arial"/>
        </w:rPr>
        <w:t xml:space="preserve">On an annual basis, IT Staff receive security related training that includes security solutions used to protect against malicious software.  Such training includes </w:t>
      </w:r>
      <w:r w:rsidR="00C8209B">
        <w:rPr>
          <w:rFonts w:cs="Arial"/>
        </w:rPr>
        <w:t>a</w:t>
      </w:r>
      <w:r w:rsidR="00C8209B" w:rsidRPr="00D9435D">
        <w:rPr>
          <w:rFonts w:cs="Arial"/>
        </w:rPr>
        <w:t xml:space="preserve">nti-exploitation features such as Data Execution Prevention (DEP) or Address Space Layout Randomization (ASLR) </w:t>
      </w:r>
      <w:r w:rsidR="00284E74">
        <w:rPr>
          <w:rFonts w:cs="Arial"/>
        </w:rPr>
        <w:t xml:space="preserve">configured to </w:t>
      </w:r>
      <w:r w:rsidR="00C8209B" w:rsidRPr="00D9435D">
        <w:rPr>
          <w:rFonts w:cs="Arial"/>
        </w:rPr>
        <w:t>apply protection to a broader set of applications and executables.</w:t>
      </w:r>
    </w:p>
    <w:p w14:paraId="79EEC0BE" w14:textId="77777777" w:rsidR="00284E74" w:rsidRDefault="00284E74" w:rsidP="00284E74">
      <w:pPr>
        <w:rPr>
          <w:rFonts w:cs="Arial"/>
        </w:rPr>
      </w:pPr>
    </w:p>
    <w:p w14:paraId="7FD4BD6A" w14:textId="791B41B5" w:rsidR="00C8209B" w:rsidRDefault="00284E74" w:rsidP="00284E74">
      <w:pPr>
        <w:rPr>
          <w:rFonts w:cs="Arial"/>
        </w:rPr>
      </w:pPr>
      <w:r>
        <w:rPr>
          <w:rFonts w:cs="Arial"/>
        </w:rPr>
        <w:t>On an annual basis, Information S</w:t>
      </w:r>
      <w:r w:rsidR="00C8209B" w:rsidRPr="00D47898">
        <w:rPr>
          <w:rFonts w:cs="Arial"/>
        </w:rPr>
        <w:t xml:space="preserve">ystems considered to be not commonly affected by malicious software, </w:t>
      </w:r>
      <w:r w:rsidR="00C8209B">
        <w:rPr>
          <w:rFonts w:cs="Arial"/>
        </w:rPr>
        <w:t>receive</w:t>
      </w:r>
      <w:r>
        <w:rPr>
          <w:rFonts w:cs="Arial"/>
        </w:rPr>
        <w:t xml:space="preserve"> </w:t>
      </w:r>
      <w:r w:rsidR="00C8209B" w:rsidRPr="00D47898">
        <w:rPr>
          <w:rFonts w:cs="Arial"/>
        </w:rPr>
        <w:t xml:space="preserve">evaluations </w:t>
      </w:r>
      <w:r>
        <w:rPr>
          <w:rFonts w:cs="Arial"/>
        </w:rPr>
        <w:t xml:space="preserve">by IT Staff </w:t>
      </w:r>
      <w:r w:rsidR="00C8209B" w:rsidRPr="00D47898">
        <w:rPr>
          <w:rFonts w:cs="Arial"/>
        </w:rPr>
        <w:t>to identify and evaluate evolving malware threats to confirm whether such systems continue to n</w:t>
      </w:r>
      <w:r w:rsidR="00C8209B">
        <w:rPr>
          <w:rFonts w:cs="Arial"/>
        </w:rPr>
        <w:t>ot require anti-virus software.</w:t>
      </w:r>
    </w:p>
    <w:p w14:paraId="25B4C367" w14:textId="77777777" w:rsidR="00284E74" w:rsidRPr="00D47898" w:rsidRDefault="00284E74" w:rsidP="00284E74">
      <w:pPr>
        <w:rPr>
          <w:rFonts w:cs="Arial"/>
        </w:rPr>
      </w:pPr>
    </w:p>
    <w:p w14:paraId="2C28B4DE" w14:textId="6907D227" w:rsidR="00C8209B" w:rsidRDefault="00271C66" w:rsidP="008B3E6A">
      <w:pPr>
        <w:rPr>
          <w:rFonts w:cs="Arial"/>
        </w:rPr>
      </w:pPr>
      <w:r>
        <w:rPr>
          <w:rFonts w:cs="Arial"/>
        </w:rPr>
        <w:lastRenderedPageBreak/>
        <w:t xml:space="preserve">On a weekly basis, </w:t>
      </w:r>
      <w:r w:rsidR="00C8209B">
        <w:rPr>
          <w:rFonts w:cs="Arial"/>
        </w:rPr>
        <w:t>scans of Information System</w:t>
      </w:r>
      <w:r w:rsidR="008B3E6A">
        <w:rPr>
          <w:rFonts w:cs="Arial"/>
        </w:rPr>
        <w:t>s</w:t>
      </w:r>
      <w:r w:rsidR="00C8209B">
        <w:rPr>
          <w:rFonts w:cs="Arial"/>
        </w:rPr>
        <w:t xml:space="preserve"> </w:t>
      </w:r>
      <w:r w:rsidR="008B3E6A">
        <w:rPr>
          <w:rFonts w:cs="Arial"/>
        </w:rPr>
        <w:t>are</w:t>
      </w:r>
      <w:r w:rsidR="00C8209B">
        <w:rPr>
          <w:rFonts w:cs="Arial"/>
        </w:rPr>
        <w:t xml:space="preserve"> performed </w:t>
      </w:r>
      <w:r w:rsidR="008B3E6A">
        <w:rPr>
          <w:rFonts w:cs="Arial"/>
        </w:rPr>
        <w:t xml:space="preserve">with </w:t>
      </w:r>
      <w:r w:rsidR="00C8209B">
        <w:rPr>
          <w:rFonts w:cs="Arial"/>
        </w:rPr>
        <w:t xml:space="preserve">audit logs generated and retained per Data Retention Policy requirements.  Real time scan of files from external sources </w:t>
      </w:r>
      <w:r w:rsidR="008B3E6A">
        <w:rPr>
          <w:rFonts w:cs="Arial"/>
        </w:rPr>
        <w:t>are</w:t>
      </w:r>
      <w:r w:rsidR="00C8209B">
        <w:rPr>
          <w:rFonts w:cs="Arial"/>
        </w:rPr>
        <w:t xml:space="preserve"> performed as files are downloaded, opened, or executed.</w:t>
      </w:r>
    </w:p>
    <w:p w14:paraId="4109E9AE" w14:textId="77777777" w:rsidR="008B3E6A" w:rsidRDefault="008B3E6A" w:rsidP="008B3E6A">
      <w:pPr>
        <w:rPr>
          <w:rFonts w:cs="Arial"/>
        </w:rPr>
      </w:pPr>
    </w:p>
    <w:p w14:paraId="3C3C0617" w14:textId="77777777" w:rsidR="008B3E6A" w:rsidRDefault="008B3E6A" w:rsidP="008B3E6A">
      <w:pPr>
        <w:rPr>
          <w:rFonts w:cs="Arial"/>
        </w:rPr>
      </w:pPr>
      <w:bookmarkStart w:id="0" w:name="_Hlk37929694"/>
      <w:r>
        <w:rPr>
          <w:rFonts w:cs="Arial"/>
        </w:rPr>
        <w:t>When new equipment is installed, and on a quarterly basis, IT Staff shall:</w:t>
      </w:r>
    </w:p>
    <w:p w14:paraId="7AD6FD35" w14:textId="4618140C" w:rsidR="008B3E6A" w:rsidRPr="008B3E6A" w:rsidRDefault="008B3E6A" w:rsidP="008B3E6A">
      <w:pPr>
        <w:pStyle w:val="ListParagraph"/>
        <w:numPr>
          <w:ilvl w:val="0"/>
          <w:numId w:val="41"/>
        </w:numPr>
        <w:rPr>
          <w:rFonts w:cs="Arial"/>
        </w:rPr>
      </w:pPr>
      <w:r w:rsidRPr="008B3E6A">
        <w:rPr>
          <w:rFonts w:cs="Arial"/>
        </w:rPr>
        <w:t>Review d</w:t>
      </w:r>
      <w:r w:rsidR="00C8209B" w:rsidRPr="008B3E6A">
        <w:rPr>
          <w:rFonts w:cs="Arial"/>
        </w:rPr>
        <w:t>evices</w:t>
      </w:r>
      <w:r w:rsidRPr="008B3E6A">
        <w:rPr>
          <w:rFonts w:cs="Arial"/>
        </w:rPr>
        <w:t xml:space="preserve"> to ensure they </w:t>
      </w:r>
      <w:r w:rsidR="00C8209B" w:rsidRPr="008B3E6A">
        <w:rPr>
          <w:rFonts w:cs="Arial"/>
        </w:rPr>
        <w:t xml:space="preserve">are configured </w:t>
      </w:r>
      <w:r w:rsidRPr="008B3E6A">
        <w:rPr>
          <w:rFonts w:cs="Arial"/>
        </w:rPr>
        <w:t xml:space="preserve">to </w:t>
      </w:r>
      <w:r w:rsidR="00C8209B" w:rsidRPr="008B3E6A">
        <w:rPr>
          <w:rFonts w:cs="Arial"/>
        </w:rPr>
        <w:t>automatically conduct an anti-malware scan of removable media when inserted or connected.</w:t>
      </w:r>
      <w:bookmarkEnd w:id="0"/>
    </w:p>
    <w:p w14:paraId="58B4E101" w14:textId="0E460FFE" w:rsidR="00C8209B" w:rsidRPr="00F044BC" w:rsidRDefault="008B3E6A" w:rsidP="00C8209B">
      <w:pPr>
        <w:numPr>
          <w:ilvl w:val="0"/>
          <w:numId w:val="38"/>
        </w:numPr>
        <w:rPr>
          <w:rFonts w:cs="Arial"/>
        </w:rPr>
      </w:pPr>
      <w:r>
        <w:rPr>
          <w:rFonts w:cs="Arial"/>
        </w:rPr>
        <w:t>Ensure approved a</w:t>
      </w:r>
      <w:r w:rsidR="00C8209B" w:rsidRPr="00D47898">
        <w:rPr>
          <w:rFonts w:cs="Arial"/>
        </w:rPr>
        <w:t>nti-virus mechanisms are actively running and cannot be disabled or altered by users, unless</w:t>
      </w:r>
      <w:r w:rsidR="00C8209B">
        <w:rPr>
          <w:rFonts w:cs="Arial"/>
        </w:rPr>
        <w:t xml:space="preserve"> </w:t>
      </w:r>
      <w:r w:rsidR="00C8209B" w:rsidRPr="00D47898">
        <w:rPr>
          <w:rFonts w:cs="Arial"/>
        </w:rPr>
        <w:t xml:space="preserve">specifically authorized by </w:t>
      </w:r>
      <w:r>
        <w:rPr>
          <w:rFonts w:cs="Arial"/>
        </w:rPr>
        <w:t xml:space="preserve">the appropriate Department Head </w:t>
      </w:r>
      <w:r w:rsidR="00C8209B" w:rsidRPr="00D47898">
        <w:rPr>
          <w:rFonts w:cs="Arial"/>
        </w:rPr>
        <w:t>on a case-by-case ba</w:t>
      </w:r>
      <w:r w:rsidR="00C8209B">
        <w:rPr>
          <w:rFonts w:cs="Arial"/>
        </w:rPr>
        <w:t>sis for a limited time period.</w:t>
      </w:r>
    </w:p>
    <w:p w14:paraId="22E466F0" w14:textId="77777777" w:rsidR="00271C66" w:rsidRDefault="00271C66" w:rsidP="00271C66">
      <w:pPr>
        <w:rPr>
          <w:rFonts w:cs="Arial"/>
        </w:rPr>
      </w:pPr>
    </w:p>
    <w:p w14:paraId="6041FCDE" w14:textId="273F4BCA" w:rsidR="00271C66" w:rsidRPr="008B3E6A" w:rsidRDefault="00271C66" w:rsidP="00271C66">
      <w:pPr>
        <w:rPr>
          <w:rFonts w:cs="Arial"/>
        </w:rPr>
      </w:pPr>
      <w:r>
        <w:rPr>
          <w:rFonts w:cs="Arial"/>
        </w:rPr>
        <w:t>The appropriate Department Head authorizes m</w:t>
      </w:r>
      <w:r w:rsidRPr="0000491D">
        <w:rPr>
          <w:rFonts w:cs="Arial"/>
        </w:rPr>
        <w:t xml:space="preserve">obile </w:t>
      </w:r>
      <w:r>
        <w:rPr>
          <w:rFonts w:cs="Arial"/>
        </w:rPr>
        <w:t>c</w:t>
      </w:r>
      <w:r w:rsidRPr="0000491D">
        <w:rPr>
          <w:rFonts w:cs="Arial"/>
        </w:rPr>
        <w:t>ode</w:t>
      </w:r>
      <w:r>
        <w:rPr>
          <w:rFonts w:cs="Arial"/>
        </w:rPr>
        <w:t xml:space="preserve"> </w:t>
      </w:r>
      <w:r w:rsidRPr="0000491D">
        <w:rPr>
          <w:rFonts w:cs="Arial"/>
        </w:rPr>
        <w:t xml:space="preserve">before its installation and use.  Anti-malware software </w:t>
      </w:r>
      <w:r>
        <w:rPr>
          <w:rFonts w:cs="Arial"/>
        </w:rPr>
        <w:t xml:space="preserve">ensures </w:t>
      </w:r>
      <w:r w:rsidRPr="0000491D">
        <w:rPr>
          <w:rFonts w:cs="Arial"/>
        </w:rPr>
        <w:t xml:space="preserve">unauthorized </w:t>
      </w:r>
      <w:r>
        <w:rPr>
          <w:rFonts w:cs="Arial"/>
        </w:rPr>
        <w:t>m</w:t>
      </w:r>
      <w:r w:rsidRPr="0000491D">
        <w:rPr>
          <w:rFonts w:cs="Arial"/>
        </w:rPr>
        <w:t xml:space="preserve">obile </w:t>
      </w:r>
      <w:r>
        <w:rPr>
          <w:rFonts w:cs="Arial"/>
        </w:rPr>
        <w:t>c</w:t>
      </w:r>
      <w:r w:rsidRPr="0000491D">
        <w:rPr>
          <w:rFonts w:cs="Arial"/>
        </w:rPr>
        <w:t>ode is prevented from executing</w:t>
      </w:r>
      <w:r>
        <w:rPr>
          <w:rFonts w:cs="Arial"/>
        </w:rPr>
        <w:t xml:space="preserve"> and a</w:t>
      </w:r>
      <w:r w:rsidRPr="0000491D">
        <w:rPr>
          <w:rFonts w:cs="Arial"/>
        </w:rPr>
        <w:t xml:space="preserve">uthorized </w:t>
      </w:r>
      <w:r>
        <w:rPr>
          <w:rFonts w:cs="Arial"/>
        </w:rPr>
        <w:t>m</w:t>
      </w:r>
      <w:r w:rsidRPr="0000491D">
        <w:rPr>
          <w:rFonts w:cs="Arial"/>
        </w:rPr>
        <w:t xml:space="preserve">obile </w:t>
      </w:r>
      <w:r>
        <w:rPr>
          <w:rFonts w:cs="Arial"/>
        </w:rPr>
        <w:t>c</w:t>
      </w:r>
      <w:r w:rsidRPr="0000491D">
        <w:rPr>
          <w:rFonts w:cs="Arial"/>
        </w:rPr>
        <w:t>ode operates according to a clearly defined security policy</w:t>
      </w:r>
      <w:r>
        <w:rPr>
          <w:rFonts w:cs="Arial"/>
        </w:rPr>
        <w:t>.</w:t>
      </w:r>
    </w:p>
    <w:p w14:paraId="06C25D88" w14:textId="77777777" w:rsidR="00C8209B" w:rsidRPr="0000491D" w:rsidRDefault="00C8209B" w:rsidP="00C8209B">
      <w:pPr>
        <w:rPr>
          <w:rFonts w:cs="Arial"/>
        </w:rPr>
      </w:pPr>
    </w:p>
    <w:p w14:paraId="0C8F2B94" w14:textId="424B42F3" w:rsidR="00C8209B" w:rsidRPr="0000491D" w:rsidRDefault="008B3E6A" w:rsidP="00C8209B">
      <w:pPr>
        <w:rPr>
          <w:rFonts w:cs="Arial"/>
        </w:rPr>
      </w:pPr>
      <w:r>
        <w:rPr>
          <w:rFonts w:cs="Arial"/>
        </w:rPr>
        <w:t xml:space="preserve">Malware actions (e.g. anti-malware software updates, definition updates, malware infections, Ransomware attacks, etc.) </w:t>
      </w:r>
      <w:r>
        <w:rPr>
          <w:rFonts w:cs="Arial"/>
        </w:rPr>
        <w:t>are</w:t>
      </w:r>
      <w:r>
        <w:rPr>
          <w:rFonts w:cs="Arial"/>
        </w:rPr>
        <w:t xml:space="preserve"> logged </w:t>
      </w:r>
      <w:r>
        <w:rPr>
          <w:rFonts w:cs="Arial"/>
        </w:rPr>
        <w:t xml:space="preserve">by IT Staff </w:t>
      </w:r>
      <w:r>
        <w:rPr>
          <w:rFonts w:cs="Arial"/>
        </w:rPr>
        <w:t xml:space="preserve">with logs retained for one year to </w:t>
      </w:r>
      <w:r w:rsidRPr="00811696">
        <w:rPr>
          <w:rFonts w:cs="Arial"/>
        </w:rPr>
        <w:t xml:space="preserve">allow proper investigations into </w:t>
      </w:r>
      <w:r>
        <w:rPr>
          <w:rFonts w:cs="Arial"/>
        </w:rPr>
        <w:t xml:space="preserve">malware related </w:t>
      </w:r>
      <w:r w:rsidRPr="00811696">
        <w:rPr>
          <w:rFonts w:cs="Arial"/>
        </w:rPr>
        <w:t>incidents.</w:t>
      </w:r>
    </w:p>
    <w:p w14:paraId="645A4631" w14:textId="77777777" w:rsidR="001C2E4E" w:rsidRPr="000576EE" w:rsidRDefault="00492048" w:rsidP="00492048">
      <w:pPr>
        <w:pStyle w:val="Heading1"/>
        <w:tabs>
          <w:tab w:val="left" w:pos="5023"/>
        </w:tabs>
      </w:pPr>
      <w:r>
        <w:t xml:space="preserve">V. Enforcement </w:t>
      </w:r>
    </w:p>
    <w:p w14:paraId="7643B272" w14:textId="77777777" w:rsidR="001C2E4E" w:rsidRPr="000576EE" w:rsidRDefault="001C2E4E" w:rsidP="001C2E4E">
      <w:pPr>
        <w:rPr>
          <w:rFonts w:cs="Arial"/>
        </w:rPr>
      </w:pPr>
      <w:r w:rsidRPr="000576EE">
        <w:rPr>
          <w:rFonts w:cs="Arial"/>
        </w:rPr>
        <w:t xml:space="preserve">Any Staff member found to have violated this </w:t>
      </w:r>
      <w:r w:rsidR="00C42775">
        <w:rPr>
          <w:rFonts w:cs="Arial"/>
        </w:rPr>
        <w:t>procedure</w:t>
      </w:r>
      <w:r w:rsidRPr="000576EE">
        <w:rPr>
          <w:rFonts w:cs="Arial"/>
        </w:rPr>
        <w:t xml:space="preserve"> may be subject to disciplinary action, up to and including termination.</w:t>
      </w:r>
    </w:p>
    <w:p w14:paraId="1E21A7CB" w14:textId="77777777" w:rsidR="001C2E4E" w:rsidRPr="000576EE" w:rsidRDefault="001C2E4E" w:rsidP="001C2E4E">
      <w:pPr>
        <w:pStyle w:val="Heading1"/>
      </w:pPr>
      <w:r w:rsidRPr="000576EE">
        <w:t>VI. Distribution</w:t>
      </w:r>
    </w:p>
    <w:p w14:paraId="0C2ECB46" w14:textId="65EBF655" w:rsidR="001C2E4E" w:rsidRPr="000576EE" w:rsidRDefault="001C2E4E" w:rsidP="001C2E4E">
      <w:pPr>
        <w:rPr>
          <w:rFonts w:cs="Arial"/>
        </w:rPr>
      </w:pPr>
      <w:r w:rsidRPr="00BB5E02">
        <w:rPr>
          <w:rFonts w:cs="Arial"/>
        </w:rPr>
        <w:t xml:space="preserve">This </w:t>
      </w:r>
      <w:r w:rsidR="00C42775">
        <w:rPr>
          <w:rFonts w:cs="Arial"/>
        </w:rPr>
        <w:t xml:space="preserve">procedure </w:t>
      </w:r>
      <w:r w:rsidRPr="00BB5E02">
        <w:rPr>
          <w:rFonts w:cs="Arial"/>
        </w:rPr>
        <w:t xml:space="preserve">is to be distributed to </w:t>
      </w:r>
      <w:r w:rsidR="00727187">
        <w:rPr>
          <w:rFonts w:cs="Arial"/>
        </w:rPr>
        <w:t xml:space="preserve">ABC Company Department Heads and IT Staff </w:t>
      </w:r>
      <w:r>
        <w:rPr>
          <w:rFonts w:cs="Arial"/>
        </w:rPr>
        <w:t xml:space="preserve">who </w:t>
      </w:r>
      <w:r w:rsidR="00996DA3">
        <w:rPr>
          <w:rFonts w:cs="Arial"/>
        </w:rPr>
        <w:t xml:space="preserve">administer </w:t>
      </w:r>
      <w:r w:rsidR="008B3E6A">
        <w:rPr>
          <w:rFonts w:cs="Arial"/>
        </w:rPr>
        <w:t>networks.</w:t>
      </w:r>
    </w:p>
    <w:p w14:paraId="7A38FC91" w14:textId="77777777" w:rsidR="001C2E4E" w:rsidRPr="000576EE" w:rsidRDefault="001C2E4E" w:rsidP="001C2E4E">
      <w:pPr>
        <w:rPr>
          <w:rFonts w:cs="Arial"/>
        </w:rPr>
      </w:pPr>
    </w:p>
    <w:p w14:paraId="773E3318" w14:textId="77777777" w:rsidR="001C2E4E" w:rsidRPr="000576EE" w:rsidRDefault="001C2E4E" w:rsidP="001C2E4E">
      <w:pPr>
        <w:rPr>
          <w:rFonts w:cs="Arial"/>
          <w:b/>
        </w:rPr>
      </w:pPr>
      <w:r>
        <w:rPr>
          <w:rFonts w:cs="Arial"/>
          <w:b/>
        </w:rPr>
        <w:t>Procedure</w:t>
      </w:r>
      <w:r w:rsidRPr="000576EE">
        <w:rPr>
          <w:rFonts w:cs="Arial"/>
          <w:b/>
        </w:rPr>
        <w:t xml:space="preserve"> History</w:t>
      </w:r>
    </w:p>
    <w:p w14:paraId="283B19A1" w14:textId="77777777" w:rsidR="001C2E4E" w:rsidRDefault="001C2E4E" w:rsidP="001C2E4E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1383"/>
        <w:gridCol w:w="3963"/>
        <w:gridCol w:w="2158"/>
      </w:tblGrid>
      <w:tr w:rsidR="001C2E4E" w:rsidRPr="009F2F01" w14:paraId="47918980" w14:textId="77777777" w:rsidTr="00C257FB">
        <w:tc>
          <w:tcPr>
            <w:tcW w:w="1137" w:type="dxa"/>
            <w:shd w:val="clear" w:color="auto" w:fill="C0C0C0"/>
          </w:tcPr>
          <w:p w14:paraId="7E52FD57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14:paraId="50CDFA3A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14:paraId="09055439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14:paraId="2C7CB752" w14:textId="77777777" w:rsidR="001C2E4E" w:rsidRPr="009F2F01" w:rsidRDefault="001C2E4E" w:rsidP="00C257FB">
            <w:pPr>
              <w:jc w:val="center"/>
              <w:rPr>
                <w:rFonts w:cs="Arial"/>
              </w:rPr>
            </w:pPr>
            <w:r w:rsidRPr="009F2F01">
              <w:rPr>
                <w:rFonts w:cs="Arial"/>
              </w:rPr>
              <w:t>Approved By</w:t>
            </w:r>
          </w:p>
        </w:tc>
      </w:tr>
      <w:tr w:rsidR="001C2E4E" w:rsidRPr="009F2F01" w14:paraId="01725871" w14:textId="77777777" w:rsidTr="00C257FB">
        <w:tc>
          <w:tcPr>
            <w:tcW w:w="1137" w:type="dxa"/>
            <w:shd w:val="clear" w:color="auto" w:fill="auto"/>
          </w:tcPr>
          <w:p w14:paraId="3554BCA2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1.0</w:t>
            </w:r>
          </w:p>
        </w:tc>
        <w:tc>
          <w:tcPr>
            <w:tcW w:w="1401" w:type="dxa"/>
            <w:shd w:val="clear" w:color="auto" w:fill="auto"/>
          </w:tcPr>
          <w:p w14:paraId="0ED5511F" w14:textId="77777777" w:rsidR="001C2E4E" w:rsidRPr="009F2F01" w:rsidRDefault="001C2E4E" w:rsidP="00C257FB">
            <w:pPr>
              <w:rPr>
                <w:rFonts w:cs="Arial"/>
              </w:rPr>
            </w:pPr>
            <w:r w:rsidRPr="009F2F01">
              <w:rPr>
                <w:rFonts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14:paraId="2895C391" w14:textId="77777777" w:rsidR="001C2E4E" w:rsidRPr="009F2F01" w:rsidRDefault="001C2E4E" w:rsidP="001C2E4E">
            <w:pPr>
              <w:rPr>
                <w:rFonts w:cs="Arial"/>
              </w:rPr>
            </w:pPr>
            <w:r w:rsidRPr="009F2F01">
              <w:rPr>
                <w:rFonts w:cs="Arial"/>
              </w:rPr>
              <w:t xml:space="preserve">Initial </w:t>
            </w:r>
            <w:r>
              <w:rPr>
                <w:rFonts w:cs="Arial"/>
              </w:rPr>
              <w:t>procedure</w:t>
            </w:r>
            <w:r w:rsidRPr="009F2F01">
              <w:rPr>
                <w:rFonts w:cs="Arial"/>
              </w:rPr>
              <w:t xml:space="preserve"> release</w:t>
            </w:r>
          </w:p>
        </w:tc>
        <w:tc>
          <w:tcPr>
            <w:tcW w:w="2214" w:type="dxa"/>
            <w:shd w:val="clear" w:color="auto" w:fill="auto"/>
          </w:tcPr>
          <w:p w14:paraId="147C5916" w14:textId="77777777" w:rsidR="001C2E4E" w:rsidRPr="009F2F01" w:rsidRDefault="001C2E4E" w:rsidP="00C257FB">
            <w:pPr>
              <w:rPr>
                <w:rFonts w:cs="Arial"/>
              </w:rPr>
            </w:pPr>
          </w:p>
        </w:tc>
      </w:tr>
      <w:tr w:rsidR="001C2E4E" w:rsidRPr="009F2F01" w14:paraId="2830A05C" w14:textId="77777777" w:rsidTr="00C257FB">
        <w:tc>
          <w:tcPr>
            <w:tcW w:w="1137" w:type="dxa"/>
            <w:shd w:val="clear" w:color="auto" w:fill="auto"/>
          </w:tcPr>
          <w:p w14:paraId="1AB7AA6A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1311634D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1D1B4832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3AAD5F5F" w14:textId="77777777" w:rsidR="001C2E4E" w:rsidRPr="009F2F01" w:rsidRDefault="001C2E4E" w:rsidP="00C257FB">
            <w:pPr>
              <w:rPr>
                <w:rFonts w:cs="Arial"/>
              </w:rPr>
            </w:pPr>
          </w:p>
        </w:tc>
      </w:tr>
      <w:tr w:rsidR="001C2E4E" w:rsidRPr="009F2F01" w14:paraId="3B144AA7" w14:textId="77777777" w:rsidTr="00C257FB">
        <w:tc>
          <w:tcPr>
            <w:tcW w:w="1137" w:type="dxa"/>
            <w:shd w:val="clear" w:color="auto" w:fill="auto"/>
          </w:tcPr>
          <w:p w14:paraId="6C84A74F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38138340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5F9F0A56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735C6825" w14:textId="77777777" w:rsidR="001C2E4E" w:rsidRPr="009F2F01" w:rsidRDefault="001C2E4E" w:rsidP="00C257FB">
            <w:pPr>
              <w:rPr>
                <w:rFonts w:cs="Arial"/>
              </w:rPr>
            </w:pPr>
          </w:p>
        </w:tc>
      </w:tr>
      <w:tr w:rsidR="001C2E4E" w:rsidRPr="009F2F01" w14:paraId="52720B5B" w14:textId="77777777" w:rsidTr="00C257FB">
        <w:tc>
          <w:tcPr>
            <w:tcW w:w="1137" w:type="dxa"/>
            <w:shd w:val="clear" w:color="auto" w:fill="auto"/>
          </w:tcPr>
          <w:p w14:paraId="1480C236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2AA7476B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6E6B9761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309B5754" w14:textId="77777777" w:rsidR="001C2E4E" w:rsidRPr="009F2F01" w:rsidRDefault="001C2E4E" w:rsidP="00C257FB">
            <w:pPr>
              <w:rPr>
                <w:rFonts w:cs="Arial"/>
              </w:rPr>
            </w:pPr>
          </w:p>
        </w:tc>
      </w:tr>
      <w:tr w:rsidR="001C2E4E" w:rsidRPr="009F2F01" w14:paraId="3267B624" w14:textId="77777777" w:rsidTr="00C257FB">
        <w:tc>
          <w:tcPr>
            <w:tcW w:w="1137" w:type="dxa"/>
            <w:shd w:val="clear" w:color="auto" w:fill="auto"/>
          </w:tcPr>
          <w:p w14:paraId="7C2A73BA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03A6A654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2B478C74" w14:textId="77777777" w:rsidR="001C2E4E" w:rsidRPr="009F2F01" w:rsidRDefault="001C2E4E" w:rsidP="00C257FB">
            <w:pPr>
              <w:rPr>
                <w:rFonts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72E410DC" w14:textId="77777777" w:rsidR="001C2E4E" w:rsidRPr="009F2F01" w:rsidRDefault="001C2E4E" w:rsidP="00C257FB">
            <w:pPr>
              <w:rPr>
                <w:rFonts w:cs="Arial"/>
              </w:rPr>
            </w:pPr>
          </w:p>
        </w:tc>
      </w:tr>
    </w:tbl>
    <w:p w14:paraId="4FC36469" w14:textId="77777777" w:rsidR="00760D4E" w:rsidRDefault="00760D4E" w:rsidP="00760D4E">
      <w:pPr>
        <w:rPr>
          <w:rFonts w:cs="Arial"/>
        </w:rPr>
      </w:pPr>
    </w:p>
    <w:p w14:paraId="15EFE81D" w14:textId="77777777" w:rsidR="00760D4E" w:rsidRDefault="00760D4E" w:rsidP="00760D4E">
      <w:pPr>
        <w:rPr>
          <w:rFonts w:cs="Arial"/>
        </w:rPr>
      </w:pPr>
    </w:p>
    <w:p w14:paraId="2FA85D74" w14:textId="77777777" w:rsidR="00760D4E" w:rsidRPr="00F17C5D" w:rsidRDefault="00760D4E" w:rsidP="00760D4E">
      <w:pPr>
        <w:rPr>
          <w:rFonts w:cs="Arial"/>
          <w:b/>
        </w:rPr>
      </w:pPr>
      <w:r w:rsidRPr="00F17C5D">
        <w:rPr>
          <w:rFonts w:cs="Arial"/>
          <w:b/>
        </w:rPr>
        <w:t>References:</w:t>
      </w:r>
    </w:p>
    <w:p w14:paraId="243956B9" w14:textId="77777777" w:rsidR="00271C66" w:rsidRDefault="00271C66" w:rsidP="00271C66">
      <w:pPr>
        <w:jc w:val="left"/>
        <w:rPr>
          <w:rFonts w:cs="Arial"/>
        </w:rPr>
      </w:pPr>
      <w:r>
        <w:rPr>
          <w:rFonts w:cs="Arial"/>
        </w:rPr>
        <w:t xml:space="preserve">COBIT </w:t>
      </w:r>
      <w:r w:rsidRPr="00524FBD">
        <w:rPr>
          <w:rFonts w:cs="Arial"/>
        </w:rPr>
        <w:t>APO13.0</w:t>
      </w:r>
      <w:r>
        <w:rPr>
          <w:rFonts w:cs="Arial"/>
        </w:rPr>
        <w:t>7</w:t>
      </w:r>
      <w:r w:rsidRPr="00524FBD">
        <w:rPr>
          <w:rFonts w:cs="Arial"/>
        </w:rPr>
        <w:t xml:space="preserve">, </w:t>
      </w:r>
      <w:r>
        <w:rPr>
          <w:rFonts w:cs="Arial"/>
        </w:rPr>
        <w:t xml:space="preserve">APO14.10, </w:t>
      </w:r>
      <w:r w:rsidRPr="00524FBD">
        <w:rPr>
          <w:rFonts w:cs="Arial"/>
        </w:rPr>
        <w:t>BAI0</w:t>
      </w:r>
      <w:r>
        <w:rPr>
          <w:rFonts w:cs="Arial"/>
        </w:rPr>
        <w:t>4</w:t>
      </w:r>
      <w:r w:rsidRPr="00524FBD">
        <w:rPr>
          <w:rFonts w:cs="Arial"/>
        </w:rPr>
        <w:t>.0</w:t>
      </w:r>
      <w:r>
        <w:rPr>
          <w:rFonts w:cs="Arial"/>
        </w:rPr>
        <w:t>5</w:t>
      </w:r>
      <w:r w:rsidRPr="00524FBD">
        <w:rPr>
          <w:rFonts w:cs="Arial"/>
        </w:rPr>
        <w:t>, BAI</w:t>
      </w:r>
      <w:r>
        <w:rPr>
          <w:rFonts w:cs="Arial"/>
        </w:rPr>
        <w:t>09.04</w:t>
      </w:r>
      <w:r w:rsidRPr="00524FBD">
        <w:rPr>
          <w:rFonts w:cs="Arial"/>
        </w:rPr>
        <w:t>, DSS0</w:t>
      </w:r>
      <w:r>
        <w:rPr>
          <w:rFonts w:cs="Arial"/>
        </w:rPr>
        <w:t>4</w:t>
      </w:r>
      <w:r w:rsidRPr="00524FBD">
        <w:rPr>
          <w:rFonts w:cs="Arial"/>
        </w:rPr>
        <w:t>.0</w:t>
      </w:r>
      <w:r>
        <w:rPr>
          <w:rFonts w:cs="Arial"/>
        </w:rPr>
        <w:t>5</w:t>
      </w:r>
      <w:r w:rsidRPr="00524FBD">
        <w:rPr>
          <w:rFonts w:cs="Arial"/>
        </w:rPr>
        <w:t>, DSS0</w:t>
      </w:r>
      <w:r>
        <w:rPr>
          <w:rFonts w:cs="Arial"/>
        </w:rPr>
        <w:t>4</w:t>
      </w:r>
      <w:r w:rsidRPr="00524FBD">
        <w:rPr>
          <w:rFonts w:cs="Arial"/>
        </w:rPr>
        <w:t>.0</w:t>
      </w:r>
      <w:r>
        <w:rPr>
          <w:rFonts w:cs="Arial"/>
        </w:rPr>
        <w:t>7</w:t>
      </w:r>
      <w:r w:rsidRPr="00524FBD">
        <w:rPr>
          <w:rFonts w:cs="Arial"/>
        </w:rPr>
        <w:t>, DSS05.0</w:t>
      </w:r>
      <w:r>
        <w:rPr>
          <w:rFonts w:cs="Arial"/>
        </w:rPr>
        <w:t>2, DSS05.07</w:t>
      </w:r>
    </w:p>
    <w:p w14:paraId="46C0AEBB" w14:textId="77777777" w:rsidR="00271C66" w:rsidRPr="002F34B7" w:rsidRDefault="00271C66" w:rsidP="00271C66">
      <w:pPr>
        <w:rPr>
          <w:rFonts w:cs="Arial"/>
        </w:rPr>
      </w:pPr>
      <w:r>
        <w:rPr>
          <w:rFonts w:cs="Arial"/>
        </w:rPr>
        <w:t>G</w:t>
      </w:r>
      <w:r w:rsidRPr="002F34B7">
        <w:rPr>
          <w:rFonts w:cs="Arial"/>
        </w:rPr>
        <w:t xml:space="preserve">DPR Article </w:t>
      </w:r>
      <w:r>
        <w:rPr>
          <w:rFonts w:cs="Arial"/>
        </w:rPr>
        <w:t>25, 32</w:t>
      </w:r>
    </w:p>
    <w:p w14:paraId="68FC0643" w14:textId="77777777" w:rsidR="00271C66" w:rsidRPr="002F34B7" w:rsidRDefault="00271C66" w:rsidP="00271C66">
      <w:pPr>
        <w:rPr>
          <w:rFonts w:cs="Arial"/>
        </w:rPr>
      </w:pPr>
      <w:r w:rsidRPr="002F34B7">
        <w:rPr>
          <w:rFonts w:cs="Arial"/>
        </w:rPr>
        <w:t>HIPAA 164.308(a)(5)(ii)(B)</w:t>
      </w:r>
    </w:p>
    <w:p w14:paraId="27891960" w14:textId="77777777" w:rsidR="00271C66" w:rsidRPr="002F34B7" w:rsidRDefault="00271C66" w:rsidP="00271C66">
      <w:pPr>
        <w:rPr>
          <w:rFonts w:cs="Arial"/>
        </w:rPr>
      </w:pPr>
      <w:r>
        <w:rPr>
          <w:rFonts w:cs="Arial"/>
        </w:rPr>
        <w:t>ISO 27001</w:t>
      </w:r>
      <w:r w:rsidRPr="002F34B7">
        <w:rPr>
          <w:rFonts w:cs="Arial"/>
        </w:rPr>
        <w:t xml:space="preserve"> </w:t>
      </w:r>
      <w:r>
        <w:rPr>
          <w:rFonts w:cs="Arial"/>
        </w:rPr>
        <w:t>A.12.2</w:t>
      </w:r>
    </w:p>
    <w:p w14:paraId="519F33F7" w14:textId="77777777" w:rsidR="00271C66" w:rsidRPr="002F34B7" w:rsidRDefault="00271C66" w:rsidP="00271C66">
      <w:pPr>
        <w:rPr>
          <w:rFonts w:cs="Arial"/>
        </w:rPr>
      </w:pPr>
      <w:r>
        <w:rPr>
          <w:rFonts w:cs="Arial"/>
        </w:rPr>
        <w:t>NIST SP 800-37</w:t>
      </w:r>
      <w:r w:rsidRPr="002F34B7">
        <w:rPr>
          <w:rFonts w:cs="Arial"/>
        </w:rPr>
        <w:t xml:space="preserve"> </w:t>
      </w:r>
      <w:r>
        <w:rPr>
          <w:rFonts w:cs="Arial"/>
        </w:rPr>
        <w:t>3.1</w:t>
      </w:r>
    </w:p>
    <w:p w14:paraId="63997E7E" w14:textId="77777777" w:rsidR="00271C66" w:rsidRPr="002F34B7" w:rsidRDefault="00271C66" w:rsidP="00271C66">
      <w:pPr>
        <w:rPr>
          <w:rFonts w:cs="Arial"/>
        </w:rPr>
      </w:pPr>
      <w:r w:rsidRPr="002F34B7">
        <w:rPr>
          <w:rFonts w:cs="Arial"/>
        </w:rPr>
        <w:t>NIST SP 800-53 AC-19, PL-8, SC-3, SI-2-4</w:t>
      </w:r>
    </w:p>
    <w:p w14:paraId="129699F8" w14:textId="77777777" w:rsidR="00271C66" w:rsidRPr="002F34B7" w:rsidRDefault="00271C66" w:rsidP="00271C66">
      <w:pPr>
        <w:rPr>
          <w:rFonts w:cs="Arial"/>
        </w:rPr>
      </w:pPr>
      <w:r w:rsidRPr="002F34B7">
        <w:rPr>
          <w:rFonts w:cs="Arial"/>
        </w:rPr>
        <w:t>NIST Cybersecurity Framework DE.CM-4-5</w:t>
      </w:r>
      <w:r>
        <w:rPr>
          <w:rFonts w:cs="Arial"/>
        </w:rPr>
        <w:t xml:space="preserve">, </w:t>
      </w:r>
      <w:r w:rsidRPr="00DE70ED">
        <w:rPr>
          <w:rFonts w:cs="Arial"/>
        </w:rPr>
        <w:t>RS.RP-1</w:t>
      </w:r>
      <w:r>
        <w:rPr>
          <w:rFonts w:cs="Arial"/>
        </w:rPr>
        <w:t xml:space="preserve">, </w:t>
      </w:r>
      <w:r w:rsidRPr="00DE70ED">
        <w:rPr>
          <w:rFonts w:cs="Arial"/>
        </w:rPr>
        <w:t>RC.RP-1</w:t>
      </w:r>
    </w:p>
    <w:p w14:paraId="369D6BAD" w14:textId="77777777" w:rsidR="00271C66" w:rsidRPr="000576EE" w:rsidRDefault="00271C66" w:rsidP="00271C66">
      <w:pPr>
        <w:rPr>
          <w:rFonts w:cs="Arial"/>
        </w:rPr>
      </w:pPr>
      <w:r w:rsidRPr="002F34B7">
        <w:rPr>
          <w:rFonts w:cs="Arial"/>
        </w:rPr>
        <w:t>PCI</w:t>
      </w:r>
      <w:r>
        <w:rPr>
          <w:rFonts w:cs="Arial"/>
        </w:rPr>
        <w:t xml:space="preserve"> 5.1-4</w:t>
      </w:r>
    </w:p>
    <w:sectPr w:rsidR="00271C66" w:rsidRPr="000576EE" w:rsidSect="00AC176D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7E597" w14:textId="77777777" w:rsidR="00642CE7" w:rsidRDefault="00642CE7">
      <w:r>
        <w:separator/>
      </w:r>
    </w:p>
  </w:endnote>
  <w:endnote w:type="continuationSeparator" w:id="0">
    <w:p w14:paraId="6C4F74DF" w14:textId="77777777" w:rsidR="00642CE7" w:rsidRDefault="00642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B3C64" w14:textId="77777777"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68D32C" w14:textId="77777777"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00401" w14:textId="77777777"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03AD8">
      <w:rPr>
        <w:noProof/>
      </w:rPr>
      <w:t>3</w:t>
    </w:r>
    <w:r>
      <w:fldChar w:fldCharType="end"/>
    </w:r>
    <w:r>
      <w:t xml:space="preserve"> of </w:t>
    </w:r>
    <w:r w:rsidR="00642CE7">
      <w:fldChar w:fldCharType="begin"/>
    </w:r>
    <w:r w:rsidR="00642CE7">
      <w:instrText xml:space="preserve"> NUMPAGES </w:instrText>
    </w:r>
    <w:r w:rsidR="00642CE7">
      <w:fldChar w:fldCharType="separate"/>
    </w:r>
    <w:r w:rsidR="00103AD8">
      <w:rPr>
        <w:noProof/>
      </w:rPr>
      <w:t>3</w:t>
    </w:r>
    <w:r w:rsidR="00642CE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7FD27" w14:textId="77777777" w:rsidR="00642CE7" w:rsidRDefault="00642CE7">
      <w:r>
        <w:separator/>
      </w:r>
    </w:p>
  </w:footnote>
  <w:footnote w:type="continuationSeparator" w:id="0">
    <w:p w14:paraId="0413B707" w14:textId="77777777" w:rsidR="00642CE7" w:rsidRDefault="00642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37266" w14:textId="77777777"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14:paraId="22B8B00A" w14:textId="77777777" w:rsidR="008A427F" w:rsidRPr="000C66B7" w:rsidRDefault="005818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A6B6EFE" wp14:editId="668DF65D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6D109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" strokecolor="#0070c0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4E77"/>
    <w:multiLevelType w:val="hybridMultilevel"/>
    <w:tmpl w:val="C2D28F8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809A2"/>
    <w:multiLevelType w:val="hybridMultilevel"/>
    <w:tmpl w:val="8F4AAF72"/>
    <w:lvl w:ilvl="0" w:tplc="1C3A58B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565DE"/>
    <w:multiLevelType w:val="hybridMultilevel"/>
    <w:tmpl w:val="8AF08FF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B7A84"/>
    <w:multiLevelType w:val="hybridMultilevel"/>
    <w:tmpl w:val="C06EC18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839D1"/>
    <w:multiLevelType w:val="hybridMultilevel"/>
    <w:tmpl w:val="9E16638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30899"/>
    <w:multiLevelType w:val="hybridMultilevel"/>
    <w:tmpl w:val="13CA7BC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446EC"/>
    <w:multiLevelType w:val="hybridMultilevel"/>
    <w:tmpl w:val="550ADA04"/>
    <w:lvl w:ilvl="0" w:tplc="B8DED2E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71693"/>
    <w:multiLevelType w:val="hybridMultilevel"/>
    <w:tmpl w:val="606A1BC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62A47"/>
    <w:multiLevelType w:val="hybridMultilevel"/>
    <w:tmpl w:val="AE4E7CD0"/>
    <w:lvl w:ilvl="0" w:tplc="0484997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C61A7"/>
    <w:multiLevelType w:val="hybridMultilevel"/>
    <w:tmpl w:val="3DF6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C2353"/>
    <w:multiLevelType w:val="hybridMultilevel"/>
    <w:tmpl w:val="A1EC7C8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D119B"/>
    <w:multiLevelType w:val="hybridMultilevel"/>
    <w:tmpl w:val="51E65C0A"/>
    <w:lvl w:ilvl="0" w:tplc="1C3A58B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0178A"/>
    <w:multiLevelType w:val="hybridMultilevel"/>
    <w:tmpl w:val="13F27A14"/>
    <w:lvl w:ilvl="0" w:tplc="DCAEA62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A1952"/>
    <w:multiLevelType w:val="hybridMultilevel"/>
    <w:tmpl w:val="4EFEC94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F77C1"/>
    <w:multiLevelType w:val="hybridMultilevel"/>
    <w:tmpl w:val="CFC8B9E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B0744"/>
    <w:multiLevelType w:val="hybridMultilevel"/>
    <w:tmpl w:val="EFCE3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70755"/>
    <w:multiLevelType w:val="hybridMultilevel"/>
    <w:tmpl w:val="FB769002"/>
    <w:lvl w:ilvl="0" w:tplc="835C0A0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8578C"/>
    <w:multiLevelType w:val="hybridMultilevel"/>
    <w:tmpl w:val="CB1C7DF2"/>
    <w:lvl w:ilvl="0" w:tplc="835C0A0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9C4561"/>
    <w:multiLevelType w:val="hybridMultilevel"/>
    <w:tmpl w:val="B694F1A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C7EEF"/>
    <w:multiLevelType w:val="hybridMultilevel"/>
    <w:tmpl w:val="D54095B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C633F"/>
    <w:multiLevelType w:val="hybridMultilevel"/>
    <w:tmpl w:val="7DC0A390"/>
    <w:lvl w:ilvl="0" w:tplc="0A1AC3FE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1E33B4"/>
    <w:multiLevelType w:val="hybridMultilevel"/>
    <w:tmpl w:val="949C9DC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E286E"/>
    <w:multiLevelType w:val="hybridMultilevel"/>
    <w:tmpl w:val="433EF742"/>
    <w:lvl w:ilvl="0" w:tplc="DE04C44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63D52"/>
    <w:multiLevelType w:val="hybridMultilevel"/>
    <w:tmpl w:val="8AE6077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EE1E82"/>
    <w:multiLevelType w:val="hybridMultilevel"/>
    <w:tmpl w:val="BA945B52"/>
    <w:lvl w:ilvl="0" w:tplc="835C0A0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354E25"/>
    <w:multiLevelType w:val="hybridMultilevel"/>
    <w:tmpl w:val="B644F1D2"/>
    <w:lvl w:ilvl="0" w:tplc="EBC0C3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002ABC"/>
    <w:multiLevelType w:val="hybridMultilevel"/>
    <w:tmpl w:val="6250159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0709DD"/>
    <w:multiLevelType w:val="hybridMultilevel"/>
    <w:tmpl w:val="0562F38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923E0"/>
    <w:multiLevelType w:val="hybridMultilevel"/>
    <w:tmpl w:val="0C3EE71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A21135"/>
    <w:multiLevelType w:val="hybridMultilevel"/>
    <w:tmpl w:val="C0BEB19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7A29C0"/>
    <w:multiLevelType w:val="hybridMultilevel"/>
    <w:tmpl w:val="E176FC3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494D02"/>
    <w:multiLevelType w:val="hybridMultilevel"/>
    <w:tmpl w:val="0CD4745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CA608C"/>
    <w:multiLevelType w:val="hybridMultilevel"/>
    <w:tmpl w:val="683679A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DD4F77"/>
    <w:multiLevelType w:val="hybridMultilevel"/>
    <w:tmpl w:val="BD167CD4"/>
    <w:lvl w:ilvl="0" w:tplc="34A29F7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8B71E1"/>
    <w:multiLevelType w:val="hybridMultilevel"/>
    <w:tmpl w:val="97C01106"/>
    <w:lvl w:ilvl="0" w:tplc="835C0A0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228EE"/>
    <w:multiLevelType w:val="hybridMultilevel"/>
    <w:tmpl w:val="E62E1452"/>
    <w:lvl w:ilvl="0" w:tplc="0AD6F7C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E3A66"/>
    <w:multiLevelType w:val="hybridMultilevel"/>
    <w:tmpl w:val="B240E78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CB1EF438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5540CF"/>
    <w:multiLevelType w:val="hybridMultilevel"/>
    <w:tmpl w:val="24CCFBA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2C3AD6"/>
    <w:multiLevelType w:val="hybridMultilevel"/>
    <w:tmpl w:val="D2FA512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B59A2"/>
    <w:multiLevelType w:val="hybridMultilevel"/>
    <w:tmpl w:val="E6026C7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7"/>
  </w:num>
  <w:num w:numId="3">
    <w:abstractNumId w:val="3"/>
  </w:num>
  <w:num w:numId="4">
    <w:abstractNumId w:val="29"/>
  </w:num>
  <w:num w:numId="5">
    <w:abstractNumId w:val="30"/>
  </w:num>
  <w:num w:numId="6">
    <w:abstractNumId w:val="32"/>
  </w:num>
  <w:num w:numId="7">
    <w:abstractNumId w:val="23"/>
  </w:num>
  <w:num w:numId="8">
    <w:abstractNumId w:val="37"/>
  </w:num>
  <w:num w:numId="9">
    <w:abstractNumId w:val="9"/>
  </w:num>
  <w:num w:numId="10">
    <w:abstractNumId w:val="14"/>
  </w:num>
  <w:num w:numId="11">
    <w:abstractNumId w:val="20"/>
  </w:num>
  <w:num w:numId="12">
    <w:abstractNumId w:val="0"/>
  </w:num>
  <w:num w:numId="13">
    <w:abstractNumId w:val="8"/>
  </w:num>
  <w:num w:numId="14">
    <w:abstractNumId w:val="15"/>
  </w:num>
  <w:num w:numId="15">
    <w:abstractNumId w:val="22"/>
  </w:num>
  <w:num w:numId="16">
    <w:abstractNumId w:val="2"/>
  </w:num>
  <w:num w:numId="17">
    <w:abstractNumId w:val="38"/>
  </w:num>
  <w:num w:numId="18">
    <w:abstractNumId w:val="5"/>
  </w:num>
  <w:num w:numId="19">
    <w:abstractNumId w:val="26"/>
  </w:num>
  <w:num w:numId="20">
    <w:abstractNumId w:val="31"/>
  </w:num>
  <w:num w:numId="21">
    <w:abstractNumId w:val="13"/>
  </w:num>
  <w:num w:numId="22">
    <w:abstractNumId w:val="39"/>
  </w:num>
  <w:num w:numId="23">
    <w:abstractNumId w:val="34"/>
  </w:num>
  <w:num w:numId="24">
    <w:abstractNumId w:val="28"/>
  </w:num>
  <w:num w:numId="25">
    <w:abstractNumId w:val="7"/>
  </w:num>
  <w:num w:numId="26">
    <w:abstractNumId w:val="11"/>
  </w:num>
  <w:num w:numId="27">
    <w:abstractNumId w:val="25"/>
  </w:num>
  <w:num w:numId="28">
    <w:abstractNumId w:val="18"/>
  </w:num>
  <w:num w:numId="29">
    <w:abstractNumId w:val="17"/>
  </w:num>
  <w:num w:numId="30">
    <w:abstractNumId w:val="21"/>
  </w:num>
  <w:num w:numId="31">
    <w:abstractNumId w:val="6"/>
  </w:num>
  <w:num w:numId="32">
    <w:abstractNumId w:val="35"/>
  </w:num>
  <w:num w:numId="33">
    <w:abstractNumId w:val="36"/>
  </w:num>
  <w:num w:numId="34">
    <w:abstractNumId w:val="12"/>
  </w:num>
  <w:num w:numId="35">
    <w:abstractNumId w:val="1"/>
  </w:num>
  <w:num w:numId="36">
    <w:abstractNumId w:val="19"/>
  </w:num>
  <w:num w:numId="37">
    <w:abstractNumId w:val="40"/>
  </w:num>
  <w:num w:numId="38">
    <w:abstractNumId w:val="24"/>
  </w:num>
  <w:num w:numId="39">
    <w:abstractNumId w:val="33"/>
  </w:num>
  <w:num w:numId="40">
    <w:abstractNumId w:val="16"/>
  </w:num>
  <w:num w:numId="41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B7"/>
    <w:rsid w:val="00001678"/>
    <w:rsid w:val="0000174D"/>
    <w:rsid w:val="00001A6C"/>
    <w:rsid w:val="00001CBF"/>
    <w:rsid w:val="00002B2F"/>
    <w:rsid w:val="00007991"/>
    <w:rsid w:val="00007C5A"/>
    <w:rsid w:val="000106E1"/>
    <w:rsid w:val="0001084E"/>
    <w:rsid w:val="0001194F"/>
    <w:rsid w:val="000128D1"/>
    <w:rsid w:val="00014083"/>
    <w:rsid w:val="00014F47"/>
    <w:rsid w:val="00015048"/>
    <w:rsid w:val="000155ED"/>
    <w:rsid w:val="00016F65"/>
    <w:rsid w:val="00020742"/>
    <w:rsid w:val="0002375E"/>
    <w:rsid w:val="000275A9"/>
    <w:rsid w:val="00032D89"/>
    <w:rsid w:val="000352A5"/>
    <w:rsid w:val="00035F19"/>
    <w:rsid w:val="00040942"/>
    <w:rsid w:val="000415EF"/>
    <w:rsid w:val="00042F0C"/>
    <w:rsid w:val="00043D3A"/>
    <w:rsid w:val="00043F7D"/>
    <w:rsid w:val="0004449A"/>
    <w:rsid w:val="00044C69"/>
    <w:rsid w:val="0005277C"/>
    <w:rsid w:val="0005340A"/>
    <w:rsid w:val="00053883"/>
    <w:rsid w:val="00056F5F"/>
    <w:rsid w:val="000573C7"/>
    <w:rsid w:val="000576EE"/>
    <w:rsid w:val="00057A74"/>
    <w:rsid w:val="00057ACA"/>
    <w:rsid w:val="000605C6"/>
    <w:rsid w:val="000632DC"/>
    <w:rsid w:val="00067770"/>
    <w:rsid w:val="00067C62"/>
    <w:rsid w:val="00071824"/>
    <w:rsid w:val="000749A9"/>
    <w:rsid w:val="00075523"/>
    <w:rsid w:val="000770E8"/>
    <w:rsid w:val="00077367"/>
    <w:rsid w:val="00080576"/>
    <w:rsid w:val="0008102F"/>
    <w:rsid w:val="00083148"/>
    <w:rsid w:val="00083AA2"/>
    <w:rsid w:val="00087FCE"/>
    <w:rsid w:val="00092A6B"/>
    <w:rsid w:val="000934AB"/>
    <w:rsid w:val="000946E1"/>
    <w:rsid w:val="00095C9E"/>
    <w:rsid w:val="00096A57"/>
    <w:rsid w:val="0009793A"/>
    <w:rsid w:val="000A29FD"/>
    <w:rsid w:val="000A2C7F"/>
    <w:rsid w:val="000A4C92"/>
    <w:rsid w:val="000A4E1D"/>
    <w:rsid w:val="000A5836"/>
    <w:rsid w:val="000A610C"/>
    <w:rsid w:val="000A629B"/>
    <w:rsid w:val="000A6841"/>
    <w:rsid w:val="000B080B"/>
    <w:rsid w:val="000B0E9B"/>
    <w:rsid w:val="000B1783"/>
    <w:rsid w:val="000B3043"/>
    <w:rsid w:val="000B4CD6"/>
    <w:rsid w:val="000B4ECA"/>
    <w:rsid w:val="000B6069"/>
    <w:rsid w:val="000B6A12"/>
    <w:rsid w:val="000B7A24"/>
    <w:rsid w:val="000C0842"/>
    <w:rsid w:val="000C2F0F"/>
    <w:rsid w:val="000C3892"/>
    <w:rsid w:val="000C5A6D"/>
    <w:rsid w:val="000C66B7"/>
    <w:rsid w:val="000C6C4D"/>
    <w:rsid w:val="000D03C7"/>
    <w:rsid w:val="000D1F02"/>
    <w:rsid w:val="000D5E12"/>
    <w:rsid w:val="000D6E00"/>
    <w:rsid w:val="000E01ED"/>
    <w:rsid w:val="000E2DAC"/>
    <w:rsid w:val="000E5557"/>
    <w:rsid w:val="000E613A"/>
    <w:rsid w:val="000E6379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303C"/>
    <w:rsid w:val="00103282"/>
    <w:rsid w:val="00103AD8"/>
    <w:rsid w:val="00106119"/>
    <w:rsid w:val="00107393"/>
    <w:rsid w:val="001111EC"/>
    <w:rsid w:val="00112BFC"/>
    <w:rsid w:val="001153CE"/>
    <w:rsid w:val="0011706D"/>
    <w:rsid w:val="001211A0"/>
    <w:rsid w:val="00122082"/>
    <w:rsid w:val="00122AD1"/>
    <w:rsid w:val="001240CD"/>
    <w:rsid w:val="00125194"/>
    <w:rsid w:val="001256AD"/>
    <w:rsid w:val="00126C9A"/>
    <w:rsid w:val="00127510"/>
    <w:rsid w:val="001300BA"/>
    <w:rsid w:val="00133095"/>
    <w:rsid w:val="00133798"/>
    <w:rsid w:val="00134F0A"/>
    <w:rsid w:val="001365B7"/>
    <w:rsid w:val="00141FCF"/>
    <w:rsid w:val="0014239F"/>
    <w:rsid w:val="00142D55"/>
    <w:rsid w:val="0014504C"/>
    <w:rsid w:val="00146FED"/>
    <w:rsid w:val="001477FD"/>
    <w:rsid w:val="00151505"/>
    <w:rsid w:val="001518C5"/>
    <w:rsid w:val="001530A0"/>
    <w:rsid w:val="001545ED"/>
    <w:rsid w:val="0015487C"/>
    <w:rsid w:val="00156327"/>
    <w:rsid w:val="00157A7D"/>
    <w:rsid w:val="0016379E"/>
    <w:rsid w:val="00166774"/>
    <w:rsid w:val="00166B83"/>
    <w:rsid w:val="00166EA8"/>
    <w:rsid w:val="0016735B"/>
    <w:rsid w:val="00167E39"/>
    <w:rsid w:val="001716FC"/>
    <w:rsid w:val="0017189A"/>
    <w:rsid w:val="00171D4F"/>
    <w:rsid w:val="00173B65"/>
    <w:rsid w:val="001749BE"/>
    <w:rsid w:val="00176560"/>
    <w:rsid w:val="00177F65"/>
    <w:rsid w:val="00177FEB"/>
    <w:rsid w:val="00180B03"/>
    <w:rsid w:val="00180C43"/>
    <w:rsid w:val="00181B3F"/>
    <w:rsid w:val="00183CE7"/>
    <w:rsid w:val="00184AA3"/>
    <w:rsid w:val="00186C32"/>
    <w:rsid w:val="00186F40"/>
    <w:rsid w:val="00190463"/>
    <w:rsid w:val="001906EE"/>
    <w:rsid w:val="001923A0"/>
    <w:rsid w:val="00192459"/>
    <w:rsid w:val="001930F3"/>
    <w:rsid w:val="001938E2"/>
    <w:rsid w:val="001940C4"/>
    <w:rsid w:val="001953F8"/>
    <w:rsid w:val="001959B4"/>
    <w:rsid w:val="001972DC"/>
    <w:rsid w:val="001A5339"/>
    <w:rsid w:val="001A562E"/>
    <w:rsid w:val="001A6D56"/>
    <w:rsid w:val="001A7333"/>
    <w:rsid w:val="001B53F4"/>
    <w:rsid w:val="001B739D"/>
    <w:rsid w:val="001B7BAD"/>
    <w:rsid w:val="001C05A8"/>
    <w:rsid w:val="001C1227"/>
    <w:rsid w:val="001C161C"/>
    <w:rsid w:val="001C2578"/>
    <w:rsid w:val="001C2E4E"/>
    <w:rsid w:val="001C31DC"/>
    <w:rsid w:val="001C4F1F"/>
    <w:rsid w:val="001C56C9"/>
    <w:rsid w:val="001C6213"/>
    <w:rsid w:val="001C78FA"/>
    <w:rsid w:val="001C7D99"/>
    <w:rsid w:val="001C7FDE"/>
    <w:rsid w:val="001D0DF6"/>
    <w:rsid w:val="001D117C"/>
    <w:rsid w:val="001D22B1"/>
    <w:rsid w:val="001D27D3"/>
    <w:rsid w:val="001D3DB3"/>
    <w:rsid w:val="001D441F"/>
    <w:rsid w:val="001D4A0C"/>
    <w:rsid w:val="001D5A8E"/>
    <w:rsid w:val="001D7A62"/>
    <w:rsid w:val="001D7DC6"/>
    <w:rsid w:val="001E1A53"/>
    <w:rsid w:val="001E2053"/>
    <w:rsid w:val="001E3988"/>
    <w:rsid w:val="001E459B"/>
    <w:rsid w:val="001E787F"/>
    <w:rsid w:val="001F1030"/>
    <w:rsid w:val="001F1888"/>
    <w:rsid w:val="001F1F87"/>
    <w:rsid w:val="001F38D2"/>
    <w:rsid w:val="001F7763"/>
    <w:rsid w:val="001F7A76"/>
    <w:rsid w:val="0020056F"/>
    <w:rsid w:val="00201588"/>
    <w:rsid w:val="00201A3C"/>
    <w:rsid w:val="00204859"/>
    <w:rsid w:val="0021274B"/>
    <w:rsid w:val="00214F3C"/>
    <w:rsid w:val="00217520"/>
    <w:rsid w:val="00217ADA"/>
    <w:rsid w:val="00221B6C"/>
    <w:rsid w:val="00222552"/>
    <w:rsid w:val="002254F9"/>
    <w:rsid w:val="0022724A"/>
    <w:rsid w:val="00231CC8"/>
    <w:rsid w:val="002320E8"/>
    <w:rsid w:val="00234DFF"/>
    <w:rsid w:val="0023681E"/>
    <w:rsid w:val="00237354"/>
    <w:rsid w:val="00237F17"/>
    <w:rsid w:val="002401B3"/>
    <w:rsid w:val="002407D6"/>
    <w:rsid w:val="002409CC"/>
    <w:rsid w:val="00241326"/>
    <w:rsid w:val="00242243"/>
    <w:rsid w:val="00244F0A"/>
    <w:rsid w:val="0024548B"/>
    <w:rsid w:val="00247D4A"/>
    <w:rsid w:val="0025112D"/>
    <w:rsid w:val="002550C0"/>
    <w:rsid w:val="00255923"/>
    <w:rsid w:val="0026098D"/>
    <w:rsid w:val="00262A5B"/>
    <w:rsid w:val="0026321D"/>
    <w:rsid w:val="002648C5"/>
    <w:rsid w:val="00267883"/>
    <w:rsid w:val="002701C3"/>
    <w:rsid w:val="00271C66"/>
    <w:rsid w:val="002757C0"/>
    <w:rsid w:val="002763BE"/>
    <w:rsid w:val="002767E1"/>
    <w:rsid w:val="00280A74"/>
    <w:rsid w:val="00281069"/>
    <w:rsid w:val="00284E74"/>
    <w:rsid w:val="0028586C"/>
    <w:rsid w:val="00286A92"/>
    <w:rsid w:val="00287395"/>
    <w:rsid w:val="002873D1"/>
    <w:rsid w:val="00287403"/>
    <w:rsid w:val="0029033B"/>
    <w:rsid w:val="0029238F"/>
    <w:rsid w:val="00292A64"/>
    <w:rsid w:val="00294BF9"/>
    <w:rsid w:val="00294CED"/>
    <w:rsid w:val="00294E03"/>
    <w:rsid w:val="00296ABA"/>
    <w:rsid w:val="00297802"/>
    <w:rsid w:val="002A5334"/>
    <w:rsid w:val="002A6F17"/>
    <w:rsid w:val="002B2886"/>
    <w:rsid w:val="002B5AF3"/>
    <w:rsid w:val="002B5DF4"/>
    <w:rsid w:val="002B5FB8"/>
    <w:rsid w:val="002B7142"/>
    <w:rsid w:val="002B73FB"/>
    <w:rsid w:val="002C02E7"/>
    <w:rsid w:val="002C127B"/>
    <w:rsid w:val="002C2630"/>
    <w:rsid w:val="002C2D63"/>
    <w:rsid w:val="002C3136"/>
    <w:rsid w:val="002C3A71"/>
    <w:rsid w:val="002C42C8"/>
    <w:rsid w:val="002C48DD"/>
    <w:rsid w:val="002C4916"/>
    <w:rsid w:val="002C6D8C"/>
    <w:rsid w:val="002C71A7"/>
    <w:rsid w:val="002C78B7"/>
    <w:rsid w:val="002D1D41"/>
    <w:rsid w:val="002D1DEC"/>
    <w:rsid w:val="002D25A2"/>
    <w:rsid w:val="002D2DD0"/>
    <w:rsid w:val="002D331F"/>
    <w:rsid w:val="002D55AC"/>
    <w:rsid w:val="002D6BC3"/>
    <w:rsid w:val="002D6DD1"/>
    <w:rsid w:val="002E379A"/>
    <w:rsid w:val="002E52FE"/>
    <w:rsid w:val="002E5C29"/>
    <w:rsid w:val="002E5E30"/>
    <w:rsid w:val="002F1E32"/>
    <w:rsid w:val="002F38E2"/>
    <w:rsid w:val="002F5E7B"/>
    <w:rsid w:val="002F7938"/>
    <w:rsid w:val="003009B2"/>
    <w:rsid w:val="00300D76"/>
    <w:rsid w:val="003029A4"/>
    <w:rsid w:val="00304159"/>
    <w:rsid w:val="003058B6"/>
    <w:rsid w:val="00307873"/>
    <w:rsid w:val="0030787D"/>
    <w:rsid w:val="00310FCF"/>
    <w:rsid w:val="003110AF"/>
    <w:rsid w:val="0031180A"/>
    <w:rsid w:val="003121F6"/>
    <w:rsid w:val="00312315"/>
    <w:rsid w:val="00313C40"/>
    <w:rsid w:val="00314AB9"/>
    <w:rsid w:val="00315399"/>
    <w:rsid w:val="0031555F"/>
    <w:rsid w:val="00316063"/>
    <w:rsid w:val="00317B62"/>
    <w:rsid w:val="00317C23"/>
    <w:rsid w:val="0032125C"/>
    <w:rsid w:val="00321E27"/>
    <w:rsid w:val="00324640"/>
    <w:rsid w:val="00324AB9"/>
    <w:rsid w:val="00325FB1"/>
    <w:rsid w:val="0032639B"/>
    <w:rsid w:val="003302A8"/>
    <w:rsid w:val="00330411"/>
    <w:rsid w:val="00331457"/>
    <w:rsid w:val="00332636"/>
    <w:rsid w:val="00332B54"/>
    <w:rsid w:val="00333E68"/>
    <w:rsid w:val="00336224"/>
    <w:rsid w:val="003370A9"/>
    <w:rsid w:val="00337AC0"/>
    <w:rsid w:val="00337FBE"/>
    <w:rsid w:val="003407B4"/>
    <w:rsid w:val="00340D83"/>
    <w:rsid w:val="00345475"/>
    <w:rsid w:val="00345FAF"/>
    <w:rsid w:val="003477FE"/>
    <w:rsid w:val="003518F2"/>
    <w:rsid w:val="003529A2"/>
    <w:rsid w:val="00355660"/>
    <w:rsid w:val="0035639A"/>
    <w:rsid w:val="00356A15"/>
    <w:rsid w:val="00357723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3AC4"/>
    <w:rsid w:val="003812CF"/>
    <w:rsid w:val="00387920"/>
    <w:rsid w:val="00394240"/>
    <w:rsid w:val="003947F3"/>
    <w:rsid w:val="00395453"/>
    <w:rsid w:val="00397F48"/>
    <w:rsid w:val="003A0C63"/>
    <w:rsid w:val="003A1B6B"/>
    <w:rsid w:val="003A1E2B"/>
    <w:rsid w:val="003A2483"/>
    <w:rsid w:val="003A3DF7"/>
    <w:rsid w:val="003A4125"/>
    <w:rsid w:val="003A54A0"/>
    <w:rsid w:val="003A55C2"/>
    <w:rsid w:val="003A5B7D"/>
    <w:rsid w:val="003A7DF3"/>
    <w:rsid w:val="003B5B43"/>
    <w:rsid w:val="003B5C82"/>
    <w:rsid w:val="003B757B"/>
    <w:rsid w:val="003B7ACD"/>
    <w:rsid w:val="003B7BF8"/>
    <w:rsid w:val="003C02D6"/>
    <w:rsid w:val="003C0BFE"/>
    <w:rsid w:val="003C15CB"/>
    <w:rsid w:val="003C194E"/>
    <w:rsid w:val="003C3621"/>
    <w:rsid w:val="003C49C7"/>
    <w:rsid w:val="003C5A51"/>
    <w:rsid w:val="003C747D"/>
    <w:rsid w:val="003D04F2"/>
    <w:rsid w:val="003D09F4"/>
    <w:rsid w:val="003D1425"/>
    <w:rsid w:val="003D1A98"/>
    <w:rsid w:val="003D22CA"/>
    <w:rsid w:val="003D3F75"/>
    <w:rsid w:val="003D4771"/>
    <w:rsid w:val="003D665D"/>
    <w:rsid w:val="003D7DBA"/>
    <w:rsid w:val="003E0C68"/>
    <w:rsid w:val="003E1E3F"/>
    <w:rsid w:val="003E3566"/>
    <w:rsid w:val="003E3771"/>
    <w:rsid w:val="003E4EA5"/>
    <w:rsid w:val="003E5988"/>
    <w:rsid w:val="003E5B1F"/>
    <w:rsid w:val="003E5FCD"/>
    <w:rsid w:val="003E6BDF"/>
    <w:rsid w:val="003F00D1"/>
    <w:rsid w:val="003F0B62"/>
    <w:rsid w:val="003F0EC4"/>
    <w:rsid w:val="003F1460"/>
    <w:rsid w:val="003F300A"/>
    <w:rsid w:val="003F4577"/>
    <w:rsid w:val="003F4886"/>
    <w:rsid w:val="003F7082"/>
    <w:rsid w:val="004011D8"/>
    <w:rsid w:val="00401B55"/>
    <w:rsid w:val="00404E6B"/>
    <w:rsid w:val="00410640"/>
    <w:rsid w:val="00410973"/>
    <w:rsid w:val="00410B64"/>
    <w:rsid w:val="00410D4D"/>
    <w:rsid w:val="00412CE2"/>
    <w:rsid w:val="00412FF7"/>
    <w:rsid w:val="0041445F"/>
    <w:rsid w:val="004157CB"/>
    <w:rsid w:val="004169F4"/>
    <w:rsid w:val="00417FB7"/>
    <w:rsid w:val="004212CB"/>
    <w:rsid w:val="0042194B"/>
    <w:rsid w:val="00422399"/>
    <w:rsid w:val="004224D9"/>
    <w:rsid w:val="00423A1A"/>
    <w:rsid w:val="00423E85"/>
    <w:rsid w:val="00424191"/>
    <w:rsid w:val="004255D9"/>
    <w:rsid w:val="0042576D"/>
    <w:rsid w:val="00425D11"/>
    <w:rsid w:val="00427164"/>
    <w:rsid w:val="004278A2"/>
    <w:rsid w:val="004344AD"/>
    <w:rsid w:val="00434724"/>
    <w:rsid w:val="00435DB8"/>
    <w:rsid w:val="0043663C"/>
    <w:rsid w:val="00437D19"/>
    <w:rsid w:val="0044016D"/>
    <w:rsid w:val="004423BC"/>
    <w:rsid w:val="004444B1"/>
    <w:rsid w:val="00444623"/>
    <w:rsid w:val="004456A6"/>
    <w:rsid w:val="00445778"/>
    <w:rsid w:val="00446594"/>
    <w:rsid w:val="004475F2"/>
    <w:rsid w:val="00447EB6"/>
    <w:rsid w:val="00452BAE"/>
    <w:rsid w:val="00453D98"/>
    <w:rsid w:val="00454891"/>
    <w:rsid w:val="00455774"/>
    <w:rsid w:val="00460768"/>
    <w:rsid w:val="0046270C"/>
    <w:rsid w:val="004662C8"/>
    <w:rsid w:val="00466ADA"/>
    <w:rsid w:val="004723F8"/>
    <w:rsid w:val="00475B94"/>
    <w:rsid w:val="00477A68"/>
    <w:rsid w:val="00477F4A"/>
    <w:rsid w:val="0048278F"/>
    <w:rsid w:val="00484149"/>
    <w:rsid w:val="00485012"/>
    <w:rsid w:val="0048501F"/>
    <w:rsid w:val="00485066"/>
    <w:rsid w:val="0048563A"/>
    <w:rsid w:val="00486FBD"/>
    <w:rsid w:val="00487B1A"/>
    <w:rsid w:val="004909DD"/>
    <w:rsid w:val="00490CA2"/>
    <w:rsid w:val="00491326"/>
    <w:rsid w:val="00491852"/>
    <w:rsid w:val="00492048"/>
    <w:rsid w:val="00492D1A"/>
    <w:rsid w:val="00493DB8"/>
    <w:rsid w:val="00494259"/>
    <w:rsid w:val="00496F0D"/>
    <w:rsid w:val="004A0456"/>
    <w:rsid w:val="004A06BB"/>
    <w:rsid w:val="004A0F5E"/>
    <w:rsid w:val="004A1F94"/>
    <w:rsid w:val="004A33FF"/>
    <w:rsid w:val="004A482F"/>
    <w:rsid w:val="004A6151"/>
    <w:rsid w:val="004A6604"/>
    <w:rsid w:val="004A7121"/>
    <w:rsid w:val="004A763B"/>
    <w:rsid w:val="004A79DC"/>
    <w:rsid w:val="004B0B78"/>
    <w:rsid w:val="004B38FB"/>
    <w:rsid w:val="004B57E8"/>
    <w:rsid w:val="004B6A88"/>
    <w:rsid w:val="004B7737"/>
    <w:rsid w:val="004C04A1"/>
    <w:rsid w:val="004C6263"/>
    <w:rsid w:val="004D10F1"/>
    <w:rsid w:val="004D2744"/>
    <w:rsid w:val="004D52E7"/>
    <w:rsid w:val="004D5460"/>
    <w:rsid w:val="004E0A1E"/>
    <w:rsid w:val="004E1F5A"/>
    <w:rsid w:val="004E2B37"/>
    <w:rsid w:val="004E2C34"/>
    <w:rsid w:val="004E51BB"/>
    <w:rsid w:val="004E5828"/>
    <w:rsid w:val="004E5E3B"/>
    <w:rsid w:val="004E7054"/>
    <w:rsid w:val="004F1821"/>
    <w:rsid w:val="004F31F3"/>
    <w:rsid w:val="004F6737"/>
    <w:rsid w:val="004F762B"/>
    <w:rsid w:val="004F7843"/>
    <w:rsid w:val="004F7C41"/>
    <w:rsid w:val="00500474"/>
    <w:rsid w:val="00500CEB"/>
    <w:rsid w:val="0050386A"/>
    <w:rsid w:val="00503BCC"/>
    <w:rsid w:val="00505D2D"/>
    <w:rsid w:val="0050755E"/>
    <w:rsid w:val="0051221F"/>
    <w:rsid w:val="00513106"/>
    <w:rsid w:val="00514DFB"/>
    <w:rsid w:val="00516688"/>
    <w:rsid w:val="0052009C"/>
    <w:rsid w:val="00520DBA"/>
    <w:rsid w:val="00521403"/>
    <w:rsid w:val="00522D6D"/>
    <w:rsid w:val="00525C65"/>
    <w:rsid w:val="005265E9"/>
    <w:rsid w:val="005271EF"/>
    <w:rsid w:val="00532E67"/>
    <w:rsid w:val="00534585"/>
    <w:rsid w:val="0053579D"/>
    <w:rsid w:val="00535B01"/>
    <w:rsid w:val="00535C4D"/>
    <w:rsid w:val="00536EF0"/>
    <w:rsid w:val="005375E0"/>
    <w:rsid w:val="005406F8"/>
    <w:rsid w:val="0054530B"/>
    <w:rsid w:val="00545610"/>
    <w:rsid w:val="005467C9"/>
    <w:rsid w:val="00547201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136A"/>
    <w:rsid w:val="0056265E"/>
    <w:rsid w:val="0056356F"/>
    <w:rsid w:val="005642FE"/>
    <w:rsid w:val="00565525"/>
    <w:rsid w:val="0056571D"/>
    <w:rsid w:val="00565862"/>
    <w:rsid w:val="0056775D"/>
    <w:rsid w:val="00571443"/>
    <w:rsid w:val="00573B31"/>
    <w:rsid w:val="00574BC4"/>
    <w:rsid w:val="00574D55"/>
    <w:rsid w:val="005766C9"/>
    <w:rsid w:val="0057749C"/>
    <w:rsid w:val="00577E54"/>
    <w:rsid w:val="0058151B"/>
    <w:rsid w:val="00581834"/>
    <w:rsid w:val="00582D30"/>
    <w:rsid w:val="0058762A"/>
    <w:rsid w:val="00590D71"/>
    <w:rsid w:val="005925C8"/>
    <w:rsid w:val="005A016C"/>
    <w:rsid w:val="005A1379"/>
    <w:rsid w:val="005A1B57"/>
    <w:rsid w:val="005A4B71"/>
    <w:rsid w:val="005A6286"/>
    <w:rsid w:val="005A7F63"/>
    <w:rsid w:val="005B0892"/>
    <w:rsid w:val="005B1054"/>
    <w:rsid w:val="005B4549"/>
    <w:rsid w:val="005B6A39"/>
    <w:rsid w:val="005C2F43"/>
    <w:rsid w:val="005D2227"/>
    <w:rsid w:val="005D3CFE"/>
    <w:rsid w:val="005D51D6"/>
    <w:rsid w:val="005D6864"/>
    <w:rsid w:val="005D7524"/>
    <w:rsid w:val="005E4296"/>
    <w:rsid w:val="005E4374"/>
    <w:rsid w:val="005E5BCD"/>
    <w:rsid w:val="005E5E38"/>
    <w:rsid w:val="005E7217"/>
    <w:rsid w:val="005F0C31"/>
    <w:rsid w:val="005F1303"/>
    <w:rsid w:val="005F2AF0"/>
    <w:rsid w:val="005F3484"/>
    <w:rsid w:val="005F73FA"/>
    <w:rsid w:val="005F757C"/>
    <w:rsid w:val="00601FB3"/>
    <w:rsid w:val="00603309"/>
    <w:rsid w:val="00604507"/>
    <w:rsid w:val="006114B8"/>
    <w:rsid w:val="00612DF4"/>
    <w:rsid w:val="00615B38"/>
    <w:rsid w:val="006166F2"/>
    <w:rsid w:val="00617B0B"/>
    <w:rsid w:val="006218BD"/>
    <w:rsid w:val="006236F9"/>
    <w:rsid w:val="00627E2B"/>
    <w:rsid w:val="0063253F"/>
    <w:rsid w:val="00632E19"/>
    <w:rsid w:val="006354AD"/>
    <w:rsid w:val="006401CF"/>
    <w:rsid w:val="006408C7"/>
    <w:rsid w:val="00640A33"/>
    <w:rsid w:val="00640C24"/>
    <w:rsid w:val="00640E79"/>
    <w:rsid w:val="00640F05"/>
    <w:rsid w:val="0064260A"/>
    <w:rsid w:val="00642CE7"/>
    <w:rsid w:val="006453A3"/>
    <w:rsid w:val="00645B1C"/>
    <w:rsid w:val="006462BE"/>
    <w:rsid w:val="00646899"/>
    <w:rsid w:val="00646B80"/>
    <w:rsid w:val="0064793C"/>
    <w:rsid w:val="006513BC"/>
    <w:rsid w:val="00652DA9"/>
    <w:rsid w:val="00654B77"/>
    <w:rsid w:val="006553B5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7094F"/>
    <w:rsid w:val="00673248"/>
    <w:rsid w:val="00673A3F"/>
    <w:rsid w:val="00674651"/>
    <w:rsid w:val="006754B5"/>
    <w:rsid w:val="00675F14"/>
    <w:rsid w:val="00677131"/>
    <w:rsid w:val="00680938"/>
    <w:rsid w:val="006822A5"/>
    <w:rsid w:val="00682D7C"/>
    <w:rsid w:val="00687A11"/>
    <w:rsid w:val="00687AD0"/>
    <w:rsid w:val="00691425"/>
    <w:rsid w:val="0069142A"/>
    <w:rsid w:val="00692B7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A2BC2"/>
    <w:rsid w:val="006B0E5D"/>
    <w:rsid w:val="006B1096"/>
    <w:rsid w:val="006B10D9"/>
    <w:rsid w:val="006B19D4"/>
    <w:rsid w:val="006B20E6"/>
    <w:rsid w:val="006C0674"/>
    <w:rsid w:val="006C0C0F"/>
    <w:rsid w:val="006C1153"/>
    <w:rsid w:val="006C2531"/>
    <w:rsid w:val="006C30E2"/>
    <w:rsid w:val="006C347D"/>
    <w:rsid w:val="006C3F12"/>
    <w:rsid w:val="006C4A02"/>
    <w:rsid w:val="006C762F"/>
    <w:rsid w:val="006D0EA4"/>
    <w:rsid w:val="006D447D"/>
    <w:rsid w:val="006D72A3"/>
    <w:rsid w:val="006E0FC8"/>
    <w:rsid w:val="006E14A7"/>
    <w:rsid w:val="006E196E"/>
    <w:rsid w:val="006E35F9"/>
    <w:rsid w:val="006E41FA"/>
    <w:rsid w:val="006E4A38"/>
    <w:rsid w:val="006F06C2"/>
    <w:rsid w:val="006F1300"/>
    <w:rsid w:val="006F177C"/>
    <w:rsid w:val="006F270A"/>
    <w:rsid w:val="006F3ABC"/>
    <w:rsid w:val="006F7A95"/>
    <w:rsid w:val="007039B0"/>
    <w:rsid w:val="007039E5"/>
    <w:rsid w:val="0070488B"/>
    <w:rsid w:val="00704C01"/>
    <w:rsid w:val="00706095"/>
    <w:rsid w:val="00707430"/>
    <w:rsid w:val="00707C02"/>
    <w:rsid w:val="00711420"/>
    <w:rsid w:val="00713086"/>
    <w:rsid w:val="00713EE2"/>
    <w:rsid w:val="00717BD2"/>
    <w:rsid w:val="00721144"/>
    <w:rsid w:val="0072176F"/>
    <w:rsid w:val="007235EC"/>
    <w:rsid w:val="00724379"/>
    <w:rsid w:val="00724ED8"/>
    <w:rsid w:val="00725827"/>
    <w:rsid w:val="00726F12"/>
    <w:rsid w:val="00727187"/>
    <w:rsid w:val="007277AE"/>
    <w:rsid w:val="00731639"/>
    <w:rsid w:val="007330EC"/>
    <w:rsid w:val="007338FC"/>
    <w:rsid w:val="00733933"/>
    <w:rsid w:val="00742D23"/>
    <w:rsid w:val="0074329E"/>
    <w:rsid w:val="00743CD8"/>
    <w:rsid w:val="00745456"/>
    <w:rsid w:val="0074553B"/>
    <w:rsid w:val="0074604D"/>
    <w:rsid w:val="00747925"/>
    <w:rsid w:val="00750BC9"/>
    <w:rsid w:val="00751F74"/>
    <w:rsid w:val="00760D4E"/>
    <w:rsid w:val="007613C1"/>
    <w:rsid w:val="00762758"/>
    <w:rsid w:val="007632C1"/>
    <w:rsid w:val="00763354"/>
    <w:rsid w:val="007650EF"/>
    <w:rsid w:val="007651D5"/>
    <w:rsid w:val="007660A8"/>
    <w:rsid w:val="00766BAC"/>
    <w:rsid w:val="00770B14"/>
    <w:rsid w:val="00770DE2"/>
    <w:rsid w:val="0077263A"/>
    <w:rsid w:val="00772F03"/>
    <w:rsid w:val="007731D7"/>
    <w:rsid w:val="00774093"/>
    <w:rsid w:val="00775A4C"/>
    <w:rsid w:val="007820A2"/>
    <w:rsid w:val="00782A7B"/>
    <w:rsid w:val="00783B17"/>
    <w:rsid w:val="00790759"/>
    <w:rsid w:val="00790B56"/>
    <w:rsid w:val="00792FB4"/>
    <w:rsid w:val="00793A49"/>
    <w:rsid w:val="00795A82"/>
    <w:rsid w:val="00797EF0"/>
    <w:rsid w:val="007A0F52"/>
    <w:rsid w:val="007A2DF5"/>
    <w:rsid w:val="007A50E0"/>
    <w:rsid w:val="007A5F0A"/>
    <w:rsid w:val="007A620D"/>
    <w:rsid w:val="007A6621"/>
    <w:rsid w:val="007A688E"/>
    <w:rsid w:val="007A7B4B"/>
    <w:rsid w:val="007B077E"/>
    <w:rsid w:val="007B15FD"/>
    <w:rsid w:val="007B2721"/>
    <w:rsid w:val="007B2C39"/>
    <w:rsid w:val="007B3226"/>
    <w:rsid w:val="007B4F6C"/>
    <w:rsid w:val="007B6225"/>
    <w:rsid w:val="007B6554"/>
    <w:rsid w:val="007B6FA7"/>
    <w:rsid w:val="007B71A3"/>
    <w:rsid w:val="007C19A3"/>
    <w:rsid w:val="007C252B"/>
    <w:rsid w:val="007C3F95"/>
    <w:rsid w:val="007C479F"/>
    <w:rsid w:val="007C5215"/>
    <w:rsid w:val="007C5C0F"/>
    <w:rsid w:val="007C5D4A"/>
    <w:rsid w:val="007D066D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5DF6"/>
    <w:rsid w:val="007F067B"/>
    <w:rsid w:val="007F1376"/>
    <w:rsid w:val="007F636B"/>
    <w:rsid w:val="008034A7"/>
    <w:rsid w:val="00803828"/>
    <w:rsid w:val="00803E65"/>
    <w:rsid w:val="00806792"/>
    <w:rsid w:val="00806A80"/>
    <w:rsid w:val="0080756A"/>
    <w:rsid w:val="008101F1"/>
    <w:rsid w:val="00810E0A"/>
    <w:rsid w:val="00814F36"/>
    <w:rsid w:val="008167BD"/>
    <w:rsid w:val="00816B1A"/>
    <w:rsid w:val="00816B4C"/>
    <w:rsid w:val="008174AD"/>
    <w:rsid w:val="00821783"/>
    <w:rsid w:val="00821A6E"/>
    <w:rsid w:val="00823A08"/>
    <w:rsid w:val="00825B4F"/>
    <w:rsid w:val="0082706E"/>
    <w:rsid w:val="00831AA9"/>
    <w:rsid w:val="00832117"/>
    <w:rsid w:val="008332D3"/>
    <w:rsid w:val="008332DB"/>
    <w:rsid w:val="00834D05"/>
    <w:rsid w:val="008371EE"/>
    <w:rsid w:val="008373A1"/>
    <w:rsid w:val="00840E42"/>
    <w:rsid w:val="008420B1"/>
    <w:rsid w:val="00845826"/>
    <w:rsid w:val="00845B16"/>
    <w:rsid w:val="0084704C"/>
    <w:rsid w:val="008527BC"/>
    <w:rsid w:val="0085281B"/>
    <w:rsid w:val="008528A1"/>
    <w:rsid w:val="0085505D"/>
    <w:rsid w:val="008572A5"/>
    <w:rsid w:val="00857A03"/>
    <w:rsid w:val="00860263"/>
    <w:rsid w:val="00860B70"/>
    <w:rsid w:val="008645F3"/>
    <w:rsid w:val="00864FAE"/>
    <w:rsid w:val="00865340"/>
    <w:rsid w:val="008724DD"/>
    <w:rsid w:val="008727C1"/>
    <w:rsid w:val="00872FC7"/>
    <w:rsid w:val="00873314"/>
    <w:rsid w:val="00875222"/>
    <w:rsid w:val="00877A0B"/>
    <w:rsid w:val="00881042"/>
    <w:rsid w:val="00881283"/>
    <w:rsid w:val="00881479"/>
    <w:rsid w:val="00883CA1"/>
    <w:rsid w:val="008843CD"/>
    <w:rsid w:val="00884C8E"/>
    <w:rsid w:val="00885320"/>
    <w:rsid w:val="0089128C"/>
    <w:rsid w:val="00891817"/>
    <w:rsid w:val="008929DA"/>
    <w:rsid w:val="008960CB"/>
    <w:rsid w:val="00897B45"/>
    <w:rsid w:val="008A01A2"/>
    <w:rsid w:val="008A2D9A"/>
    <w:rsid w:val="008A427F"/>
    <w:rsid w:val="008A45E8"/>
    <w:rsid w:val="008A4EE1"/>
    <w:rsid w:val="008B1C0A"/>
    <w:rsid w:val="008B21F7"/>
    <w:rsid w:val="008B25F1"/>
    <w:rsid w:val="008B34E3"/>
    <w:rsid w:val="008B3D9E"/>
    <w:rsid w:val="008B3E6A"/>
    <w:rsid w:val="008B45D8"/>
    <w:rsid w:val="008B500F"/>
    <w:rsid w:val="008B6959"/>
    <w:rsid w:val="008B7142"/>
    <w:rsid w:val="008B7BEE"/>
    <w:rsid w:val="008B7DF9"/>
    <w:rsid w:val="008C01DE"/>
    <w:rsid w:val="008C0E6B"/>
    <w:rsid w:val="008C1045"/>
    <w:rsid w:val="008C4534"/>
    <w:rsid w:val="008C4E22"/>
    <w:rsid w:val="008C57DE"/>
    <w:rsid w:val="008C7574"/>
    <w:rsid w:val="008C7753"/>
    <w:rsid w:val="008D018D"/>
    <w:rsid w:val="008D050D"/>
    <w:rsid w:val="008D3C9E"/>
    <w:rsid w:val="008D60DF"/>
    <w:rsid w:val="008D6851"/>
    <w:rsid w:val="008D7391"/>
    <w:rsid w:val="008E11E5"/>
    <w:rsid w:val="008E24CF"/>
    <w:rsid w:val="008E3751"/>
    <w:rsid w:val="008E535E"/>
    <w:rsid w:val="008E54DF"/>
    <w:rsid w:val="008E6564"/>
    <w:rsid w:val="008E66BF"/>
    <w:rsid w:val="008F1B3D"/>
    <w:rsid w:val="008F2C46"/>
    <w:rsid w:val="008F3C5B"/>
    <w:rsid w:val="008F4DAA"/>
    <w:rsid w:val="008F6824"/>
    <w:rsid w:val="008F689B"/>
    <w:rsid w:val="008F70F8"/>
    <w:rsid w:val="00901396"/>
    <w:rsid w:val="009030E8"/>
    <w:rsid w:val="00904811"/>
    <w:rsid w:val="00904A7D"/>
    <w:rsid w:val="0090560F"/>
    <w:rsid w:val="00905C6F"/>
    <w:rsid w:val="00907EBC"/>
    <w:rsid w:val="00911963"/>
    <w:rsid w:val="00912801"/>
    <w:rsid w:val="0091365E"/>
    <w:rsid w:val="0091483D"/>
    <w:rsid w:val="00914DEA"/>
    <w:rsid w:val="00915199"/>
    <w:rsid w:val="009157CC"/>
    <w:rsid w:val="00916A07"/>
    <w:rsid w:val="00916BDD"/>
    <w:rsid w:val="0092027C"/>
    <w:rsid w:val="00920E66"/>
    <w:rsid w:val="00924D4D"/>
    <w:rsid w:val="00927089"/>
    <w:rsid w:val="00927E6F"/>
    <w:rsid w:val="00930CB5"/>
    <w:rsid w:val="00931C46"/>
    <w:rsid w:val="009329F5"/>
    <w:rsid w:val="00935F9F"/>
    <w:rsid w:val="00936321"/>
    <w:rsid w:val="00937A40"/>
    <w:rsid w:val="009405D2"/>
    <w:rsid w:val="00940B2C"/>
    <w:rsid w:val="0094286D"/>
    <w:rsid w:val="00943247"/>
    <w:rsid w:val="00943DAB"/>
    <w:rsid w:val="0094443B"/>
    <w:rsid w:val="00944CCE"/>
    <w:rsid w:val="0095285A"/>
    <w:rsid w:val="00955340"/>
    <w:rsid w:val="00956D5B"/>
    <w:rsid w:val="0095779A"/>
    <w:rsid w:val="0095793C"/>
    <w:rsid w:val="00957E53"/>
    <w:rsid w:val="009612F8"/>
    <w:rsid w:val="0096247A"/>
    <w:rsid w:val="0096291A"/>
    <w:rsid w:val="009632D1"/>
    <w:rsid w:val="00964916"/>
    <w:rsid w:val="00966072"/>
    <w:rsid w:val="00966815"/>
    <w:rsid w:val="00970869"/>
    <w:rsid w:val="00971254"/>
    <w:rsid w:val="00973510"/>
    <w:rsid w:val="00975666"/>
    <w:rsid w:val="0097568E"/>
    <w:rsid w:val="00980CF3"/>
    <w:rsid w:val="009811AE"/>
    <w:rsid w:val="009825DA"/>
    <w:rsid w:val="0098298C"/>
    <w:rsid w:val="00983D17"/>
    <w:rsid w:val="00984CCD"/>
    <w:rsid w:val="00985F64"/>
    <w:rsid w:val="00987E6A"/>
    <w:rsid w:val="00991045"/>
    <w:rsid w:val="009914DA"/>
    <w:rsid w:val="00992479"/>
    <w:rsid w:val="00992717"/>
    <w:rsid w:val="00993909"/>
    <w:rsid w:val="00995144"/>
    <w:rsid w:val="0099601D"/>
    <w:rsid w:val="00996949"/>
    <w:rsid w:val="00996DA3"/>
    <w:rsid w:val="009A1F64"/>
    <w:rsid w:val="009A25AF"/>
    <w:rsid w:val="009A7CB5"/>
    <w:rsid w:val="009B0563"/>
    <w:rsid w:val="009B109E"/>
    <w:rsid w:val="009B1444"/>
    <w:rsid w:val="009B30E9"/>
    <w:rsid w:val="009B37EB"/>
    <w:rsid w:val="009B5642"/>
    <w:rsid w:val="009B5ED6"/>
    <w:rsid w:val="009C30DD"/>
    <w:rsid w:val="009C4657"/>
    <w:rsid w:val="009C69D0"/>
    <w:rsid w:val="009D0199"/>
    <w:rsid w:val="009D12E6"/>
    <w:rsid w:val="009D2B91"/>
    <w:rsid w:val="009D2E5D"/>
    <w:rsid w:val="009D6118"/>
    <w:rsid w:val="009D6D35"/>
    <w:rsid w:val="009E11E8"/>
    <w:rsid w:val="009E187C"/>
    <w:rsid w:val="009E18FB"/>
    <w:rsid w:val="009E28E8"/>
    <w:rsid w:val="009E2EF1"/>
    <w:rsid w:val="009E7168"/>
    <w:rsid w:val="009F09F6"/>
    <w:rsid w:val="009F0EC7"/>
    <w:rsid w:val="009F25C7"/>
    <w:rsid w:val="009F26AA"/>
    <w:rsid w:val="009F2711"/>
    <w:rsid w:val="009F27D9"/>
    <w:rsid w:val="009F2F01"/>
    <w:rsid w:val="009F50BA"/>
    <w:rsid w:val="009F5A67"/>
    <w:rsid w:val="009F7017"/>
    <w:rsid w:val="009F7F1B"/>
    <w:rsid w:val="00A00A8B"/>
    <w:rsid w:val="00A030A1"/>
    <w:rsid w:val="00A03B06"/>
    <w:rsid w:val="00A044A9"/>
    <w:rsid w:val="00A04B6F"/>
    <w:rsid w:val="00A052E5"/>
    <w:rsid w:val="00A079FC"/>
    <w:rsid w:val="00A10462"/>
    <w:rsid w:val="00A10767"/>
    <w:rsid w:val="00A10E9C"/>
    <w:rsid w:val="00A11068"/>
    <w:rsid w:val="00A11776"/>
    <w:rsid w:val="00A11AB7"/>
    <w:rsid w:val="00A13C74"/>
    <w:rsid w:val="00A1498B"/>
    <w:rsid w:val="00A14FE6"/>
    <w:rsid w:val="00A17628"/>
    <w:rsid w:val="00A2079B"/>
    <w:rsid w:val="00A20A2B"/>
    <w:rsid w:val="00A23589"/>
    <w:rsid w:val="00A23F5E"/>
    <w:rsid w:val="00A2455F"/>
    <w:rsid w:val="00A24BE3"/>
    <w:rsid w:val="00A26978"/>
    <w:rsid w:val="00A311EE"/>
    <w:rsid w:val="00A311FE"/>
    <w:rsid w:val="00A31A03"/>
    <w:rsid w:val="00A321AF"/>
    <w:rsid w:val="00A3227F"/>
    <w:rsid w:val="00A32443"/>
    <w:rsid w:val="00A32EA2"/>
    <w:rsid w:val="00A35D6A"/>
    <w:rsid w:val="00A37B49"/>
    <w:rsid w:val="00A42639"/>
    <w:rsid w:val="00A43352"/>
    <w:rsid w:val="00A44737"/>
    <w:rsid w:val="00A45C03"/>
    <w:rsid w:val="00A46403"/>
    <w:rsid w:val="00A47041"/>
    <w:rsid w:val="00A52AE7"/>
    <w:rsid w:val="00A52ED2"/>
    <w:rsid w:val="00A5351A"/>
    <w:rsid w:val="00A535F2"/>
    <w:rsid w:val="00A617ED"/>
    <w:rsid w:val="00A64018"/>
    <w:rsid w:val="00A67371"/>
    <w:rsid w:val="00A71620"/>
    <w:rsid w:val="00A7568F"/>
    <w:rsid w:val="00A7613A"/>
    <w:rsid w:val="00A77451"/>
    <w:rsid w:val="00A8451B"/>
    <w:rsid w:val="00A84A11"/>
    <w:rsid w:val="00A858C5"/>
    <w:rsid w:val="00A85A89"/>
    <w:rsid w:val="00A92903"/>
    <w:rsid w:val="00A93958"/>
    <w:rsid w:val="00A957EE"/>
    <w:rsid w:val="00A958FC"/>
    <w:rsid w:val="00A95A7B"/>
    <w:rsid w:val="00A9681E"/>
    <w:rsid w:val="00A9683D"/>
    <w:rsid w:val="00A97810"/>
    <w:rsid w:val="00A97F36"/>
    <w:rsid w:val="00AA0E22"/>
    <w:rsid w:val="00AA131E"/>
    <w:rsid w:val="00AA6994"/>
    <w:rsid w:val="00AB0E62"/>
    <w:rsid w:val="00AB155E"/>
    <w:rsid w:val="00AB2A7C"/>
    <w:rsid w:val="00AB5637"/>
    <w:rsid w:val="00AB5876"/>
    <w:rsid w:val="00AB5944"/>
    <w:rsid w:val="00AB670B"/>
    <w:rsid w:val="00AB72AD"/>
    <w:rsid w:val="00AC176D"/>
    <w:rsid w:val="00AC4349"/>
    <w:rsid w:val="00AC6A1A"/>
    <w:rsid w:val="00AD135F"/>
    <w:rsid w:val="00AD1A5A"/>
    <w:rsid w:val="00AD2010"/>
    <w:rsid w:val="00AD2AA8"/>
    <w:rsid w:val="00AD501B"/>
    <w:rsid w:val="00AD5371"/>
    <w:rsid w:val="00AD5C8D"/>
    <w:rsid w:val="00AD5F09"/>
    <w:rsid w:val="00AD62CC"/>
    <w:rsid w:val="00AD699E"/>
    <w:rsid w:val="00AD6D18"/>
    <w:rsid w:val="00AD75C3"/>
    <w:rsid w:val="00AE0056"/>
    <w:rsid w:val="00AE4518"/>
    <w:rsid w:val="00AE64EE"/>
    <w:rsid w:val="00AE7024"/>
    <w:rsid w:val="00AE7437"/>
    <w:rsid w:val="00AE7862"/>
    <w:rsid w:val="00AE79F9"/>
    <w:rsid w:val="00AE7B7C"/>
    <w:rsid w:val="00AF18A4"/>
    <w:rsid w:val="00AF4485"/>
    <w:rsid w:val="00AF4F93"/>
    <w:rsid w:val="00AF5D3A"/>
    <w:rsid w:val="00AF7A08"/>
    <w:rsid w:val="00B00069"/>
    <w:rsid w:val="00B0104A"/>
    <w:rsid w:val="00B0241F"/>
    <w:rsid w:val="00B032C2"/>
    <w:rsid w:val="00B04263"/>
    <w:rsid w:val="00B0575F"/>
    <w:rsid w:val="00B05A49"/>
    <w:rsid w:val="00B05B6D"/>
    <w:rsid w:val="00B061B4"/>
    <w:rsid w:val="00B0761F"/>
    <w:rsid w:val="00B10692"/>
    <w:rsid w:val="00B152C8"/>
    <w:rsid w:val="00B16BEE"/>
    <w:rsid w:val="00B170C3"/>
    <w:rsid w:val="00B176F3"/>
    <w:rsid w:val="00B20C7A"/>
    <w:rsid w:val="00B21938"/>
    <w:rsid w:val="00B21B4E"/>
    <w:rsid w:val="00B26182"/>
    <w:rsid w:val="00B275FA"/>
    <w:rsid w:val="00B278D2"/>
    <w:rsid w:val="00B302C7"/>
    <w:rsid w:val="00B3153A"/>
    <w:rsid w:val="00B339C3"/>
    <w:rsid w:val="00B339D4"/>
    <w:rsid w:val="00B35560"/>
    <w:rsid w:val="00B36AFC"/>
    <w:rsid w:val="00B371F6"/>
    <w:rsid w:val="00B41A55"/>
    <w:rsid w:val="00B423C1"/>
    <w:rsid w:val="00B47A6D"/>
    <w:rsid w:val="00B503DD"/>
    <w:rsid w:val="00B50D50"/>
    <w:rsid w:val="00B513B7"/>
    <w:rsid w:val="00B52E87"/>
    <w:rsid w:val="00B530CC"/>
    <w:rsid w:val="00B532BA"/>
    <w:rsid w:val="00B53BE4"/>
    <w:rsid w:val="00B55B46"/>
    <w:rsid w:val="00B55CBE"/>
    <w:rsid w:val="00B55F07"/>
    <w:rsid w:val="00B57779"/>
    <w:rsid w:val="00B603EA"/>
    <w:rsid w:val="00B613A5"/>
    <w:rsid w:val="00B6327B"/>
    <w:rsid w:val="00B6389C"/>
    <w:rsid w:val="00B63AC8"/>
    <w:rsid w:val="00B6475F"/>
    <w:rsid w:val="00B648C3"/>
    <w:rsid w:val="00B6490C"/>
    <w:rsid w:val="00B64A0E"/>
    <w:rsid w:val="00B7229A"/>
    <w:rsid w:val="00B722E9"/>
    <w:rsid w:val="00B752BF"/>
    <w:rsid w:val="00B76EEC"/>
    <w:rsid w:val="00B77CB6"/>
    <w:rsid w:val="00B77F7B"/>
    <w:rsid w:val="00B816D5"/>
    <w:rsid w:val="00B81CBB"/>
    <w:rsid w:val="00B82C7C"/>
    <w:rsid w:val="00B854A8"/>
    <w:rsid w:val="00B904A9"/>
    <w:rsid w:val="00B93BCF"/>
    <w:rsid w:val="00B96687"/>
    <w:rsid w:val="00B967AE"/>
    <w:rsid w:val="00B97877"/>
    <w:rsid w:val="00BA065C"/>
    <w:rsid w:val="00BA0DBA"/>
    <w:rsid w:val="00BA0F80"/>
    <w:rsid w:val="00BA1549"/>
    <w:rsid w:val="00BA248E"/>
    <w:rsid w:val="00BA3728"/>
    <w:rsid w:val="00BA5398"/>
    <w:rsid w:val="00BA7D04"/>
    <w:rsid w:val="00BB00B6"/>
    <w:rsid w:val="00BB1165"/>
    <w:rsid w:val="00BB251F"/>
    <w:rsid w:val="00BB30EE"/>
    <w:rsid w:val="00BB4632"/>
    <w:rsid w:val="00BB4832"/>
    <w:rsid w:val="00BC00F6"/>
    <w:rsid w:val="00BC0C2C"/>
    <w:rsid w:val="00BC1C99"/>
    <w:rsid w:val="00BC1FA8"/>
    <w:rsid w:val="00BC40C0"/>
    <w:rsid w:val="00BD0B16"/>
    <w:rsid w:val="00BD250B"/>
    <w:rsid w:val="00BD337A"/>
    <w:rsid w:val="00BD75D3"/>
    <w:rsid w:val="00BE03A4"/>
    <w:rsid w:val="00BE16B4"/>
    <w:rsid w:val="00BE4DA6"/>
    <w:rsid w:val="00BE4EAE"/>
    <w:rsid w:val="00BE51D2"/>
    <w:rsid w:val="00BE752A"/>
    <w:rsid w:val="00BE7830"/>
    <w:rsid w:val="00BF6C19"/>
    <w:rsid w:val="00BF7565"/>
    <w:rsid w:val="00C00173"/>
    <w:rsid w:val="00C002CF"/>
    <w:rsid w:val="00C0081B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3488"/>
    <w:rsid w:val="00C17FF1"/>
    <w:rsid w:val="00C20526"/>
    <w:rsid w:val="00C253D8"/>
    <w:rsid w:val="00C257FB"/>
    <w:rsid w:val="00C25DB7"/>
    <w:rsid w:val="00C26D28"/>
    <w:rsid w:val="00C31285"/>
    <w:rsid w:val="00C351F3"/>
    <w:rsid w:val="00C35F33"/>
    <w:rsid w:val="00C37447"/>
    <w:rsid w:val="00C37837"/>
    <w:rsid w:val="00C4089C"/>
    <w:rsid w:val="00C41F90"/>
    <w:rsid w:val="00C422E7"/>
    <w:rsid w:val="00C42775"/>
    <w:rsid w:val="00C44C5A"/>
    <w:rsid w:val="00C4640E"/>
    <w:rsid w:val="00C46541"/>
    <w:rsid w:val="00C50D9F"/>
    <w:rsid w:val="00C51BFC"/>
    <w:rsid w:val="00C533EE"/>
    <w:rsid w:val="00C53F37"/>
    <w:rsid w:val="00C57FBA"/>
    <w:rsid w:val="00C63159"/>
    <w:rsid w:val="00C63FE4"/>
    <w:rsid w:val="00C64758"/>
    <w:rsid w:val="00C66F66"/>
    <w:rsid w:val="00C6799C"/>
    <w:rsid w:val="00C70A56"/>
    <w:rsid w:val="00C70B42"/>
    <w:rsid w:val="00C70F69"/>
    <w:rsid w:val="00C727F0"/>
    <w:rsid w:val="00C72DA7"/>
    <w:rsid w:val="00C73226"/>
    <w:rsid w:val="00C74ECF"/>
    <w:rsid w:val="00C760B9"/>
    <w:rsid w:val="00C765F7"/>
    <w:rsid w:val="00C80301"/>
    <w:rsid w:val="00C814C3"/>
    <w:rsid w:val="00C81A9C"/>
    <w:rsid w:val="00C8209B"/>
    <w:rsid w:val="00C8489B"/>
    <w:rsid w:val="00C87265"/>
    <w:rsid w:val="00C873CD"/>
    <w:rsid w:val="00C87939"/>
    <w:rsid w:val="00C87F3C"/>
    <w:rsid w:val="00C87F7C"/>
    <w:rsid w:val="00C93731"/>
    <w:rsid w:val="00C94EC7"/>
    <w:rsid w:val="00C97103"/>
    <w:rsid w:val="00C974AE"/>
    <w:rsid w:val="00CA180D"/>
    <w:rsid w:val="00CA1D88"/>
    <w:rsid w:val="00CA20B6"/>
    <w:rsid w:val="00CA2E2F"/>
    <w:rsid w:val="00CA54C9"/>
    <w:rsid w:val="00CA550F"/>
    <w:rsid w:val="00CA76A5"/>
    <w:rsid w:val="00CA7E55"/>
    <w:rsid w:val="00CB0125"/>
    <w:rsid w:val="00CB24E4"/>
    <w:rsid w:val="00CB59E6"/>
    <w:rsid w:val="00CB78F0"/>
    <w:rsid w:val="00CC09CA"/>
    <w:rsid w:val="00CC2391"/>
    <w:rsid w:val="00CC24AD"/>
    <w:rsid w:val="00CC425D"/>
    <w:rsid w:val="00CC4B55"/>
    <w:rsid w:val="00CC5FB6"/>
    <w:rsid w:val="00CC651B"/>
    <w:rsid w:val="00CC6BB7"/>
    <w:rsid w:val="00CC6CC7"/>
    <w:rsid w:val="00CC77AC"/>
    <w:rsid w:val="00CD2B7B"/>
    <w:rsid w:val="00CD305B"/>
    <w:rsid w:val="00CD72BD"/>
    <w:rsid w:val="00CD7DE9"/>
    <w:rsid w:val="00CE124B"/>
    <w:rsid w:val="00CE19F7"/>
    <w:rsid w:val="00CE4132"/>
    <w:rsid w:val="00CE4750"/>
    <w:rsid w:val="00CF5612"/>
    <w:rsid w:val="00CF77AF"/>
    <w:rsid w:val="00D0411D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6307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960"/>
    <w:rsid w:val="00D32D99"/>
    <w:rsid w:val="00D339D0"/>
    <w:rsid w:val="00D33CE9"/>
    <w:rsid w:val="00D34039"/>
    <w:rsid w:val="00D341B5"/>
    <w:rsid w:val="00D42394"/>
    <w:rsid w:val="00D4370F"/>
    <w:rsid w:val="00D441F1"/>
    <w:rsid w:val="00D44993"/>
    <w:rsid w:val="00D45479"/>
    <w:rsid w:val="00D45B16"/>
    <w:rsid w:val="00D466AF"/>
    <w:rsid w:val="00D5080A"/>
    <w:rsid w:val="00D53BF3"/>
    <w:rsid w:val="00D53D22"/>
    <w:rsid w:val="00D550B1"/>
    <w:rsid w:val="00D5523B"/>
    <w:rsid w:val="00D55BE8"/>
    <w:rsid w:val="00D56F28"/>
    <w:rsid w:val="00D57D27"/>
    <w:rsid w:val="00D603AE"/>
    <w:rsid w:val="00D608DD"/>
    <w:rsid w:val="00D63D79"/>
    <w:rsid w:val="00D66F9D"/>
    <w:rsid w:val="00D67CE9"/>
    <w:rsid w:val="00D75349"/>
    <w:rsid w:val="00D75846"/>
    <w:rsid w:val="00D75ADE"/>
    <w:rsid w:val="00D75C46"/>
    <w:rsid w:val="00D769BC"/>
    <w:rsid w:val="00D83434"/>
    <w:rsid w:val="00D86050"/>
    <w:rsid w:val="00D87CB6"/>
    <w:rsid w:val="00D90690"/>
    <w:rsid w:val="00D90E7C"/>
    <w:rsid w:val="00D9124F"/>
    <w:rsid w:val="00D93BC5"/>
    <w:rsid w:val="00D975C5"/>
    <w:rsid w:val="00D978B9"/>
    <w:rsid w:val="00DA349B"/>
    <w:rsid w:val="00DA43A3"/>
    <w:rsid w:val="00DA44E7"/>
    <w:rsid w:val="00DA4509"/>
    <w:rsid w:val="00DA5DCB"/>
    <w:rsid w:val="00DB053D"/>
    <w:rsid w:val="00DB12D1"/>
    <w:rsid w:val="00DB32D0"/>
    <w:rsid w:val="00DB35BC"/>
    <w:rsid w:val="00DB7117"/>
    <w:rsid w:val="00DC0E63"/>
    <w:rsid w:val="00DC30D3"/>
    <w:rsid w:val="00DC76F9"/>
    <w:rsid w:val="00DD29AC"/>
    <w:rsid w:val="00DD2B88"/>
    <w:rsid w:val="00DD3B71"/>
    <w:rsid w:val="00DD4FC4"/>
    <w:rsid w:val="00DD515A"/>
    <w:rsid w:val="00DD684C"/>
    <w:rsid w:val="00DE06FA"/>
    <w:rsid w:val="00DE0B07"/>
    <w:rsid w:val="00DE12B7"/>
    <w:rsid w:val="00DE3C02"/>
    <w:rsid w:val="00DF0214"/>
    <w:rsid w:val="00DF22C1"/>
    <w:rsid w:val="00DF4977"/>
    <w:rsid w:val="00DF4CB6"/>
    <w:rsid w:val="00DF579B"/>
    <w:rsid w:val="00DF6A1E"/>
    <w:rsid w:val="00E01086"/>
    <w:rsid w:val="00E01F59"/>
    <w:rsid w:val="00E045A4"/>
    <w:rsid w:val="00E10E36"/>
    <w:rsid w:val="00E11541"/>
    <w:rsid w:val="00E14BDA"/>
    <w:rsid w:val="00E15A7F"/>
    <w:rsid w:val="00E17F73"/>
    <w:rsid w:val="00E201B8"/>
    <w:rsid w:val="00E21309"/>
    <w:rsid w:val="00E21645"/>
    <w:rsid w:val="00E22084"/>
    <w:rsid w:val="00E22B1F"/>
    <w:rsid w:val="00E248E3"/>
    <w:rsid w:val="00E25FAF"/>
    <w:rsid w:val="00E27155"/>
    <w:rsid w:val="00E30326"/>
    <w:rsid w:val="00E30940"/>
    <w:rsid w:val="00E34C07"/>
    <w:rsid w:val="00E35670"/>
    <w:rsid w:val="00E40215"/>
    <w:rsid w:val="00E40B03"/>
    <w:rsid w:val="00E42111"/>
    <w:rsid w:val="00E446A4"/>
    <w:rsid w:val="00E449E6"/>
    <w:rsid w:val="00E464DA"/>
    <w:rsid w:val="00E4666F"/>
    <w:rsid w:val="00E46F4A"/>
    <w:rsid w:val="00E50512"/>
    <w:rsid w:val="00E52C5B"/>
    <w:rsid w:val="00E53A12"/>
    <w:rsid w:val="00E545F5"/>
    <w:rsid w:val="00E54900"/>
    <w:rsid w:val="00E54EFD"/>
    <w:rsid w:val="00E56429"/>
    <w:rsid w:val="00E57179"/>
    <w:rsid w:val="00E577BE"/>
    <w:rsid w:val="00E605C1"/>
    <w:rsid w:val="00E60912"/>
    <w:rsid w:val="00E6142E"/>
    <w:rsid w:val="00E61C23"/>
    <w:rsid w:val="00E62B5B"/>
    <w:rsid w:val="00E652C6"/>
    <w:rsid w:val="00E67252"/>
    <w:rsid w:val="00E721F2"/>
    <w:rsid w:val="00E72DA7"/>
    <w:rsid w:val="00E73CAD"/>
    <w:rsid w:val="00E73D63"/>
    <w:rsid w:val="00E75303"/>
    <w:rsid w:val="00E81D0E"/>
    <w:rsid w:val="00E83FA4"/>
    <w:rsid w:val="00E85997"/>
    <w:rsid w:val="00E91D97"/>
    <w:rsid w:val="00E91ECB"/>
    <w:rsid w:val="00E9393B"/>
    <w:rsid w:val="00E95EB0"/>
    <w:rsid w:val="00E96C7A"/>
    <w:rsid w:val="00E97A73"/>
    <w:rsid w:val="00EA014E"/>
    <w:rsid w:val="00EA21A7"/>
    <w:rsid w:val="00EA2C0F"/>
    <w:rsid w:val="00EB1BF1"/>
    <w:rsid w:val="00EB1F1C"/>
    <w:rsid w:val="00EB2E2E"/>
    <w:rsid w:val="00EB3ECA"/>
    <w:rsid w:val="00EB54CD"/>
    <w:rsid w:val="00EB6A7F"/>
    <w:rsid w:val="00EC3A2F"/>
    <w:rsid w:val="00EC5BD1"/>
    <w:rsid w:val="00EC6431"/>
    <w:rsid w:val="00ED0395"/>
    <w:rsid w:val="00ED12BB"/>
    <w:rsid w:val="00ED32EB"/>
    <w:rsid w:val="00ED3A5C"/>
    <w:rsid w:val="00ED7D2E"/>
    <w:rsid w:val="00EE113E"/>
    <w:rsid w:val="00EE2F90"/>
    <w:rsid w:val="00EE4964"/>
    <w:rsid w:val="00EE5FA8"/>
    <w:rsid w:val="00EE6774"/>
    <w:rsid w:val="00EE723F"/>
    <w:rsid w:val="00EF02DE"/>
    <w:rsid w:val="00EF43CA"/>
    <w:rsid w:val="00EF4E69"/>
    <w:rsid w:val="00EF4FE6"/>
    <w:rsid w:val="00F00F79"/>
    <w:rsid w:val="00F02722"/>
    <w:rsid w:val="00F027A6"/>
    <w:rsid w:val="00F02D0B"/>
    <w:rsid w:val="00F02DA5"/>
    <w:rsid w:val="00F046E4"/>
    <w:rsid w:val="00F0622C"/>
    <w:rsid w:val="00F07D6B"/>
    <w:rsid w:val="00F11304"/>
    <w:rsid w:val="00F121FC"/>
    <w:rsid w:val="00F136DA"/>
    <w:rsid w:val="00F15651"/>
    <w:rsid w:val="00F16F3E"/>
    <w:rsid w:val="00F20921"/>
    <w:rsid w:val="00F20A47"/>
    <w:rsid w:val="00F21499"/>
    <w:rsid w:val="00F21EF8"/>
    <w:rsid w:val="00F22107"/>
    <w:rsid w:val="00F2313C"/>
    <w:rsid w:val="00F2565E"/>
    <w:rsid w:val="00F26B87"/>
    <w:rsid w:val="00F27112"/>
    <w:rsid w:val="00F276BE"/>
    <w:rsid w:val="00F27D3D"/>
    <w:rsid w:val="00F30B07"/>
    <w:rsid w:val="00F3230F"/>
    <w:rsid w:val="00F3371B"/>
    <w:rsid w:val="00F33C23"/>
    <w:rsid w:val="00F35626"/>
    <w:rsid w:val="00F37676"/>
    <w:rsid w:val="00F410DC"/>
    <w:rsid w:val="00F431DC"/>
    <w:rsid w:val="00F44509"/>
    <w:rsid w:val="00F45AB8"/>
    <w:rsid w:val="00F47175"/>
    <w:rsid w:val="00F4753D"/>
    <w:rsid w:val="00F47DFE"/>
    <w:rsid w:val="00F534BD"/>
    <w:rsid w:val="00F61AA9"/>
    <w:rsid w:val="00F61F7B"/>
    <w:rsid w:val="00F62CB4"/>
    <w:rsid w:val="00F65132"/>
    <w:rsid w:val="00F67954"/>
    <w:rsid w:val="00F7505A"/>
    <w:rsid w:val="00F77D5D"/>
    <w:rsid w:val="00F81D37"/>
    <w:rsid w:val="00F81DC3"/>
    <w:rsid w:val="00F82FA1"/>
    <w:rsid w:val="00F84460"/>
    <w:rsid w:val="00F84FBE"/>
    <w:rsid w:val="00F8539F"/>
    <w:rsid w:val="00F85611"/>
    <w:rsid w:val="00F86396"/>
    <w:rsid w:val="00F86C92"/>
    <w:rsid w:val="00F87CF0"/>
    <w:rsid w:val="00F87E01"/>
    <w:rsid w:val="00F9004C"/>
    <w:rsid w:val="00F91258"/>
    <w:rsid w:val="00F9292C"/>
    <w:rsid w:val="00F93C48"/>
    <w:rsid w:val="00F93D46"/>
    <w:rsid w:val="00F9402D"/>
    <w:rsid w:val="00F94AD0"/>
    <w:rsid w:val="00F955C6"/>
    <w:rsid w:val="00FA0F9F"/>
    <w:rsid w:val="00FA543C"/>
    <w:rsid w:val="00FA5B5C"/>
    <w:rsid w:val="00FA6C3D"/>
    <w:rsid w:val="00FA7453"/>
    <w:rsid w:val="00FA7D64"/>
    <w:rsid w:val="00FB2ECF"/>
    <w:rsid w:val="00FB5FB6"/>
    <w:rsid w:val="00FB60EC"/>
    <w:rsid w:val="00FC0E3A"/>
    <w:rsid w:val="00FC115B"/>
    <w:rsid w:val="00FC25B2"/>
    <w:rsid w:val="00FC260C"/>
    <w:rsid w:val="00FC462F"/>
    <w:rsid w:val="00FC51B2"/>
    <w:rsid w:val="00FC5B64"/>
    <w:rsid w:val="00FC5D3C"/>
    <w:rsid w:val="00FC5FE8"/>
    <w:rsid w:val="00FC7240"/>
    <w:rsid w:val="00FC764A"/>
    <w:rsid w:val="00FC773F"/>
    <w:rsid w:val="00FC787C"/>
    <w:rsid w:val="00FC7D70"/>
    <w:rsid w:val="00FD4E6B"/>
    <w:rsid w:val="00FD58ED"/>
    <w:rsid w:val="00FD61A3"/>
    <w:rsid w:val="00FD6AA9"/>
    <w:rsid w:val="00FE08DC"/>
    <w:rsid w:val="00FE1595"/>
    <w:rsid w:val="00FE3DAD"/>
    <w:rsid w:val="00FE43C8"/>
    <w:rsid w:val="00FE620F"/>
    <w:rsid w:val="00FE64D6"/>
    <w:rsid w:val="00FE6F3B"/>
    <w:rsid w:val="00FE7541"/>
    <w:rsid w:val="00FE77C3"/>
    <w:rsid w:val="00FF022E"/>
    <w:rsid w:val="00FF556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02C62B"/>
  <w15:docId w15:val="{B2360FC5-5275-4A65-8D14-71829A9A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2048"/>
    <w:pPr>
      <w:spacing w:line="276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3A0C63"/>
    <w:rPr>
      <w:rFonts w:ascii="Arial Bold" w:hAnsi="Arial Bold"/>
      <w:b/>
      <w:bCs/>
      <w:caps w:val="0"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Access Control Procedure</vt:lpstr>
    </vt:vector>
  </TitlesOfParts>
  <Company>Altius IT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Anti-Malwarel Procedure</dc:title>
  <dc:creator>Altius IT</dc:creator>
  <cp:lastModifiedBy>Altius IT</cp:lastModifiedBy>
  <cp:revision>8</cp:revision>
  <cp:lastPrinted>2012-07-23T23:36:00Z</cp:lastPrinted>
  <dcterms:created xsi:type="dcterms:W3CDTF">2020-06-25T20:05:00Z</dcterms:created>
  <dcterms:modified xsi:type="dcterms:W3CDTF">2020-06-25T20:59:00Z</dcterms:modified>
</cp:coreProperties>
</file>