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8C589A" w:rsidP="00B176F3">
      <w:pPr>
        <w:pStyle w:val="Title"/>
        <w:rPr>
          <w:rStyle w:val="Emphasis"/>
          <w:b w:val="0"/>
          <w:i w:val="0"/>
          <w:spacing w:val="0"/>
        </w:rPr>
      </w:pPr>
      <w:r>
        <w:rPr>
          <w:rStyle w:val="Emphasis"/>
          <w:b w:val="0"/>
          <w:i w:val="0"/>
          <w:spacing w:val="0"/>
        </w:rPr>
        <w:t>Compliance</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8C589A" w:rsidP="00595AE0">
      <w:pPr>
        <w:rPr>
          <w:rFonts w:ascii="Arial" w:hAnsi="Arial" w:cs="Arial"/>
        </w:rPr>
      </w:pPr>
      <w:r w:rsidRPr="008C589A">
        <w:rPr>
          <w:rFonts w:ascii="Arial" w:hAnsi="Arial" w:cs="Arial"/>
        </w:rPr>
        <w:t>ABC Company values its relationships with our employees, customers, service providers, regulators, and the business community.  Managing compliance requirements helps us maximize our opportunities in the market, enhances our competitive po</w:t>
      </w:r>
      <w:r>
        <w:rPr>
          <w:rFonts w:ascii="Arial" w:hAnsi="Arial" w:cs="Arial"/>
        </w:rPr>
        <w:t>sition, and helps build trust.</w:t>
      </w:r>
      <w:r w:rsidR="009D49F8">
        <w:rPr>
          <w:rFonts w:ascii="Arial" w:hAnsi="Arial" w:cs="Arial"/>
        </w:rPr>
        <w:t xml:space="preserve"> </w:t>
      </w:r>
    </w:p>
    <w:p w:rsidR="004A7121" w:rsidRPr="00557ACD" w:rsidRDefault="000C66B7" w:rsidP="00557ACD">
      <w:pPr>
        <w:pStyle w:val="Heading1"/>
      </w:pPr>
      <w:r w:rsidRPr="00557ACD">
        <w:t>II. Purpose</w:t>
      </w:r>
    </w:p>
    <w:p w:rsidR="00E665F0" w:rsidRPr="00E665F0" w:rsidRDefault="008C589A" w:rsidP="001C116C">
      <w:pPr>
        <w:rPr>
          <w:rFonts w:ascii="Arial" w:hAnsi="Arial" w:cs="Arial"/>
        </w:rPr>
      </w:pPr>
      <w:r w:rsidRPr="008C589A">
        <w:rPr>
          <w:rFonts w:ascii="Arial" w:hAnsi="Arial" w:cs="Arial"/>
        </w:rPr>
        <w:t>A strong compliance program provides our organization with a competitive advantage, helps protect our image and reputation and reduces costs.  By establishing and maintaining a compliance management framework, we comply with company specific and statutory regulations.</w:t>
      </w:r>
    </w:p>
    <w:p w:rsidR="008101F1" w:rsidRPr="000576EE" w:rsidRDefault="00C06C4E" w:rsidP="00557ACD">
      <w:pPr>
        <w:pStyle w:val="Heading1"/>
      </w:pPr>
      <w:r w:rsidRPr="000576EE">
        <w:t>III. Scope</w:t>
      </w:r>
    </w:p>
    <w:p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sidR="00FE1925">
        <w:rPr>
          <w:rFonts w:ascii="Arial" w:hAnsi="Arial" w:cs="Arial"/>
        </w:rPr>
        <w:t>Staff</w:t>
      </w:r>
      <w:r w:rsidR="00FE1925" w:rsidRPr="00FE1925">
        <w:rPr>
          <w:rFonts w:ascii="Arial" w:hAnsi="Arial" w:cs="Arial"/>
        </w:rPr>
        <w:t xml:space="preserve"> </w:t>
      </w:r>
      <w:r w:rsidR="008C589A">
        <w:rPr>
          <w:rFonts w:ascii="Arial" w:hAnsi="Arial" w:cs="Arial"/>
        </w:rPr>
        <w:t xml:space="preserve">that </w:t>
      </w:r>
      <w:proofErr w:type="gramStart"/>
      <w:r w:rsidR="008C589A">
        <w:rPr>
          <w:rFonts w:ascii="Arial" w:hAnsi="Arial" w:cs="Arial"/>
        </w:rPr>
        <w:t>use</w:t>
      </w:r>
      <w:proofErr w:type="gramEnd"/>
      <w:r w:rsidR="008C589A">
        <w:rPr>
          <w:rFonts w:ascii="Arial" w:hAnsi="Arial" w:cs="Arial"/>
        </w:rPr>
        <w:t xml:space="preserve"> ABC Company</w:t>
      </w:r>
      <w:r w:rsidR="00FE1925" w:rsidRPr="00FE1925">
        <w:rPr>
          <w:rFonts w:ascii="Arial" w:hAnsi="Arial" w:cs="Arial"/>
        </w:rPr>
        <w:t xml:space="preserve"> Information Resources</w:t>
      </w:r>
      <w:r w:rsidR="001C116C" w:rsidRPr="001C116C">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2629B7" w:rsidRPr="002629B7" w:rsidRDefault="002629B7" w:rsidP="002629B7">
      <w:pPr>
        <w:rPr>
          <w:rFonts w:ascii="Arial" w:hAnsi="Arial" w:cs="Arial"/>
        </w:rPr>
      </w:pPr>
      <w:r w:rsidRPr="002629B7">
        <w:rPr>
          <w:rFonts w:ascii="Arial" w:hAnsi="Arial" w:cs="Arial"/>
        </w:rPr>
        <w:t xml:space="preserve">Executive management is responsible for ABC Company compliance with all relevant laws and regulations, compliance processes, and related reporting requirements.  </w:t>
      </w:r>
      <w:r>
        <w:rPr>
          <w:rFonts w:ascii="Arial" w:hAnsi="Arial" w:cs="Arial"/>
        </w:rPr>
        <w:t>Executive m</w:t>
      </w:r>
      <w:r w:rsidRPr="002629B7">
        <w:rPr>
          <w:rFonts w:ascii="Arial" w:hAnsi="Arial" w:cs="Arial"/>
        </w:rPr>
        <w:t xml:space="preserve">anagement must create an environment of individual and collective accountability that includes the importance of meeting compliance obligations.  </w:t>
      </w:r>
      <w:r>
        <w:rPr>
          <w:rFonts w:ascii="Arial" w:hAnsi="Arial" w:cs="Arial"/>
        </w:rPr>
        <w:t>Executive m</w:t>
      </w:r>
      <w:r w:rsidRPr="002629B7">
        <w:rPr>
          <w:rFonts w:ascii="Arial" w:hAnsi="Arial" w:cs="Arial"/>
        </w:rPr>
        <w:t>anagement must provide sufficient resources such as training, budgeting and staffing, to ensure compliance with company specific and statutory regulations.</w:t>
      </w:r>
    </w:p>
    <w:p w:rsidR="002629B7" w:rsidRPr="002629B7" w:rsidRDefault="002629B7" w:rsidP="002629B7">
      <w:pPr>
        <w:rPr>
          <w:rFonts w:ascii="Arial" w:hAnsi="Arial" w:cs="Arial"/>
        </w:rPr>
      </w:pPr>
    </w:p>
    <w:p w:rsidR="002629B7" w:rsidRPr="002629B7" w:rsidRDefault="002629B7" w:rsidP="002629B7">
      <w:pPr>
        <w:rPr>
          <w:rFonts w:ascii="Arial" w:hAnsi="Arial" w:cs="Arial"/>
        </w:rPr>
      </w:pPr>
      <w:r w:rsidRPr="002629B7">
        <w:rPr>
          <w:rFonts w:ascii="Arial" w:hAnsi="Arial" w:cs="Arial"/>
        </w:rPr>
        <w:t>Complying with applicable laws, regulations</w:t>
      </w:r>
      <w:r>
        <w:rPr>
          <w:rFonts w:ascii="Arial" w:hAnsi="Arial" w:cs="Arial"/>
        </w:rPr>
        <w:t>,</w:t>
      </w:r>
      <w:r w:rsidRPr="002629B7">
        <w:rPr>
          <w:rFonts w:ascii="Arial" w:hAnsi="Arial" w:cs="Arial"/>
        </w:rPr>
        <w:t xml:space="preserve"> and standards </w:t>
      </w:r>
      <w:r>
        <w:rPr>
          <w:rFonts w:ascii="Arial" w:hAnsi="Arial" w:cs="Arial"/>
        </w:rPr>
        <w:t>i</w:t>
      </w:r>
      <w:r w:rsidRPr="002629B7">
        <w:rPr>
          <w:rFonts w:ascii="Arial" w:hAnsi="Arial" w:cs="Arial"/>
        </w:rPr>
        <w:t xml:space="preserve">s the responsibility of every </w:t>
      </w:r>
      <w:r>
        <w:rPr>
          <w:rFonts w:ascii="Arial" w:hAnsi="Arial" w:cs="Arial"/>
        </w:rPr>
        <w:t>Staff member</w:t>
      </w:r>
      <w:r w:rsidRPr="002629B7">
        <w:rPr>
          <w:rFonts w:ascii="Arial" w:hAnsi="Arial" w:cs="Arial"/>
        </w:rPr>
        <w:t xml:space="preserve">.  </w:t>
      </w:r>
      <w:r>
        <w:rPr>
          <w:rFonts w:ascii="Arial" w:hAnsi="Arial" w:cs="Arial"/>
        </w:rPr>
        <w:t>The Compliance Department shall</w:t>
      </w:r>
      <w:r w:rsidRPr="002629B7">
        <w:rPr>
          <w:rFonts w:ascii="Arial" w:hAnsi="Arial" w:cs="Arial"/>
        </w:rPr>
        <w:t xml:space="preserve"> identify and communicate minimum compliance requirements for each </w:t>
      </w:r>
      <w:r>
        <w:rPr>
          <w:rFonts w:ascii="Arial" w:hAnsi="Arial" w:cs="Arial"/>
        </w:rPr>
        <w:t>Staff member</w:t>
      </w:r>
      <w:r w:rsidRPr="002629B7">
        <w:rPr>
          <w:rFonts w:ascii="Arial" w:hAnsi="Arial" w:cs="Arial"/>
        </w:rPr>
        <w:t xml:space="preserve"> and their business activities.  </w:t>
      </w:r>
      <w:r>
        <w:rPr>
          <w:rFonts w:ascii="Arial" w:hAnsi="Arial" w:cs="Arial"/>
        </w:rPr>
        <w:t xml:space="preserve">Staff </w:t>
      </w:r>
      <w:r w:rsidRPr="002629B7">
        <w:rPr>
          <w:rFonts w:ascii="Arial" w:hAnsi="Arial" w:cs="Arial"/>
        </w:rPr>
        <w:t>must know, understand, and meet compliance requirements that govern daily business activities.</w:t>
      </w:r>
    </w:p>
    <w:p w:rsidR="002629B7" w:rsidRPr="002629B7" w:rsidRDefault="002629B7" w:rsidP="002629B7">
      <w:pPr>
        <w:rPr>
          <w:rFonts w:ascii="Arial" w:hAnsi="Arial" w:cs="Arial"/>
        </w:rPr>
      </w:pPr>
    </w:p>
    <w:p w:rsidR="002629B7" w:rsidRPr="002629B7" w:rsidRDefault="002629B7" w:rsidP="002629B7">
      <w:pPr>
        <w:rPr>
          <w:rFonts w:ascii="Arial" w:hAnsi="Arial" w:cs="Arial"/>
        </w:rPr>
      </w:pPr>
      <w:r>
        <w:rPr>
          <w:rFonts w:ascii="Arial" w:hAnsi="Arial" w:cs="Arial"/>
        </w:rPr>
        <w:t>The Compliance Department shall:</w:t>
      </w:r>
    </w:p>
    <w:p w:rsidR="002629B7" w:rsidRPr="002629B7" w:rsidRDefault="002629B7" w:rsidP="002629B7">
      <w:pPr>
        <w:numPr>
          <w:ilvl w:val="0"/>
          <w:numId w:val="21"/>
        </w:numPr>
        <w:rPr>
          <w:rFonts w:ascii="Arial" w:hAnsi="Arial" w:cs="Arial"/>
        </w:rPr>
      </w:pPr>
      <w:r w:rsidRPr="002629B7">
        <w:rPr>
          <w:rFonts w:ascii="Arial" w:hAnsi="Arial" w:cs="Arial"/>
        </w:rPr>
        <w:t>Create</w:t>
      </w:r>
      <w:r>
        <w:rPr>
          <w:rFonts w:ascii="Arial" w:hAnsi="Arial" w:cs="Arial"/>
        </w:rPr>
        <w:t>, review,</w:t>
      </w:r>
      <w:r w:rsidRPr="002629B7">
        <w:rPr>
          <w:rFonts w:ascii="Arial" w:hAnsi="Arial" w:cs="Arial"/>
        </w:rPr>
        <w:t xml:space="preserve"> and update policies and procedures.</w:t>
      </w:r>
      <w:bookmarkStart w:id="0" w:name="_GoBack"/>
      <w:bookmarkEnd w:id="0"/>
    </w:p>
    <w:p w:rsidR="002629B7" w:rsidRPr="002629B7" w:rsidRDefault="002629B7" w:rsidP="002629B7">
      <w:pPr>
        <w:numPr>
          <w:ilvl w:val="0"/>
          <w:numId w:val="21"/>
        </w:numPr>
        <w:rPr>
          <w:rFonts w:ascii="Arial" w:hAnsi="Arial" w:cs="Arial"/>
        </w:rPr>
      </w:pPr>
      <w:r w:rsidRPr="002629B7">
        <w:rPr>
          <w:rFonts w:ascii="Arial" w:hAnsi="Arial" w:cs="Arial"/>
        </w:rPr>
        <w:t>Monitor departments to ensure compliance with requirements.</w:t>
      </w:r>
    </w:p>
    <w:p w:rsidR="002629B7" w:rsidRPr="002629B7" w:rsidRDefault="002629B7" w:rsidP="002629B7">
      <w:pPr>
        <w:numPr>
          <w:ilvl w:val="0"/>
          <w:numId w:val="21"/>
        </w:numPr>
        <w:rPr>
          <w:rFonts w:ascii="Arial" w:hAnsi="Arial" w:cs="Arial"/>
        </w:rPr>
      </w:pPr>
      <w:r w:rsidRPr="002629B7">
        <w:rPr>
          <w:rFonts w:ascii="Arial" w:hAnsi="Arial" w:cs="Arial"/>
        </w:rPr>
        <w:t>Keep abreast of regulatory and industry trends to identify new compliance requirements and related changes to ABC Company business processes.</w:t>
      </w:r>
    </w:p>
    <w:p w:rsidR="002629B7" w:rsidRPr="002629B7" w:rsidRDefault="002629B7" w:rsidP="002629B7">
      <w:pPr>
        <w:numPr>
          <w:ilvl w:val="0"/>
          <w:numId w:val="21"/>
        </w:numPr>
        <w:rPr>
          <w:rFonts w:ascii="Arial" w:hAnsi="Arial" w:cs="Arial"/>
        </w:rPr>
      </w:pPr>
      <w:r w:rsidRPr="002629B7">
        <w:rPr>
          <w:rFonts w:ascii="Arial" w:hAnsi="Arial" w:cs="Arial"/>
        </w:rPr>
        <w:t>Track and communicate to executive management issues encountered, lessons learned, and changes required.</w:t>
      </w:r>
    </w:p>
    <w:p w:rsidR="002629B7" w:rsidRPr="002629B7" w:rsidRDefault="002629B7" w:rsidP="002629B7">
      <w:pPr>
        <w:numPr>
          <w:ilvl w:val="0"/>
          <w:numId w:val="21"/>
        </w:numPr>
        <w:rPr>
          <w:rFonts w:ascii="Arial" w:hAnsi="Arial" w:cs="Arial"/>
        </w:rPr>
      </w:pPr>
      <w:r w:rsidRPr="002629B7">
        <w:rPr>
          <w:rFonts w:ascii="Arial" w:hAnsi="Arial" w:cs="Arial"/>
        </w:rPr>
        <w:lastRenderedPageBreak/>
        <w:t>Ensure the on-going evolution of compliance management to ensure relevance and strategic competitive advantage.</w:t>
      </w:r>
    </w:p>
    <w:p w:rsidR="002629B7" w:rsidRPr="002629B7" w:rsidRDefault="002629B7" w:rsidP="002629B7">
      <w:pPr>
        <w:numPr>
          <w:ilvl w:val="0"/>
          <w:numId w:val="21"/>
        </w:numPr>
        <w:rPr>
          <w:rFonts w:ascii="Arial" w:hAnsi="Arial" w:cs="Arial"/>
        </w:rPr>
      </w:pPr>
      <w:r w:rsidRPr="002629B7">
        <w:rPr>
          <w:rFonts w:ascii="Arial" w:hAnsi="Arial" w:cs="Arial"/>
        </w:rPr>
        <w:t>Ensure accurate and timely reporting to executive management.</w:t>
      </w:r>
    </w:p>
    <w:p w:rsidR="002629B7" w:rsidRPr="002629B7" w:rsidRDefault="002629B7" w:rsidP="002629B7">
      <w:pPr>
        <w:rPr>
          <w:rFonts w:ascii="Arial" w:hAnsi="Arial" w:cs="Arial"/>
        </w:rPr>
      </w:pPr>
    </w:p>
    <w:p w:rsidR="002629B7" w:rsidRPr="002629B7" w:rsidRDefault="002629B7" w:rsidP="002629B7">
      <w:pPr>
        <w:rPr>
          <w:rFonts w:ascii="Arial" w:hAnsi="Arial" w:cs="Arial"/>
        </w:rPr>
      </w:pPr>
      <w:r w:rsidRPr="002629B7">
        <w:rPr>
          <w:rFonts w:ascii="Arial" w:hAnsi="Arial" w:cs="Arial"/>
        </w:rPr>
        <w:t xml:space="preserve">When </w:t>
      </w:r>
      <w:r>
        <w:rPr>
          <w:rFonts w:ascii="Arial" w:hAnsi="Arial" w:cs="Arial"/>
        </w:rPr>
        <w:t xml:space="preserve">executive management, legal, or other appropriate Staff </w:t>
      </w:r>
      <w:r w:rsidRPr="002629B7">
        <w:rPr>
          <w:rFonts w:ascii="Arial" w:hAnsi="Arial" w:cs="Arial"/>
        </w:rPr>
        <w:t xml:space="preserve">perceives a compliance issue, </w:t>
      </w:r>
      <w:r>
        <w:rPr>
          <w:rFonts w:ascii="Arial" w:hAnsi="Arial" w:cs="Arial"/>
        </w:rPr>
        <w:t>the Compliance Department</w:t>
      </w:r>
      <w:r w:rsidRPr="002629B7">
        <w:rPr>
          <w:rFonts w:ascii="Arial" w:hAnsi="Arial" w:cs="Arial"/>
        </w:rPr>
        <w:t xml:space="preserve"> shall</w:t>
      </w:r>
      <w:r>
        <w:rPr>
          <w:rFonts w:ascii="Arial" w:hAnsi="Arial" w:cs="Arial"/>
        </w:rPr>
        <w:t xml:space="preserve"> </w:t>
      </w:r>
      <w:r w:rsidRPr="002629B7">
        <w:rPr>
          <w:rFonts w:ascii="Arial" w:hAnsi="Arial" w:cs="Arial"/>
        </w:rPr>
        <w:t>investigate and make recommendations regarding any actions or concerns.</w:t>
      </w:r>
    </w:p>
    <w:p w:rsidR="002629B7" w:rsidRPr="002629B7" w:rsidRDefault="002629B7" w:rsidP="002629B7">
      <w:pPr>
        <w:rPr>
          <w:rFonts w:ascii="Arial" w:hAnsi="Arial" w:cs="Arial"/>
        </w:rPr>
      </w:pPr>
    </w:p>
    <w:p w:rsidR="002629B7" w:rsidRPr="002629B7" w:rsidRDefault="002629B7" w:rsidP="002629B7">
      <w:pPr>
        <w:rPr>
          <w:rFonts w:ascii="Arial" w:hAnsi="Arial" w:cs="Arial"/>
        </w:rPr>
      </w:pPr>
      <w:r w:rsidRPr="002629B7">
        <w:rPr>
          <w:rFonts w:ascii="Arial" w:hAnsi="Arial" w:cs="Arial"/>
        </w:rPr>
        <w:t xml:space="preserve">ABC Company’s </w:t>
      </w:r>
      <w:r>
        <w:rPr>
          <w:rFonts w:ascii="Arial" w:hAnsi="Arial" w:cs="Arial"/>
        </w:rPr>
        <w:t xml:space="preserve">executive </w:t>
      </w:r>
      <w:r w:rsidRPr="002629B7">
        <w:rPr>
          <w:rFonts w:ascii="Arial" w:hAnsi="Arial" w:cs="Arial"/>
        </w:rPr>
        <w:t xml:space="preserve">management, compliance, </w:t>
      </w:r>
      <w:r>
        <w:rPr>
          <w:rFonts w:ascii="Arial" w:hAnsi="Arial" w:cs="Arial"/>
        </w:rPr>
        <w:t xml:space="preserve">legal, </w:t>
      </w:r>
      <w:r w:rsidRPr="002629B7">
        <w:rPr>
          <w:rFonts w:ascii="Arial" w:hAnsi="Arial" w:cs="Arial"/>
        </w:rPr>
        <w:t>and audit functions are actively involved in managing compliance related risks:</w:t>
      </w:r>
    </w:p>
    <w:p w:rsidR="002629B7" w:rsidRPr="002629B7" w:rsidRDefault="002629B7" w:rsidP="002629B7">
      <w:pPr>
        <w:numPr>
          <w:ilvl w:val="0"/>
          <w:numId w:val="23"/>
        </w:numPr>
        <w:rPr>
          <w:rFonts w:ascii="Arial" w:hAnsi="Arial" w:cs="Arial"/>
        </w:rPr>
      </w:pPr>
      <w:r w:rsidRPr="002629B7">
        <w:rPr>
          <w:rFonts w:ascii="Arial" w:hAnsi="Arial" w:cs="Arial"/>
        </w:rPr>
        <w:t xml:space="preserve">Management - develops and implements mitigation activities, including monitoring and reporting, for managing compliance in business activities. </w:t>
      </w:r>
    </w:p>
    <w:p w:rsidR="002629B7" w:rsidRPr="002629B7" w:rsidRDefault="002629B7" w:rsidP="002629B7">
      <w:pPr>
        <w:numPr>
          <w:ilvl w:val="0"/>
          <w:numId w:val="23"/>
        </w:numPr>
        <w:rPr>
          <w:rFonts w:ascii="Arial" w:hAnsi="Arial" w:cs="Arial"/>
        </w:rPr>
      </w:pPr>
      <w:r w:rsidRPr="002629B7">
        <w:rPr>
          <w:rFonts w:ascii="Arial" w:hAnsi="Arial" w:cs="Arial"/>
        </w:rPr>
        <w:t>Compliance – the Compliance and Legal Departments monitor related laws, regulations, and standards.  The Legal Department translates the laws into compliance obligations and assists in identifying compliance requirements.</w:t>
      </w:r>
    </w:p>
    <w:p w:rsidR="002629B7" w:rsidRPr="002629B7" w:rsidRDefault="002629B7" w:rsidP="002629B7">
      <w:pPr>
        <w:numPr>
          <w:ilvl w:val="0"/>
          <w:numId w:val="23"/>
        </w:numPr>
        <w:rPr>
          <w:rFonts w:ascii="Arial" w:hAnsi="Arial" w:cs="Arial"/>
        </w:rPr>
      </w:pPr>
      <w:r w:rsidRPr="002629B7">
        <w:rPr>
          <w:rFonts w:ascii="Arial" w:hAnsi="Arial" w:cs="Arial"/>
        </w:rPr>
        <w:t xml:space="preserve">Audit – the audit department provides </w:t>
      </w:r>
      <w:r w:rsidR="00441BCB">
        <w:rPr>
          <w:rFonts w:ascii="Arial" w:hAnsi="Arial" w:cs="Arial"/>
        </w:rPr>
        <w:t>m</w:t>
      </w:r>
      <w:r w:rsidRPr="002629B7">
        <w:rPr>
          <w:rFonts w:ascii="Arial" w:hAnsi="Arial" w:cs="Arial"/>
        </w:rPr>
        <w:t>anagement with independent, objective assurance on the overall effectiveness of the design and operation of internal controls and activities.</w:t>
      </w:r>
    </w:p>
    <w:p w:rsidR="002629B7" w:rsidRPr="002629B7" w:rsidRDefault="002629B7" w:rsidP="002629B7">
      <w:pPr>
        <w:rPr>
          <w:rFonts w:ascii="Arial" w:hAnsi="Arial" w:cs="Arial"/>
        </w:rPr>
      </w:pPr>
    </w:p>
    <w:p w:rsidR="002629B7" w:rsidRPr="002629B7" w:rsidRDefault="002629B7" w:rsidP="002629B7">
      <w:pPr>
        <w:rPr>
          <w:rFonts w:ascii="Arial" w:hAnsi="Arial" w:cs="Arial"/>
        </w:rPr>
      </w:pPr>
      <w:r w:rsidRPr="002629B7">
        <w:rPr>
          <w:rFonts w:ascii="Arial" w:hAnsi="Arial" w:cs="Arial"/>
        </w:rPr>
        <w:t>The Chief Security Officer shall ensure:</w:t>
      </w:r>
    </w:p>
    <w:p w:rsidR="002629B7" w:rsidRPr="002629B7" w:rsidRDefault="002629B7" w:rsidP="00441BCB">
      <w:pPr>
        <w:numPr>
          <w:ilvl w:val="0"/>
          <w:numId w:val="25"/>
        </w:numPr>
        <w:rPr>
          <w:rFonts w:ascii="Arial" w:hAnsi="Arial" w:cs="Arial"/>
        </w:rPr>
      </w:pPr>
      <w:r w:rsidRPr="002629B7">
        <w:rPr>
          <w:rFonts w:ascii="Arial" w:hAnsi="Arial" w:cs="Arial"/>
        </w:rPr>
        <w:t>The organization has established a plan for outside, independent</w:t>
      </w:r>
      <w:r w:rsidR="00441BCB">
        <w:rPr>
          <w:rFonts w:ascii="Arial" w:hAnsi="Arial" w:cs="Arial"/>
        </w:rPr>
        <w:t>,</w:t>
      </w:r>
      <w:r w:rsidRPr="002629B7">
        <w:rPr>
          <w:rFonts w:ascii="Arial" w:hAnsi="Arial" w:cs="Arial"/>
        </w:rPr>
        <w:t xml:space="preserve"> periodic technical and non-technical evaluation of IT systems.</w:t>
      </w:r>
    </w:p>
    <w:p w:rsidR="002629B7" w:rsidRPr="002629B7" w:rsidRDefault="002629B7" w:rsidP="00441BCB">
      <w:pPr>
        <w:numPr>
          <w:ilvl w:val="0"/>
          <w:numId w:val="25"/>
        </w:numPr>
        <w:rPr>
          <w:rFonts w:ascii="Arial" w:hAnsi="Arial" w:cs="Arial"/>
        </w:rPr>
      </w:pPr>
      <w:r w:rsidRPr="002629B7">
        <w:rPr>
          <w:rFonts w:ascii="Arial" w:hAnsi="Arial" w:cs="Arial"/>
        </w:rPr>
        <w:t>No less than annually, IT systems shall be reviewed by an outside, independent organization to ensure ABC Company maintains reasonable and appropriate security measures.  Such review shall include a review of internal and external systems, people, and processes.</w:t>
      </w:r>
    </w:p>
    <w:p w:rsidR="00FE1925" w:rsidRPr="00FE1925" w:rsidRDefault="002629B7" w:rsidP="00441BCB">
      <w:pPr>
        <w:numPr>
          <w:ilvl w:val="0"/>
          <w:numId w:val="25"/>
        </w:numPr>
        <w:rPr>
          <w:rFonts w:ascii="Arial" w:hAnsi="Arial" w:cs="Arial"/>
        </w:rPr>
      </w:pPr>
      <w:r w:rsidRPr="002629B7">
        <w:rPr>
          <w:rFonts w:ascii="Arial" w:hAnsi="Arial" w:cs="Arial"/>
        </w:rPr>
        <w:t>Evaluation reports, analysis, recommendations, and subsequent changes are fully documented.</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441BCB" w:rsidRPr="00441BCB">
        <w:rPr>
          <w:rFonts w:ascii="Arial" w:hAnsi="Arial" w:cs="Arial"/>
        </w:rPr>
        <w:t xml:space="preserve">company management, the Compliance Department, </w:t>
      </w:r>
      <w:r w:rsidR="00441BCB">
        <w:rPr>
          <w:rFonts w:ascii="Arial" w:hAnsi="Arial" w:cs="Arial"/>
        </w:rPr>
        <w:t xml:space="preserve">the Legal Department, CSO, and </w:t>
      </w:r>
      <w:r w:rsidR="00441BCB" w:rsidRPr="00441BCB">
        <w:rPr>
          <w:rFonts w:ascii="Arial" w:hAnsi="Arial" w:cs="Arial"/>
        </w:rPr>
        <w:t>the Audit Department.</w:t>
      </w:r>
    </w:p>
    <w:p w:rsidR="00122AD1" w:rsidRDefault="00122AD1" w:rsidP="003F0EC4">
      <w:pPr>
        <w:rPr>
          <w:rFonts w:ascii="Arial" w:hAnsi="Arial" w:cs="Arial"/>
        </w:rPr>
      </w:pP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C21465" w:rsidRDefault="00C21465" w:rsidP="00014F47">
      <w:pPr>
        <w:rPr>
          <w:rFonts w:ascii="Arial" w:hAnsi="Arial" w:cs="Arial"/>
        </w:rPr>
      </w:pPr>
    </w:p>
    <w:p w:rsidR="00C21465" w:rsidRPr="00C21465" w:rsidRDefault="00C21465" w:rsidP="00C21465">
      <w:pPr>
        <w:rPr>
          <w:rFonts w:ascii="Arial" w:hAnsi="Arial" w:cs="Arial"/>
          <w:b/>
        </w:rPr>
      </w:pPr>
      <w:r w:rsidRPr="00C21465">
        <w:rPr>
          <w:rFonts w:ascii="Arial" w:hAnsi="Arial" w:cs="Arial"/>
          <w:b/>
        </w:rPr>
        <w:t>References:</w:t>
      </w:r>
    </w:p>
    <w:p w:rsidR="00947199" w:rsidRDefault="00947199" w:rsidP="00947199">
      <w:pPr>
        <w:jc w:val="left"/>
        <w:rPr>
          <w:rFonts w:ascii="Arial" w:hAnsi="Arial" w:cs="Arial"/>
        </w:rPr>
      </w:pPr>
      <w:r>
        <w:rPr>
          <w:rFonts w:ascii="Arial" w:hAnsi="Arial" w:cs="Arial"/>
        </w:rPr>
        <w:t xml:space="preserve">COBIT </w:t>
      </w:r>
      <w:r w:rsidR="00E03820">
        <w:rPr>
          <w:rFonts w:ascii="Arial" w:hAnsi="Arial" w:cs="Arial"/>
        </w:rPr>
        <w:t>EDM01.01, EDM03.02, APO01.03, APO01.11, MEA02.11, MEA03.01, MEA04.11</w:t>
      </w:r>
    </w:p>
    <w:p w:rsidR="00C21465" w:rsidRPr="00C21465" w:rsidRDefault="00C21465" w:rsidP="00C21465">
      <w:pPr>
        <w:rPr>
          <w:rFonts w:ascii="Arial" w:hAnsi="Arial" w:cs="Arial"/>
        </w:rPr>
      </w:pPr>
      <w:r w:rsidRPr="00C21465">
        <w:rPr>
          <w:rFonts w:ascii="Arial" w:hAnsi="Arial" w:cs="Arial"/>
        </w:rPr>
        <w:t xml:space="preserve">GDPR Article </w:t>
      </w:r>
      <w:r>
        <w:rPr>
          <w:rFonts w:ascii="Arial" w:hAnsi="Arial" w:cs="Arial"/>
        </w:rPr>
        <w:t>25, 30, 32</w:t>
      </w:r>
    </w:p>
    <w:p w:rsidR="00C21465" w:rsidRPr="00C21465" w:rsidRDefault="00C21465" w:rsidP="00C21465">
      <w:pPr>
        <w:rPr>
          <w:rFonts w:ascii="Arial" w:hAnsi="Arial" w:cs="Arial"/>
        </w:rPr>
      </w:pPr>
      <w:r w:rsidRPr="00C21465">
        <w:rPr>
          <w:rFonts w:ascii="Arial" w:hAnsi="Arial" w:cs="Arial"/>
        </w:rPr>
        <w:t>HIPAA 164.308(a</w:t>
      </w:r>
      <w:proofErr w:type="gramStart"/>
      <w:r w:rsidRPr="00C21465">
        <w:rPr>
          <w:rFonts w:ascii="Arial" w:hAnsi="Arial" w:cs="Arial"/>
        </w:rPr>
        <w:t>)(</w:t>
      </w:r>
      <w:proofErr w:type="gramEnd"/>
      <w:r w:rsidRPr="00C21465">
        <w:rPr>
          <w:rFonts w:ascii="Arial" w:hAnsi="Arial" w:cs="Arial"/>
        </w:rPr>
        <w:t>2), 164.308(a)(8)</w:t>
      </w:r>
    </w:p>
    <w:p w:rsidR="00C21465" w:rsidRPr="00C21465" w:rsidRDefault="00F4486B" w:rsidP="00C21465">
      <w:pPr>
        <w:rPr>
          <w:rFonts w:ascii="Arial" w:hAnsi="Arial" w:cs="Arial"/>
        </w:rPr>
      </w:pPr>
      <w:proofErr w:type="gramStart"/>
      <w:r>
        <w:rPr>
          <w:rFonts w:ascii="Arial" w:hAnsi="Arial" w:cs="Arial"/>
        </w:rPr>
        <w:t>ISO 27001</w:t>
      </w:r>
      <w:r w:rsidR="00C21465">
        <w:rPr>
          <w:rFonts w:ascii="Arial" w:hAnsi="Arial" w:cs="Arial"/>
        </w:rPr>
        <w:t xml:space="preserve"> A.18</w:t>
      </w:r>
      <w:proofErr w:type="gramEnd"/>
    </w:p>
    <w:p w:rsidR="00C21465" w:rsidRPr="00C21465" w:rsidRDefault="009B72BB" w:rsidP="00C21465">
      <w:pPr>
        <w:rPr>
          <w:rFonts w:ascii="Arial" w:hAnsi="Arial" w:cs="Arial"/>
        </w:rPr>
      </w:pPr>
      <w:r>
        <w:rPr>
          <w:rFonts w:ascii="Arial" w:hAnsi="Arial" w:cs="Arial"/>
        </w:rPr>
        <w:t>NIST SP 800-37</w:t>
      </w:r>
      <w:r w:rsidR="00C21465" w:rsidRPr="00C21465">
        <w:rPr>
          <w:rFonts w:ascii="Arial" w:hAnsi="Arial" w:cs="Arial"/>
        </w:rPr>
        <w:t xml:space="preserve"> </w:t>
      </w:r>
      <w:r w:rsidR="00C21465">
        <w:rPr>
          <w:rFonts w:ascii="Arial" w:hAnsi="Arial" w:cs="Arial"/>
        </w:rPr>
        <w:t>3.5</w:t>
      </w:r>
    </w:p>
    <w:p w:rsidR="00C21465" w:rsidRPr="00C21465" w:rsidRDefault="00C21465" w:rsidP="00C21465">
      <w:pPr>
        <w:rPr>
          <w:rFonts w:ascii="Arial" w:hAnsi="Arial" w:cs="Arial"/>
        </w:rPr>
      </w:pPr>
      <w:r w:rsidRPr="00C21465">
        <w:rPr>
          <w:rFonts w:ascii="Arial" w:hAnsi="Arial" w:cs="Arial"/>
        </w:rPr>
        <w:t>NIST SP 800-</w:t>
      </w:r>
      <w:proofErr w:type="gramStart"/>
      <w:r w:rsidRPr="00C21465">
        <w:rPr>
          <w:rFonts w:ascii="Arial" w:hAnsi="Arial" w:cs="Arial"/>
        </w:rPr>
        <w:t>53  All</w:t>
      </w:r>
      <w:proofErr w:type="gramEnd"/>
      <w:r w:rsidRPr="00C21465">
        <w:rPr>
          <w:rFonts w:ascii="Arial" w:hAnsi="Arial" w:cs="Arial"/>
        </w:rPr>
        <w:t xml:space="preserve"> XX-1 controls (e.g. AC-1)</w:t>
      </w:r>
    </w:p>
    <w:p w:rsidR="00C21465" w:rsidRPr="00C21465" w:rsidRDefault="00C21465" w:rsidP="00C21465">
      <w:pPr>
        <w:rPr>
          <w:rFonts w:ascii="Arial" w:hAnsi="Arial" w:cs="Arial"/>
        </w:rPr>
      </w:pPr>
      <w:r w:rsidRPr="00C21465">
        <w:rPr>
          <w:rFonts w:ascii="Arial" w:hAnsi="Arial" w:cs="Arial"/>
        </w:rPr>
        <w:t xml:space="preserve">NIST Cybersecurity Framework </w:t>
      </w:r>
      <w:r w:rsidR="006E0821" w:rsidRPr="006E0821">
        <w:rPr>
          <w:rFonts w:ascii="Arial" w:hAnsi="Arial" w:cs="Arial"/>
        </w:rPr>
        <w:t>ID.GV-3</w:t>
      </w:r>
      <w:r w:rsidR="00B143E9">
        <w:rPr>
          <w:rFonts w:ascii="Arial" w:hAnsi="Arial" w:cs="Arial"/>
        </w:rPr>
        <w:t xml:space="preserve">, </w:t>
      </w:r>
      <w:r w:rsidR="00B143E9" w:rsidRPr="00B143E9">
        <w:rPr>
          <w:rFonts w:ascii="Arial" w:hAnsi="Arial" w:cs="Arial"/>
        </w:rPr>
        <w:t>ID.SC-4</w:t>
      </w:r>
      <w:r w:rsidR="00B143E9">
        <w:rPr>
          <w:rFonts w:ascii="Arial" w:hAnsi="Arial" w:cs="Arial"/>
        </w:rPr>
        <w:t xml:space="preserve">, </w:t>
      </w:r>
      <w:r w:rsidR="00B143E9" w:rsidRPr="00B143E9">
        <w:rPr>
          <w:rFonts w:ascii="Arial" w:hAnsi="Arial" w:cs="Arial"/>
        </w:rPr>
        <w:t>PR.PT-1</w:t>
      </w:r>
      <w:r w:rsidR="00B143E9">
        <w:rPr>
          <w:rFonts w:ascii="Arial" w:hAnsi="Arial" w:cs="Arial"/>
        </w:rPr>
        <w:t xml:space="preserve">, </w:t>
      </w:r>
      <w:r w:rsidR="00B143E9" w:rsidRPr="00B143E9">
        <w:rPr>
          <w:rFonts w:ascii="Arial" w:hAnsi="Arial" w:cs="Arial"/>
        </w:rPr>
        <w:t>DE.DP-2</w:t>
      </w:r>
    </w:p>
    <w:p w:rsidR="00C21465" w:rsidRPr="000576EE" w:rsidRDefault="00C21465" w:rsidP="00C21465">
      <w:pPr>
        <w:rPr>
          <w:rFonts w:ascii="Arial" w:hAnsi="Arial" w:cs="Arial"/>
        </w:rPr>
      </w:pPr>
      <w:proofErr w:type="gramStart"/>
      <w:r w:rsidRPr="00C21465">
        <w:rPr>
          <w:rFonts w:ascii="Arial" w:hAnsi="Arial" w:cs="Arial"/>
        </w:rPr>
        <w:t xml:space="preserve">PCI </w:t>
      </w:r>
      <w:r w:rsidR="006E0821" w:rsidRPr="006E0821">
        <w:t xml:space="preserve"> </w:t>
      </w:r>
      <w:r w:rsidR="006E0821" w:rsidRPr="006E0821">
        <w:rPr>
          <w:rFonts w:ascii="Arial" w:hAnsi="Arial" w:cs="Arial"/>
        </w:rPr>
        <w:t>11.2</w:t>
      </w:r>
      <w:proofErr w:type="gramEnd"/>
      <w:r w:rsidR="006E0821" w:rsidRPr="006E0821">
        <w:rPr>
          <w:rFonts w:ascii="Arial" w:hAnsi="Arial" w:cs="Arial"/>
        </w:rPr>
        <w:t>, 12.4.1, 12.8.4</w:t>
      </w:r>
    </w:p>
    <w:sectPr w:rsidR="00C21465"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197" w:rsidRDefault="004B7197">
      <w:r>
        <w:separator/>
      </w:r>
    </w:p>
  </w:endnote>
  <w:endnote w:type="continuationSeparator" w:id="0">
    <w:p w:rsidR="004B7197" w:rsidRDefault="004B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B143E9">
      <w:rPr>
        <w:noProof/>
      </w:rPr>
      <w:t>3</w:t>
    </w:r>
    <w:r>
      <w:fldChar w:fldCharType="end"/>
    </w:r>
    <w:r>
      <w:t xml:space="preserve"> of </w:t>
    </w:r>
    <w:fldSimple w:instr=" NUMPAGES ">
      <w:r w:rsidR="00B143E9">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BB" w:rsidRDefault="009B7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197" w:rsidRDefault="004B7197">
      <w:r>
        <w:separator/>
      </w:r>
    </w:p>
  </w:footnote>
  <w:footnote w:type="continuationSeparator" w:id="0">
    <w:p w:rsidR="004B7197" w:rsidRDefault="004B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BB" w:rsidRDefault="009B72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92278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BB" w:rsidRDefault="009B7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85169"/>
    <w:multiLevelType w:val="hybridMultilevel"/>
    <w:tmpl w:val="C7DCCB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9124B"/>
    <w:multiLevelType w:val="hybridMultilevel"/>
    <w:tmpl w:val="1B7EF6D8"/>
    <w:lvl w:ilvl="0" w:tplc="A62A379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F3082"/>
    <w:multiLevelType w:val="hybridMultilevel"/>
    <w:tmpl w:val="F72CD9A2"/>
    <w:lvl w:ilvl="0" w:tplc="927651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616DA"/>
    <w:multiLevelType w:val="hybridMultilevel"/>
    <w:tmpl w:val="A24607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8F3968"/>
    <w:multiLevelType w:val="hybridMultilevel"/>
    <w:tmpl w:val="08E80A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45F3C"/>
    <w:multiLevelType w:val="hybridMultilevel"/>
    <w:tmpl w:val="7C8A3650"/>
    <w:lvl w:ilvl="0" w:tplc="C79AE7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1"/>
  </w:num>
  <w:num w:numId="5">
    <w:abstractNumId w:val="9"/>
  </w:num>
  <w:num w:numId="6">
    <w:abstractNumId w:val="16"/>
  </w:num>
  <w:num w:numId="7">
    <w:abstractNumId w:val="24"/>
  </w:num>
  <w:num w:numId="8">
    <w:abstractNumId w:val="4"/>
  </w:num>
  <w:num w:numId="9">
    <w:abstractNumId w:val="13"/>
  </w:num>
  <w:num w:numId="10">
    <w:abstractNumId w:val="12"/>
  </w:num>
  <w:num w:numId="11">
    <w:abstractNumId w:val="7"/>
  </w:num>
  <w:num w:numId="12">
    <w:abstractNumId w:val="21"/>
  </w:num>
  <w:num w:numId="13">
    <w:abstractNumId w:val="20"/>
  </w:num>
  <w:num w:numId="14">
    <w:abstractNumId w:val="10"/>
  </w:num>
  <w:num w:numId="15">
    <w:abstractNumId w:val="14"/>
  </w:num>
  <w:num w:numId="16">
    <w:abstractNumId w:val="18"/>
  </w:num>
  <w:num w:numId="17">
    <w:abstractNumId w:val="2"/>
  </w:num>
  <w:num w:numId="18">
    <w:abstractNumId w:val="6"/>
  </w:num>
  <w:num w:numId="19">
    <w:abstractNumId w:val="22"/>
  </w:num>
  <w:num w:numId="20">
    <w:abstractNumId w:val="3"/>
  </w:num>
  <w:num w:numId="21">
    <w:abstractNumId w:val="23"/>
  </w:num>
  <w:num w:numId="22">
    <w:abstractNumId w:val="17"/>
  </w:num>
  <w:num w:numId="23">
    <w:abstractNumId w:val="19"/>
  </w:num>
  <w:num w:numId="24">
    <w:abstractNumId w:val="15"/>
  </w:num>
  <w:num w:numId="25">
    <w:abstractNumId w:val="5"/>
  </w:num>
  <w:num w:numId="2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5D0"/>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197"/>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877"/>
    <w:rsid w:val="00582D30"/>
    <w:rsid w:val="0058762A"/>
    <w:rsid w:val="00590D71"/>
    <w:rsid w:val="005925C8"/>
    <w:rsid w:val="00595AE0"/>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0237"/>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0821"/>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2787"/>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47199"/>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B72BB"/>
    <w:rsid w:val="009C225C"/>
    <w:rsid w:val="009C30DD"/>
    <w:rsid w:val="009C4657"/>
    <w:rsid w:val="009C69D0"/>
    <w:rsid w:val="009D0199"/>
    <w:rsid w:val="009D12E6"/>
    <w:rsid w:val="009D2B91"/>
    <w:rsid w:val="009D2E5D"/>
    <w:rsid w:val="009D49F8"/>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4B94"/>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43E9"/>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1465"/>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6939"/>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3820"/>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486B"/>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Compliance Policy</vt:lpstr>
    </vt:vector>
  </TitlesOfParts>
  <Company>Altius IT</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 Policy</dc:title>
  <dc:creator>Altius IT</dc:creator>
  <cp:lastModifiedBy>Altius IT</cp:lastModifiedBy>
  <cp:revision>3</cp:revision>
  <cp:lastPrinted>2012-07-23T23:36:00Z</cp:lastPrinted>
  <dcterms:created xsi:type="dcterms:W3CDTF">2019-04-03T16:48:00Z</dcterms:created>
  <dcterms:modified xsi:type="dcterms:W3CDTF">2019-04-05T16:16:00Z</dcterms:modified>
</cp:coreProperties>
</file>