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42F0" w14:textId="77777777" w:rsidR="001C2E4E" w:rsidRPr="007A4F0E" w:rsidRDefault="000A1654" w:rsidP="001C2E4E">
      <w:pPr>
        <w:pStyle w:val="Title"/>
        <w:rPr>
          <w:rStyle w:val="Emphasis"/>
          <w:rFonts w:asciiTheme="minorHAnsi" w:hAnsiTheme="minorHAnsi" w:cstheme="minorHAnsi"/>
          <w:b w:val="0"/>
          <w:i w:val="0"/>
          <w:spacing w:val="0"/>
        </w:rPr>
      </w:pPr>
      <w:r w:rsidRPr="007A4F0E">
        <w:rPr>
          <w:rStyle w:val="Emphasis"/>
          <w:rFonts w:asciiTheme="minorHAnsi" w:hAnsiTheme="minorHAnsi" w:cstheme="minorHAnsi"/>
          <w:b w:val="0"/>
          <w:i w:val="0"/>
          <w:spacing w:val="0"/>
        </w:rPr>
        <w:t>Server</w:t>
      </w:r>
      <w:r w:rsidR="00D550B1" w:rsidRPr="007A4F0E">
        <w:rPr>
          <w:rStyle w:val="Emphasis"/>
          <w:rFonts w:asciiTheme="minorHAnsi" w:hAnsiTheme="minorHAnsi" w:cstheme="minorHAnsi"/>
          <w:b w:val="0"/>
          <w:i w:val="0"/>
          <w:spacing w:val="0"/>
        </w:rPr>
        <w:t xml:space="preserve"> Hardening Procedure</w:t>
      </w:r>
    </w:p>
    <w:p w14:paraId="5F39AA95" w14:textId="77777777" w:rsidR="001C2E4E" w:rsidRPr="000576EE" w:rsidRDefault="001C2E4E" w:rsidP="001C2E4E">
      <w:pPr>
        <w:jc w:val="center"/>
        <w:rPr>
          <w:rFonts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1C2E4E" w:rsidRPr="009F2F01" w14:paraId="6F9D02F0" w14:textId="77777777" w:rsidTr="00C257FB">
        <w:tc>
          <w:tcPr>
            <w:tcW w:w="1998" w:type="dxa"/>
            <w:shd w:val="clear" w:color="auto" w:fill="C0C0C0"/>
          </w:tcPr>
          <w:p w14:paraId="4251F537" w14:textId="77777777" w:rsidR="001C2E4E" w:rsidRPr="009F2F01" w:rsidRDefault="001C2E4E" w:rsidP="00C257FB">
            <w:pPr>
              <w:rPr>
                <w:rFonts w:cs="Arial"/>
              </w:rPr>
            </w:pPr>
            <w:r w:rsidRPr="009F2F01">
              <w:rPr>
                <w:rFonts w:cs="Arial"/>
              </w:rPr>
              <w:t>Policy Area</w:t>
            </w:r>
          </w:p>
        </w:tc>
        <w:tc>
          <w:tcPr>
            <w:tcW w:w="6858" w:type="dxa"/>
            <w:shd w:val="clear" w:color="auto" w:fill="auto"/>
          </w:tcPr>
          <w:p w14:paraId="5D3905B6" w14:textId="77777777" w:rsidR="001C2E4E" w:rsidRPr="009F2F01" w:rsidRDefault="001C2E4E" w:rsidP="00C257FB">
            <w:pPr>
              <w:rPr>
                <w:rFonts w:cs="Arial"/>
              </w:rPr>
            </w:pPr>
            <w:r w:rsidRPr="009F2F01">
              <w:rPr>
                <w:rFonts w:cs="Arial"/>
              </w:rPr>
              <w:t>IT Policy Library</w:t>
            </w:r>
          </w:p>
        </w:tc>
      </w:tr>
      <w:tr w:rsidR="001C2E4E" w:rsidRPr="009F2F01" w14:paraId="4DFD48DD" w14:textId="77777777" w:rsidTr="00C257FB">
        <w:tc>
          <w:tcPr>
            <w:tcW w:w="1998" w:type="dxa"/>
            <w:shd w:val="clear" w:color="auto" w:fill="C0C0C0"/>
          </w:tcPr>
          <w:p w14:paraId="758699A2" w14:textId="77777777" w:rsidR="001C2E4E" w:rsidRPr="009F2F01" w:rsidRDefault="001C2E4E" w:rsidP="00C257FB">
            <w:pPr>
              <w:rPr>
                <w:rFonts w:cs="Arial"/>
              </w:rPr>
            </w:pPr>
            <w:r w:rsidRPr="009F2F01">
              <w:rPr>
                <w:rFonts w:cs="Arial"/>
              </w:rPr>
              <w:t>Approved Date</w:t>
            </w:r>
          </w:p>
        </w:tc>
        <w:tc>
          <w:tcPr>
            <w:tcW w:w="6858" w:type="dxa"/>
            <w:shd w:val="clear" w:color="auto" w:fill="auto"/>
          </w:tcPr>
          <w:p w14:paraId="47C0E425" w14:textId="77777777" w:rsidR="001C2E4E" w:rsidRPr="009F2F01" w:rsidRDefault="001C2E4E" w:rsidP="00C257FB">
            <w:pPr>
              <w:rPr>
                <w:rFonts w:cs="Arial"/>
              </w:rPr>
            </w:pPr>
            <w:r w:rsidRPr="009F2F01">
              <w:rPr>
                <w:rFonts w:cs="Arial"/>
              </w:rPr>
              <w:t>December 31, 20XX</w:t>
            </w:r>
          </w:p>
        </w:tc>
      </w:tr>
      <w:tr w:rsidR="001C2E4E" w:rsidRPr="009F2F01" w14:paraId="7538C42E" w14:textId="77777777" w:rsidTr="00C257FB">
        <w:tc>
          <w:tcPr>
            <w:tcW w:w="1998" w:type="dxa"/>
            <w:shd w:val="clear" w:color="auto" w:fill="C0C0C0"/>
          </w:tcPr>
          <w:p w14:paraId="08E135EF" w14:textId="77777777" w:rsidR="001C2E4E" w:rsidRPr="009F2F01" w:rsidRDefault="001C2E4E" w:rsidP="00C257FB">
            <w:pPr>
              <w:rPr>
                <w:rFonts w:cs="Arial"/>
              </w:rPr>
            </w:pPr>
            <w:r w:rsidRPr="009F2F01">
              <w:rPr>
                <w:rFonts w:cs="Arial"/>
              </w:rPr>
              <w:t>Approved By</w:t>
            </w:r>
          </w:p>
        </w:tc>
        <w:tc>
          <w:tcPr>
            <w:tcW w:w="6858" w:type="dxa"/>
            <w:shd w:val="clear" w:color="auto" w:fill="auto"/>
          </w:tcPr>
          <w:p w14:paraId="42DEB7AA" w14:textId="77777777" w:rsidR="001C2E4E" w:rsidRPr="009F2F01" w:rsidRDefault="001C2E4E" w:rsidP="00C257FB">
            <w:pPr>
              <w:rPr>
                <w:rFonts w:cs="Arial"/>
              </w:rPr>
            </w:pPr>
            <w:r w:rsidRPr="009F2F01">
              <w:rPr>
                <w:rFonts w:cs="Arial"/>
              </w:rPr>
              <w:t xml:space="preserve">Policy Committee </w:t>
            </w:r>
          </w:p>
        </w:tc>
      </w:tr>
      <w:tr w:rsidR="001C2E4E" w:rsidRPr="009F2F01" w14:paraId="2B5F2047" w14:textId="77777777" w:rsidTr="00C257FB">
        <w:tc>
          <w:tcPr>
            <w:tcW w:w="1998" w:type="dxa"/>
            <w:shd w:val="clear" w:color="auto" w:fill="C0C0C0"/>
          </w:tcPr>
          <w:p w14:paraId="1DCB073C" w14:textId="77777777" w:rsidR="001C2E4E" w:rsidRPr="009F2F01" w:rsidRDefault="001C2E4E" w:rsidP="00C257FB">
            <w:pPr>
              <w:rPr>
                <w:rFonts w:cs="Arial"/>
              </w:rPr>
            </w:pPr>
            <w:r w:rsidRPr="009F2F01">
              <w:rPr>
                <w:rFonts w:cs="Arial"/>
              </w:rPr>
              <w:t>Effective Date</w:t>
            </w:r>
          </w:p>
        </w:tc>
        <w:tc>
          <w:tcPr>
            <w:tcW w:w="6858" w:type="dxa"/>
            <w:shd w:val="clear" w:color="auto" w:fill="auto"/>
          </w:tcPr>
          <w:p w14:paraId="10E13947" w14:textId="77777777" w:rsidR="001C2E4E" w:rsidRPr="009F2F01" w:rsidRDefault="001C2E4E" w:rsidP="00C257FB">
            <w:pPr>
              <w:rPr>
                <w:rFonts w:cs="Arial"/>
              </w:rPr>
            </w:pPr>
            <w:r w:rsidRPr="009F2F01">
              <w:rPr>
                <w:rFonts w:cs="Arial"/>
              </w:rPr>
              <w:t>January 1, 20XX</w:t>
            </w:r>
          </w:p>
        </w:tc>
      </w:tr>
      <w:tr w:rsidR="001C2E4E" w:rsidRPr="009F2F01" w14:paraId="3A150716" w14:textId="77777777" w:rsidTr="00C257FB">
        <w:tc>
          <w:tcPr>
            <w:tcW w:w="1998" w:type="dxa"/>
            <w:shd w:val="clear" w:color="auto" w:fill="C0C0C0"/>
          </w:tcPr>
          <w:p w14:paraId="7B660234" w14:textId="77777777" w:rsidR="001C2E4E" w:rsidRPr="009F2F01" w:rsidRDefault="001C2E4E" w:rsidP="00C257FB">
            <w:pPr>
              <w:rPr>
                <w:rFonts w:cs="Arial"/>
              </w:rPr>
            </w:pPr>
            <w:r w:rsidRPr="009F2F01">
              <w:rPr>
                <w:rFonts w:cs="Arial"/>
              </w:rPr>
              <w:t>Current Version</w:t>
            </w:r>
          </w:p>
        </w:tc>
        <w:tc>
          <w:tcPr>
            <w:tcW w:w="6858" w:type="dxa"/>
            <w:shd w:val="clear" w:color="auto" w:fill="auto"/>
          </w:tcPr>
          <w:p w14:paraId="136F90DC" w14:textId="77777777" w:rsidR="001C2E4E" w:rsidRPr="009F2F01" w:rsidRDefault="001C2E4E" w:rsidP="00C257FB">
            <w:pPr>
              <w:rPr>
                <w:rFonts w:cs="Arial"/>
              </w:rPr>
            </w:pPr>
            <w:r w:rsidRPr="009F2F01">
              <w:rPr>
                <w:rFonts w:cs="Arial"/>
              </w:rPr>
              <w:t>1.0</w:t>
            </w:r>
          </w:p>
        </w:tc>
      </w:tr>
    </w:tbl>
    <w:p w14:paraId="53BDB58D" w14:textId="77777777" w:rsidR="001C2E4E" w:rsidRPr="000576EE" w:rsidRDefault="001C2E4E" w:rsidP="001C2E4E">
      <w:pPr>
        <w:rPr>
          <w:rFonts w:cs="Arial"/>
        </w:rPr>
      </w:pPr>
    </w:p>
    <w:p w14:paraId="2FEAC4E8" w14:textId="77777777" w:rsidR="001C2E4E" w:rsidRPr="003E5988" w:rsidRDefault="001C2E4E" w:rsidP="001C2E4E">
      <w:pPr>
        <w:pStyle w:val="Heading1"/>
      </w:pPr>
      <w:r w:rsidRPr="003E5988">
        <w:t>I. Overview</w:t>
      </w:r>
    </w:p>
    <w:p w14:paraId="5C90B439" w14:textId="77777777" w:rsidR="001C2E4E" w:rsidRPr="000576EE" w:rsidRDefault="00F06CD4" w:rsidP="001D117C">
      <w:pPr>
        <w:rPr>
          <w:rFonts w:cs="Arial"/>
        </w:rPr>
      </w:pPr>
      <w:r>
        <w:rPr>
          <w:rFonts w:cs="Arial"/>
        </w:rPr>
        <w:t>Server p</w:t>
      </w:r>
      <w:r w:rsidR="001D117C" w:rsidRPr="001D117C">
        <w:rPr>
          <w:rFonts w:cs="Arial"/>
        </w:rPr>
        <w:t xml:space="preserve">olicies provide management direction and guidance </w:t>
      </w:r>
      <w:r>
        <w:rPr>
          <w:rFonts w:cs="Arial"/>
        </w:rPr>
        <w:t>to ensure systems and data are properly protected.</w:t>
      </w:r>
      <w:r w:rsidR="001D117C">
        <w:rPr>
          <w:rFonts w:cs="Arial"/>
        </w:rPr>
        <w:t xml:space="preserve"> Procedures d</w:t>
      </w:r>
      <w:r w:rsidR="001D117C" w:rsidRPr="001D117C">
        <w:rPr>
          <w:rFonts w:cs="Arial"/>
        </w:rPr>
        <w:t xml:space="preserve">ocument a detailed description of the steps necessary to perform specific operations </w:t>
      </w:r>
      <w:r w:rsidR="001D117C">
        <w:rPr>
          <w:rFonts w:cs="Arial"/>
        </w:rPr>
        <w:t>that comply with ABC Company’s</w:t>
      </w:r>
      <w:r w:rsidR="001D117C" w:rsidRPr="001D117C">
        <w:rPr>
          <w:rFonts w:cs="Arial"/>
        </w:rPr>
        <w:t xml:space="preserve"> </w:t>
      </w:r>
      <w:r>
        <w:rPr>
          <w:rFonts w:cs="Arial"/>
        </w:rPr>
        <w:t xml:space="preserve">server related </w:t>
      </w:r>
      <w:r w:rsidR="001D117C">
        <w:rPr>
          <w:rFonts w:cs="Arial"/>
        </w:rPr>
        <w:t>policies</w:t>
      </w:r>
      <w:r w:rsidR="001D117C" w:rsidRPr="001D117C">
        <w:rPr>
          <w:rFonts w:cs="Arial"/>
        </w:rPr>
        <w:t xml:space="preserve">. </w:t>
      </w:r>
    </w:p>
    <w:p w14:paraId="365ED489" w14:textId="77777777" w:rsidR="001C2E4E" w:rsidRPr="00557ACD" w:rsidRDefault="001C2E4E" w:rsidP="001C2E4E">
      <w:pPr>
        <w:pStyle w:val="Heading1"/>
      </w:pPr>
      <w:r w:rsidRPr="00557ACD">
        <w:t>II. Purpose</w:t>
      </w:r>
    </w:p>
    <w:p w14:paraId="6F0C5FD6" w14:textId="77777777" w:rsidR="001D117C" w:rsidRPr="001D117C" w:rsidRDefault="00C42775" w:rsidP="001D117C">
      <w:pPr>
        <w:rPr>
          <w:rFonts w:cs="Arial"/>
        </w:rPr>
      </w:pPr>
      <w:r>
        <w:rPr>
          <w:rFonts w:cs="Arial"/>
        </w:rPr>
        <w:t>The purpose of this p</w:t>
      </w:r>
      <w:r w:rsidR="001D117C" w:rsidRPr="001D117C">
        <w:rPr>
          <w:rFonts w:cs="Arial"/>
        </w:rPr>
        <w:t>rocedure is to formally document the series of steps taken to meet the requirem</w:t>
      </w:r>
      <w:r w:rsidR="00996DA3">
        <w:rPr>
          <w:rFonts w:cs="Arial"/>
        </w:rPr>
        <w:t xml:space="preserve">ents specified in ABC Company's </w:t>
      </w:r>
      <w:r w:rsidR="000A1654">
        <w:rPr>
          <w:rFonts w:cs="Arial"/>
        </w:rPr>
        <w:t>Server Hardening</w:t>
      </w:r>
      <w:r w:rsidR="00996DA3">
        <w:rPr>
          <w:rFonts w:cs="Arial"/>
        </w:rPr>
        <w:t xml:space="preserve"> Policy.</w:t>
      </w:r>
    </w:p>
    <w:p w14:paraId="48C58D4D" w14:textId="77777777" w:rsidR="001C2E4E" w:rsidRPr="000576EE" w:rsidRDefault="001C2E4E" w:rsidP="001C2E4E">
      <w:pPr>
        <w:pStyle w:val="Heading1"/>
      </w:pPr>
      <w:r w:rsidRPr="000576EE">
        <w:t>III. Scope</w:t>
      </w:r>
    </w:p>
    <w:p w14:paraId="5DCAA6DA" w14:textId="77777777" w:rsidR="001C2E4E" w:rsidRPr="000576EE" w:rsidRDefault="001C2E4E" w:rsidP="001C2E4E">
      <w:pPr>
        <w:rPr>
          <w:rFonts w:cs="Arial"/>
        </w:rPr>
      </w:pPr>
      <w:r>
        <w:rPr>
          <w:rFonts w:cs="Arial"/>
        </w:rPr>
        <w:t xml:space="preserve">This </w:t>
      </w:r>
      <w:r w:rsidR="00C42775">
        <w:rPr>
          <w:rFonts w:cs="Arial"/>
        </w:rPr>
        <w:t>procedure</w:t>
      </w:r>
      <w:r w:rsidRPr="00D1463B">
        <w:rPr>
          <w:rFonts w:cs="Arial"/>
        </w:rPr>
        <w:t xml:space="preserve"> applies </w:t>
      </w:r>
      <w:r>
        <w:rPr>
          <w:rFonts w:cs="Arial"/>
        </w:rPr>
        <w:t>to</w:t>
      </w:r>
      <w:r w:rsidRPr="00F14198">
        <w:rPr>
          <w:rFonts w:cs="Arial"/>
        </w:rPr>
        <w:t xml:space="preserve"> </w:t>
      </w:r>
      <w:r w:rsidR="00B46FBE">
        <w:rPr>
          <w:rFonts w:cs="Arial"/>
        </w:rPr>
        <w:t>IT Department Staff who administer servers.</w:t>
      </w:r>
    </w:p>
    <w:p w14:paraId="426FD7E8" w14:textId="77777777" w:rsidR="001C2E4E" w:rsidRPr="000576EE" w:rsidRDefault="00905C6F" w:rsidP="001C2E4E">
      <w:pPr>
        <w:pStyle w:val="Heading1"/>
      </w:pPr>
      <w:r>
        <w:t>IV. Procedure</w:t>
      </w:r>
    </w:p>
    <w:p w14:paraId="57BAA989" w14:textId="77777777" w:rsidR="00996DA3" w:rsidRPr="00492048" w:rsidRDefault="00996DA3" w:rsidP="00492048">
      <w:pPr>
        <w:jc w:val="left"/>
      </w:pPr>
      <w:r w:rsidRPr="00492048">
        <w:t xml:space="preserve">Physical security.  Ensure the </w:t>
      </w:r>
      <w:r w:rsidR="00F06CD4">
        <w:t xml:space="preserve">server </w:t>
      </w:r>
      <w:r w:rsidRPr="00492048">
        <w:t>is placed in a physical location that restricts access to authorized individuals.  Where possible, consider a locking cabinet/rack in a secure data center.</w:t>
      </w:r>
    </w:p>
    <w:p w14:paraId="2F06C6D6" w14:textId="77777777" w:rsidR="00996DA3" w:rsidRPr="00492048" w:rsidRDefault="00996DA3" w:rsidP="00492048">
      <w:pPr>
        <w:jc w:val="left"/>
      </w:pPr>
    </w:p>
    <w:p w14:paraId="3206BFF5" w14:textId="77777777" w:rsidR="00996DA3" w:rsidRPr="00492048" w:rsidRDefault="00996DA3" w:rsidP="00492048">
      <w:pPr>
        <w:jc w:val="left"/>
      </w:pPr>
      <w:r w:rsidRPr="00492048">
        <w:t>Alerts, advisories, and vulnerability announcements.  Monitor manufacturer alerts, advisories, and vulnerability announcements.  Ensure patches and updates a</w:t>
      </w:r>
      <w:r w:rsidR="00F06CD4">
        <w:t xml:space="preserve">re installed </w:t>
      </w:r>
      <w:r w:rsidR="00802009">
        <w:t>at the time a new server is placed into production and on-going per the Patch Management Policy.</w:t>
      </w:r>
    </w:p>
    <w:p w14:paraId="47FEE708" w14:textId="77777777" w:rsidR="00996DA3" w:rsidRPr="00492048" w:rsidRDefault="00996DA3" w:rsidP="00492048">
      <w:pPr>
        <w:jc w:val="left"/>
      </w:pPr>
    </w:p>
    <w:p w14:paraId="18F1ED42" w14:textId="77777777" w:rsidR="00492048" w:rsidRPr="00492048" w:rsidRDefault="00492048" w:rsidP="00492048">
      <w:pPr>
        <w:jc w:val="left"/>
      </w:pPr>
      <w:r w:rsidRPr="00492048">
        <w:t xml:space="preserve">Logging and monitoring.  </w:t>
      </w:r>
      <w:r w:rsidR="00996DA3" w:rsidRPr="00492048">
        <w:t>Ensure logging is activated per the Logging Policy.  Consider centralized logging that consolidates logs for analysis and incident tracking.</w:t>
      </w:r>
      <w:r w:rsidRPr="00492048">
        <w:t xml:space="preserve">  Log messages may be assigned a severity level whereby specific messages, based on their severity, are sent to remote logging servers.  By default, these messages may be transmitted in clear text.  Where possible, encryption should be used when transmitting messages.  </w:t>
      </w:r>
    </w:p>
    <w:p w14:paraId="1427BE2B" w14:textId="77777777" w:rsidR="00F87FA7" w:rsidRDefault="00F87FA7" w:rsidP="00F87FA7">
      <w:pPr>
        <w:jc w:val="left"/>
      </w:pPr>
    </w:p>
    <w:p w14:paraId="53B72C25" w14:textId="77777777" w:rsidR="00F87FA7" w:rsidRDefault="00F87FA7" w:rsidP="00F87FA7">
      <w:pPr>
        <w:jc w:val="left"/>
      </w:pPr>
      <w:r>
        <w:t xml:space="preserve">Domain.  If the server is part of Active Directory, most policies will be configured at the domain level.  Stand-alone servers can be configured in the local policy editor. </w:t>
      </w:r>
    </w:p>
    <w:p w14:paraId="35256DF2" w14:textId="77777777" w:rsidR="00492048" w:rsidRPr="00492048" w:rsidRDefault="00492048" w:rsidP="00492048">
      <w:pPr>
        <w:jc w:val="left"/>
      </w:pPr>
    </w:p>
    <w:p w14:paraId="77F7A2F8" w14:textId="77777777" w:rsidR="00F87FA7" w:rsidRDefault="00F87FA7" w:rsidP="00492048">
      <w:pPr>
        <w:jc w:val="left"/>
      </w:pPr>
      <w:r>
        <w:t>Accounts.  Where possible, disable the local Administrator account.  For accountability purposes, ensure each Network Administrator uses a unique account/logon.  Ensure local guest accounts are disabled.</w:t>
      </w:r>
    </w:p>
    <w:p w14:paraId="7233FDED" w14:textId="77777777" w:rsidR="00F7217F" w:rsidRDefault="00F7217F" w:rsidP="00492048">
      <w:pPr>
        <w:jc w:val="left"/>
      </w:pPr>
    </w:p>
    <w:p w14:paraId="4FA1546C" w14:textId="77777777" w:rsidR="00996DA3" w:rsidRDefault="00F87FA7" w:rsidP="00492048">
      <w:pPr>
        <w:jc w:val="left"/>
      </w:pPr>
      <w:r>
        <w:lastRenderedPageBreak/>
        <w:t xml:space="preserve">Passwords.  </w:t>
      </w:r>
      <w:r w:rsidR="00C77930" w:rsidRPr="00492048">
        <w:t>Ensure default credentials are changed.</w:t>
      </w:r>
      <w:r w:rsidR="00C77930" w:rsidRPr="00F06CD4">
        <w:t xml:space="preserve"> </w:t>
      </w:r>
      <w:r w:rsidR="00C77930">
        <w:t xml:space="preserve"> </w:t>
      </w:r>
      <w:r w:rsidR="00996DA3" w:rsidRPr="00492048">
        <w:t>Ensure a long and complex memorized secret (i.e. password) is used to administer the</w:t>
      </w:r>
      <w:r w:rsidR="00492048" w:rsidRPr="00492048">
        <w:t xml:space="preserve"> device</w:t>
      </w:r>
      <w:r>
        <w:t xml:space="preserve"> and complies with the Password Policy</w:t>
      </w:r>
      <w:r w:rsidR="00492048" w:rsidRPr="00492048">
        <w:t>.</w:t>
      </w:r>
      <w:r>
        <w:t xml:space="preserve">  </w:t>
      </w:r>
      <w:r w:rsidR="00E76D97">
        <w:t xml:space="preserve">When changing a password, </w:t>
      </w:r>
      <w:r>
        <w:t xml:space="preserve">ensure users cannot </w:t>
      </w:r>
      <w:r w:rsidR="00E76D97">
        <w:t>enter a</w:t>
      </w:r>
      <w:r>
        <w:t xml:space="preserve"> recent prior password</w:t>
      </w:r>
      <w:r w:rsidR="00E76D97">
        <w:t xml:space="preserve"> (password history).  See the Password Policy for more information.</w:t>
      </w:r>
    </w:p>
    <w:p w14:paraId="7B309FA7" w14:textId="77777777" w:rsidR="001C2A23" w:rsidRDefault="001C2A23" w:rsidP="001C2A23">
      <w:pPr>
        <w:jc w:val="left"/>
      </w:pPr>
    </w:p>
    <w:p w14:paraId="1369C381" w14:textId="77777777" w:rsidR="00996DA3" w:rsidRDefault="001C2A23" w:rsidP="00F87FA7">
      <w:pPr>
        <w:jc w:val="left"/>
      </w:pPr>
      <w:r>
        <w:t>Account lock</w:t>
      </w:r>
      <w:r w:rsidR="00F87FA7">
        <w:t xml:space="preserve">.  </w:t>
      </w:r>
      <w:r w:rsidR="007B03B2">
        <w:t>Ensure accounts are locked out after five consecutive failed (invalid) logon attempts within a 24 hour period.  The lockout duration shall be at least 30 minutes or until a system administrator re-enables the user ID.  Refer to the Securing Information Systems Policy for more information.</w:t>
      </w:r>
    </w:p>
    <w:p w14:paraId="5B7DECD3" w14:textId="77777777" w:rsidR="007B03B2" w:rsidRDefault="007B03B2" w:rsidP="007B03B2">
      <w:pPr>
        <w:jc w:val="left"/>
      </w:pPr>
    </w:p>
    <w:p w14:paraId="08F34701" w14:textId="77777777" w:rsidR="007B03B2" w:rsidRDefault="007B03B2" w:rsidP="007B03B2">
      <w:pPr>
        <w:jc w:val="left"/>
      </w:pPr>
      <w:r>
        <w:t>Inactivity.  Ensure users are automatically logged off after 15 minutes of inactivity.  Refer to the Securing Information Systems Policy for more information.</w:t>
      </w:r>
    </w:p>
    <w:p w14:paraId="77F79780" w14:textId="77777777" w:rsidR="007B03B2" w:rsidRDefault="007B03B2" w:rsidP="007B03B2">
      <w:pPr>
        <w:jc w:val="left"/>
      </w:pPr>
    </w:p>
    <w:p w14:paraId="707BF4CB" w14:textId="77777777" w:rsidR="007B03B2" w:rsidRDefault="007B03B2" w:rsidP="007B03B2">
      <w:pPr>
        <w:jc w:val="left"/>
      </w:pPr>
      <w:r>
        <w:t>Network configuration.  Where possible, configure two Domain Name Servers (DNS) in the event one of the servers fails or is unable to provide services</w:t>
      </w:r>
      <w:r w:rsidR="00CB46AE">
        <w:t>.  Pr</w:t>
      </w:r>
      <w:r>
        <w:t>oduction servers should have static IP addresses.</w:t>
      </w:r>
      <w:r w:rsidR="006A33E4">
        <w:t xml:space="preserve">  Remove unneeded packages/application</w:t>
      </w:r>
      <w:r w:rsidR="009A4D25">
        <w:t>s and disable unneeded services and drivers.</w:t>
      </w:r>
    </w:p>
    <w:p w14:paraId="5E6B1425" w14:textId="77777777" w:rsidR="00AD0951" w:rsidRDefault="00AD0951" w:rsidP="007B03B2">
      <w:pPr>
        <w:jc w:val="left"/>
      </w:pPr>
    </w:p>
    <w:p w14:paraId="4CF0A7C8" w14:textId="77777777" w:rsidR="00AD0951" w:rsidRDefault="00AD0951" w:rsidP="007B03B2">
      <w:pPr>
        <w:jc w:val="left"/>
      </w:pPr>
      <w:r>
        <w:t xml:space="preserve">Firewall.  As a general rule, </w:t>
      </w:r>
      <w:r w:rsidR="009809D0">
        <w:t xml:space="preserve">each </w:t>
      </w:r>
      <w:r>
        <w:t>server should have a software firewall activated on the device.</w:t>
      </w:r>
      <w:r w:rsidR="009809D0">
        <w:t xml:space="preserve">  The software firewall helps protect against network based attacks.</w:t>
      </w:r>
    </w:p>
    <w:p w14:paraId="4761836A" w14:textId="77777777" w:rsidR="007B03B2" w:rsidRDefault="007B03B2" w:rsidP="007B03B2">
      <w:pPr>
        <w:jc w:val="left"/>
      </w:pPr>
    </w:p>
    <w:p w14:paraId="02FB5899" w14:textId="77777777" w:rsidR="00996DA3" w:rsidRDefault="00996DA3" w:rsidP="00492048">
      <w:pPr>
        <w:jc w:val="left"/>
      </w:pPr>
      <w:r w:rsidRPr="00492048">
        <w:t>Time.  An accurate time and date is important for system and event logs.  Configure a trusted time source for Network Time Protocol (NTP) and use proper authentication.</w:t>
      </w:r>
    </w:p>
    <w:p w14:paraId="7F8285F3" w14:textId="77777777" w:rsidR="000040AC" w:rsidRDefault="000040AC" w:rsidP="00492048">
      <w:pPr>
        <w:jc w:val="left"/>
      </w:pPr>
    </w:p>
    <w:p w14:paraId="4D59A71A" w14:textId="77777777" w:rsidR="000040AC" w:rsidRPr="00492048" w:rsidRDefault="000040AC" w:rsidP="00492048">
      <w:pPr>
        <w:jc w:val="left"/>
      </w:pPr>
      <w:r>
        <w:t xml:space="preserve">Anti-Malware.  Ensure the device is protected from </w:t>
      </w:r>
      <w:r w:rsidR="00844165">
        <w:t>malicious software such as viruses, worms, Trojan Horse programs, etc</w:t>
      </w:r>
      <w:r>
        <w:t xml:space="preserve">.  </w:t>
      </w:r>
      <w:r w:rsidR="00844165">
        <w:t xml:space="preserve">Ensure the Malware software and definitions are updated in a timely manner.  </w:t>
      </w:r>
      <w:r>
        <w:t>Refer to the Anti-Malware Policy for more information.</w:t>
      </w:r>
    </w:p>
    <w:p w14:paraId="036C698A" w14:textId="77777777" w:rsidR="00996DA3" w:rsidRDefault="00996DA3" w:rsidP="00492048">
      <w:pPr>
        <w:jc w:val="left"/>
      </w:pPr>
    </w:p>
    <w:p w14:paraId="7119857B" w14:textId="77777777" w:rsidR="00633351" w:rsidRDefault="00633351" w:rsidP="00492048">
      <w:pPr>
        <w:jc w:val="left"/>
      </w:pPr>
      <w:r>
        <w:t xml:space="preserve">Testing.  Where possible, the server should be tested prior to installing the device in a production environment.  </w:t>
      </w:r>
    </w:p>
    <w:p w14:paraId="7B22C248" w14:textId="77777777" w:rsidR="00633351" w:rsidRPr="00492048" w:rsidRDefault="00633351" w:rsidP="00492048">
      <w:pPr>
        <w:jc w:val="left"/>
      </w:pPr>
    </w:p>
    <w:p w14:paraId="7F843512" w14:textId="77777777" w:rsidR="00996DA3" w:rsidRPr="00492048" w:rsidRDefault="00996DA3" w:rsidP="00492048">
      <w:pPr>
        <w:jc w:val="left"/>
      </w:pPr>
      <w:r w:rsidRPr="00492048">
        <w:t xml:space="preserve">Management sessions.  Administrators should not connect to the device </w:t>
      </w:r>
      <w:r w:rsidR="00CB2B2E">
        <w:t xml:space="preserve">using unsecure services </w:t>
      </w:r>
      <w:r w:rsidR="0091061A">
        <w:t>where</w:t>
      </w:r>
      <w:r w:rsidRPr="00492048">
        <w:t xml:space="preserve"> communications are not encrypted.</w:t>
      </w:r>
      <w:r w:rsidR="00E43664">
        <w:t xml:space="preserve">  Ensure only authorized personnel are allowed to access and administer the device.</w:t>
      </w:r>
    </w:p>
    <w:p w14:paraId="0DF4E98E" w14:textId="77777777" w:rsidR="00E577BE" w:rsidRPr="00492048" w:rsidRDefault="00E577BE" w:rsidP="00492048">
      <w:pPr>
        <w:jc w:val="left"/>
      </w:pPr>
    </w:p>
    <w:p w14:paraId="07B0A35D" w14:textId="77777777" w:rsidR="00E577BE" w:rsidRPr="00492048" w:rsidRDefault="00E577BE" w:rsidP="00492048">
      <w:pPr>
        <w:jc w:val="left"/>
      </w:pPr>
      <w:r w:rsidRPr="00492048">
        <w:t xml:space="preserve">Warning banners/notices.  Some implementations may require the use of warming banners or notices.  </w:t>
      </w:r>
      <w:r w:rsidR="00CB2B2E">
        <w:t>Network</w:t>
      </w:r>
      <w:r w:rsidRPr="00492048">
        <w:t xml:space="preserve"> administrators should consult with ABC Company legal staff regarding the posting of notices such as:</w:t>
      </w:r>
    </w:p>
    <w:p w14:paraId="1E77D1CC" w14:textId="77777777" w:rsidR="00E577BE" w:rsidRPr="00492048" w:rsidRDefault="00E577BE" w:rsidP="00492048">
      <w:pPr>
        <w:numPr>
          <w:ilvl w:val="0"/>
          <w:numId w:val="37"/>
        </w:numPr>
        <w:jc w:val="left"/>
      </w:pPr>
      <w:r w:rsidRPr="00492048">
        <w:t>Access is only permitted by authorized personnel</w:t>
      </w:r>
    </w:p>
    <w:p w14:paraId="75B83C9F" w14:textId="77777777" w:rsidR="00E577BE" w:rsidRPr="00492048" w:rsidRDefault="00E577BE" w:rsidP="00492048">
      <w:pPr>
        <w:numPr>
          <w:ilvl w:val="0"/>
          <w:numId w:val="37"/>
        </w:numPr>
        <w:jc w:val="left"/>
      </w:pPr>
      <w:r w:rsidRPr="00492048">
        <w:t>Activities are logged and monitored and can be used as evidence</w:t>
      </w:r>
    </w:p>
    <w:p w14:paraId="37FAA4D6" w14:textId="77777777" w:rsidR="00E577BE" w:rsidRPr="00492048" w:rsidRDefault="00E577BE" w:rsidP="00492048">
      <w:pPr>
        <w:numPr>
          <w:ilvl w:val="0"/>
          <w:numId w:val="37"/>
        </w:numPr>
        <w:jc w:val="left"/>
      </w:pPr>
      <w:r w:rsidRPr="00492048">
        <w:t>Unauthorized access or use can result in civil and criminal penalties</w:t>
      </w:r>
    </w:p>
    <w:p w14:paraId="25927000" w14:textId="77777777" w:rsidR="00E577BE" w:rsidRPr="00492048" w:rsidRDefault="00E577BE" w:rsidP="00492048">
      <w:pPr>
        <w:jc w:val="left"/>
      </w:pPr>
    </w:p>
    <w:p w14:paraId="7DDF63B2" w14:textId="77777777" w:rsidR="00996DA3" w:rsidRPr="00492048" w:rsidRDefault="00492048" w:rsidP="00492048">
      <w:pPr>
        <w:jc w:val="left"/>
      </w:pPr>
      <w:r w:rsidRPr="00492048">
        <w:t xml:space="preserve">Backup.  </w:t>
      </w:r>
      <w:r w:rsidR="00490CA2" w:rsidRPr="00492048">
        <w:t xml:space="preserve">A </w:t>
      </w:r>
      <w:r w:rsidR="00996DA3" w:rsidRPr="00492048">
        <w:t>copy of the device configuration should be saved</w:t>
      </w:r>
      <w:r w:rsidR="00CB2B2E">
        <w:t xml:space="preserve"> at</w:t>
      </w:r>
      <w:r w:rsidRPr="00492048">
        <w:t xml:space="preserve"> a separate and secure location to assist in a recovery effort if needed. </w:t>
      </w:r>
    </w:p>
    <w:p w14:paraId="7E00B09A" w14:textId="77777777" w:rsidR="00996DA3" w:rsidRPr="00492048" w:rsidRDefault="00996DA3" w:rsidP="00492048">
      <w:pPr>
        <w:jc w:val="left"/>
      </w:pPr>
    </w:p>
    <w:p w14:paraId="7B83F768" w14:textId="77777777" w:rsidR="00996DA3" w:rsidRPr="00492048" w:rsidRDefault="00492048" w:rsidP="00492048">
      <w:pPr>
        <w:jc w:val="left"/>
      </w:pPr>
      <w:r w:rsidRPr="00492048">
        <w:t xml:space="preserve">Manufacturer </w:t>
      </w:r>
      <w:r w:rsidR="00996DA3" w:rsidRPr="00492048">
        <w:t>resources.  Refer to manufacturer resources for additional guidance on hardening</w:t>
      </w:r>
      <w:r w:rsidRPr="00492048">
        <w:t xml:space="preserve"> </w:t>
      </w:r>
      <w:r w:rsidR="00CB2B2E">
        <w:t>servers</w:t>
      </w:r>
      <w:r w:rsidRPr="00492048">
        <w:t xml:space="preserve"> and specific security functionality.  </w:t>
      </w:r>
    </w:p>
    <w:p w14:paraId="10B74D8A" w14:textId="77777777" w:rsidR="001C2E4E" w:rsidRPr="000576EE" w:rsidRDefault="00492048" w:rsidP="00492048">
      <w:pPr>
        <w:pStyle w:val="Heading1"/>
        <w:tabs>
          <w:tab w:val="left" w:pos="5023"/>
        </w:tabs>
      </w:pPr>
      <w:r>
        <w:lastRenderedPageBreak/>
        <w:t xml:space="preserve">V. Enforcement </w:t>
      </w:r>
    </w:p>
    <w:p w14:paraId="63266B3E" w14:textId="77777777" w:rsidR="001C2E4E" w:rsidRPr="000576EE" w:rsidRDefault="001C2E4E" w:rsidP="001C2E4E">
      <w:pPr>
        <w:rPr>
          <w:rFonts w:cs="Arial"/>
        </w:rPr>
      </w:pPr>
      <w:r w:rsidRPr="000576EE">
        <w:rPr>
          <w:rFonts w:cs="Arial"/>
        </w:rPr>
        <w:t xml:space="preserve">Any Staff member found to have violated this </w:t>
      </w:r>
      <w:r w:rsidR="00C42775">
        <w:rPr>
          <w:rFonts w:cs="Arial"/>
        </w:rPr>
        <w:t>procedure</w:t>
      </w:r>
      <w:r w:rsidRPr="000576EE">
        <w:rPr>
          <w:rFonts w:cs="Arial"/>
        </w:rPr>
        <w:t xml:space="preserve"> may be subject to disciplinary action, up to and including termination.</w:t>
      </w:r>
    </w:p>
    <w:p w14:paraId="53ED07A2" w14:textId="77777777" w:rsidR="001C2E4E" w:rsidRPr="000576EE" w:rsidRDefault="001C2E4E" w:rsidP="001C2E4E">
      <w:pPr>
        <w:pStyle w:val="Heading1"/>
      </w:pPr>
      <w:r w:rsidRPr="000576EE">
        <w:t>VI. Distribution</w:t>
      </w:r>
    </w:p>
    <w:p w14:paraId="474AB116" w14:textId="7AC0C833" w:rsidR="001C2E4E" w:rsidRPr="000576EE" w:rsidRDefault="00B46FBE" w:rsidP="001C2E4E">
      <w:pPr>
        <w:rPr>
          <w:rFonts w:cs="Arial"/>
        </w:rPr>
      </w:pPr>
      <w:r w:rsidRPr="00583EBD">
        <w:rPr>
          <w:rFonts w:cs="Arial"/>
        </w:rPr>
        <w:t xml:space="preserve">This </w:t>
      </w:r>
      <w:r w:rsidR="00563D07">
        <w:rPr>
          <w:rFonts w:cs="Arial"/>
        </w:rPr>
        <w:t>procedure</w:t>
      </w:r>
      <w:r w:rsidRPr="00583EBD">
        <w:rPr>
          <w:rFonts w:cs="Arial"/>
        </w:rPr>
        <w:t xml:space="preserve"> is to be distributed to </w:t>
      </w:r>
      <w:r>
        <w:rPr>
          <w:rFonts w:cs="Arial"/>
        </w:rPr>
        <w:t>IT Department Staff who administer servers and the Chief Security Officer.</w:t>
      </w:r>
    </w:p>
    <w:p w14:paraId="17786DAA" w14:textId="77777777" w:rsidR="001C2E4E" w:rsidRPr="000576EE" w:rsidRDefault="001C2E4E" w:rsidP="001C2E4E">
      <w:pPr>
        <w:rPr>
          <w:rFonts w:cs="Arial"/>
        </w:rPr>
      </w:pPr>
    </w:p>
    <w:p w14:paraId="0213CFFA" w14:textId="77777777" w:rsidR="001C2E4E" w:rsidRPr="000576EE" w:rsidRDefault="001C2E4E" w:rsidP="001C2E4E">
      <w:pPr>
        <w:rPr>
          <w:rFonts w:cs="Arial"/>
          <w:b/>
        </w:rPr>
      </w:pPr>
      <w:r>
        <w:rPr>
          <w:rFonts w:cs="Arial"/>
          <w:b/>
        </w:rPr>
        <w:t>Procedure</w:t>
      </w:r>
      <w:r w:rsidRPr="000576EE">
        <w:rPr>
          <w:rFonts w:cs="Arial"/>
          <w:b/>
        </w:rPr>
        <w:t xml:space="preserve"> History</w:t>
      </w:r>
    </w:p>
    <w:p w14:paraId="4D1E6CA8" w14:textId="77777777" w:rsidR="001C2E4E" w:rsidRDefault="001C2E4E" w:rsidP="001C2E4E">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1C2E4E" w:rsidRPr="009F2F01" w14:paraId="330BE66F" w14:textId="77777777" w:rsidTr="00C257FB">
        <w:tc>
          <w:tcPr>
            <w:tcW w:w="1137" w:type="dxa"/>
            <w:shd w:val="clear" w:color="auto" w:fill="C0C0C0"/>
          </w:tcPr>
          <w:p w14:paraId="233B43C6" w14:textId="77777777" w:rsidR="001C2E4E" w:rsidRPr="009F2F01" w:rsidRDefault="001C2E4E" w:rsidP="00C257FB">
            <w:pPr>
              <w:rPr>
                <w:rFonts w:cs="Arial"/>
              </w:rPr>
            </w:pPr>
            <w:r w:rsidRPr="009F2F01">
              <w:rPr>
                <w:rFonts w:cs="Arial"/>
              </w:rPr>
              <w:t>Version</w:t>
            </w:r>
          </w:p>
        </w:tc>
        <w:tc>
          <w:tcPr>
            <w:tcW w:w="1401" w:type="dxa"/>
            <w:shd w:val="clear" w:color="auto" w:fill="C0C0C0"/>
          </w:tcPr>
          <w:p w14:paraId="33A3CC23" w14:textId="77777777" w:rsidR="001C2E4E" w:rsidRPr="009F2F01" w:rsidRDefault="001C2E4E" w:rsidP="00C257FB">
            <w:pPr>
              <w:rPr>
                <w:rFonts w:cs="Arial"/>
              </w:rPr>
            </w:pPr>
            <w:r w:rsidRPr="009F2F01">
              <w:rPr>
                <w:rFonts w:cs="Arial"/>
              </w:rPr>
              <w:t>Date</w:t>
            </w:r>
          </w:p>
        </w:tc>
        <w:tc>
          <w:tcPr>
            <w:tcW w:w="4104" w:type="dxa"/>
            <w:shd w:val="clear" w:color="auto" w:fill="C0C0C0"/>
          </w:tcPr>
          <w:p w14:paraId="2DDB1FF3" w14:textId="77777777" w:rsidR="001C2E4E" w:rsidRPr="009F2F01" w:rsidRDefault="001C2E4E" w:rsidP="00C257FB">
            <w:pPr>
              <w:rPr>
                <w:rFonts w:cs="Arial"/>
              </w:rPr>
            </w:pPr>
            <w:r w:rsidRPr="009F2F01">
              <w:rPr>
                <w:rFonts w:cs="Arial"/>
              </w:rPr>
              <w:t>Description</w:t>
            </w:r>
          </w:p>
        </w:tc>
        <w:tc>
          <w:tcPr>
            <w:tcW w:w="2214" w:type="dxa"/>
            <w:shd w:val="clear" w:color="auto" w:fill="C0C0C0"/>
          </w:tcPr>
          <w:p w14:paraId="4A6580D2" w14:textId="77777777" w:rsidR="001C2E4E" w:rsidRPr="009F2F01" w:rsidRDefault="001C2E4E" w:rsidP="00C257FB">
            <w:pPr>
              <w:jc w:val="center"/>
              <w:rPr>
                <w:rFonts w:cs="Arial"/>
              </w:rPr>
            </w:pPr>
            <w:r w:rsidRPr="009F2F01">
              <w:rPr>
                <w:rFonts w:cs="Arial"/>
              </w:rPr>
              <w:t>Approved By</w:t>
            </w:r>
          </w:p>
        </w:tc>
      </w:tr>
      <w:tr w:rsidR="001C2E4E" w:rsidRPr="009F2F01" w14:paraId="254C8D34" w14:textId="77777777" w:rsidTr="00C257FB">
        <w:tc>
          <w:tcPr>
            <w:tcW w:w="1137" w:type="dxa"/>
            <w:shd w:val="clear" w:color="auto" w:fill="auto"/>
          </w:tcPr>
          <w:p w14:paraId="6A940A9C" w14:textId="77777777" w:rsidR="001C2E4E" w:rsidRPr="009F2F01" w:rsidRDefault="001C2E4E" w:rsidP="00C257FB">
            <w:pPr>
              <w:rPr>
                <w:rFonts w:cs="Arial"/>
              </w:rPr>
            </w:pPr>
            <w:r w:rsidRPr="009F2F01">
              <w:rPr>
                <w:rFonts w:cs="Arial"/>
              </w:rPr>
              <w:t>1.0</w:t>
            </w:r>
          </w:p>
        </w:tc>
        <w:tc>
          <w:tcPr>
            <w:tcW w:w="1401" w:type="dxa"/>
            <w:shd w:val="clear" w:color="auto" w:fill="auto"/>
          </w:tcPr>
          <w:p w14:paraId="4C67FE27" w14:textId="77777777" w:rsidR="001C2E4E" w:rsidRPr="009F2F01" w:rsidRDefault="001C2E4E" w:rsidP="00C257FB">
            <w:pPr>
              <w:rPr>
                <w:rFonts w:cs="Arial"/>
              </w:rPr>
            </w:pPr>
            <w:r w:rsidRPr="009F2F01">
              <w:rPr>
                <w:rFonts w:cs="Arial"/>
              </w:rPr>
              <w:t>1/1/20XX</w:t>
            </w:r>
          </w:p>
        </w:tc>
        <w:tc>
          <w:tcPr>
            <w:tcW w:w="4104" w:type="dxa"/>
            <w:shd w:val="clear" w:color="auto" w:fill="auto"/>
          </w:tcPr>
          <w:p w14:paraId="4C8E0532" w14:textId="77777777" w:rsidR="001C2E4E" w:rsidRPr="009F2F01" w:rsidRDefault="001C2E4E" w:rsidP="001C2E4E">
            <w:pPr>
              <w:rPr>
                <w:rFonts w:cs="Arial"/>
              </w:rPr>
            </w:pPr>
            <w:r w:rsidRPr="009F2F01">
              <w:rPr>
                <w:rFonts w:cs="Arial"/>
              </w:rPr>
              <w:t xml:space="preserve">Initial </w:t>
            </w:r>
            <w:r>
              <w:rPr>
                <w:rFonts w:cs="Arial"/>
              </w:rPr>
              <w:t>procedure</w:t>
            </w:r>
            <w:r w:rsidRPr="009F2F01">
              <w:rPr>
                <w:rFonts w:cs="Arial"/>
              </w:rPr>
              <w:t xml:space="preserve"> release</w:t>
            </w:r>
          </w:p>
        </w:tc>
        <w:tc>
          <w:tcPr>
            <w:tcW w:w="2214" w:type="dxa"/>
            <w:shd w:val="clear" w:color="auto" w:fill="auto"/>
          </w:tcPr>
          <w:p w14:paraId="7F6A1FA2" w14:textId="77777777" w:rsidR="001C2E4E" w:rsidRPr="009F2F01" w:rsidRDefault="001C2E4E" w:rsidP="00C257FB">
            <w:pPr>
              <w:rPr>
                <w:rFonts w:cs="Arial"/>
              </w:rPr>
            </w:pPr>
          </w:p>
        </w:tc>
      </w:tr>
      <w:tr w:rsidR="001C2E4E" w:rsidRPr="009F2F01" w14:paraId="6588BD46" w14:textId="77777777" w:rsidTr="00C257FB">
        <w:tc>
          <w:tcPr>
            <w:tcW w:w="1137" w:type="dxa"/>
            <w:shd w:val="clear" w:color="auto" w:fill="auto"/>
          </w:tcPr>
          <w:p w14:paraId="04D1C768" w14:textId="77777777" w:rsidR="001C2E4E" w:rsidRPr="009F2F01" w:rsidRDefault="001C2E4E" w:rsidP="00C257FB">
            <w:pPr>
              <w:rPr>
                <w:rFonts w:cs="Arial"/>
              </w:rPr>
            </w:pPr>
          </w:p>
        </w:tc>
        <w:tc>
          <w:tcPr>
            <w:tcW w:w="1401" w:type="dxa"/>
            <w:shd w:val="clear" w:color="auto" w:fill="auto"/>
          </w:tcPr>
          <w:p w14:paraId="7EDB8724" w14:textId="77777777" w:rsidR="001C2E4E" w:rsidRPr="009F2F01" w:rsidRDefault="001C2E4E" w:rsidP="00C257FB">
            <w:pPr>
              <w:rPr>
                <w:rFonts w:cs="Arial"/>
              </w:rPr>
            </w:pPr>
          </w:p>
        </w:tc>
        <w:tc>
          <w:tcPr>
            <w:tcW w:w="4104" w:type="dxa"/>
            <w:shd w:val="clear" w:color="auto" w:fill="auto"/>
          </w:tcPr>
          <w:p w14:paraId="46DC7048" w14:textId="77777777" w:rsidR="001C2E4E" w:rsidRPr="009F2F01" w:rsidRDefault="001C2E4E" w:rsidP="00C257FB">
            <w:pPr>
              <w:rPr>
                <w:rFonts w:cs="Arial"/>
              </w:rPr>
            </w:pPr>
          </w:p>
        </w:tc>
        <w:tc>
          <w:tcPr>
            <w:tcW w:w="2214" w:type="dxa"/>
            <w:shd w:val="clear" w:color="auto" w:fill="auto"/>
          </w:tcPr>
          <w:p w14:paraId="11CC4BE8" w14:textId="77777777" w:rsidR="001C2E4E" w:rsidRPr="009F2F01" w:rsidRDefault="001C2E4E" w:rsidP="00C257FB">
            <w:pPr>
              <w:rPr>
                <w:rFonts w:cs="Arial"/>
              </w:rPr>
            </w:pPr>
          </w:p>
        </w:tc>
      </w:tr>
      <w:tr w:rsidR="001C2E4E" w:rsidRPr="009F2F01" w14:paraId="57C05B9E" w14:textId="77777777" w:rsidTr="00C257FB">
        <w:tc>
          <w:tcPr>
            <w:tcW w:w="1137" w:type="dxa"/>
            <w:shd w:val="clear" w:color="auto" w:fill="auto"/>
          </w:tcPr>
          <w:p w14:paraId="49D216E6" w14:textId="77777777" w:rsidR="001C2E4E" w:rsidRPr="009F2F01" w:rsidRDefault="001C2E4E" w:rsidP="00C257FB">
            <w:pPr>
              <w:rPr>
                <w:rFonts w:cs="Arial"/>
              </w:rPr>
            </w:pPr>
          </w:p>
        </w:tc>
        <w:tc>
          <w:tcPr>
            <w:tcW w:w="1401" w:type="dxa"/>
            <w:shd w:val="clear" w:color="auto" w:fill="auto"/>
          </w:tcPr>
          <w:p w14:paraId="1BC541AF" w14:textId="77777777" w:rsidR="001C2E4E" w:rsidRPr="009F2F01" w:rsidRDefault="001C2E4E" w:rsidP="00C257FB">
            <w:pPr>
              <w:rPr>
                <w:rFonts w:cs="Arial"/>
              </w:rPr>
            </w:pPr>
          </w:p>
        </w:tc>
        <w:tc>
          <w:tcPr>
            <w:tcW w:w="4104" w:type="dxa"/>
            <w:shd w:val="clear" w:color="auto" w:fill="auto"/>
          </w:tcPr>
          <w:p w14:paraId="79759F07" w14:textId="77777777" w:rsidR="001C2E4E" w:rsidRPr="009F2F01" w:rsidRDefault="001C2E4E" w:rsidP="00C257FB">
            <w:pPr>
              <w:rPr>
                <w:rFonts w:cs="Arial"/>
              </w:rPr>
            </w:pPr>
          </w:p>
        </w:tc>
        <w:tc>
          <w:tcPr>
            <w:tcW w:w="2214" w:type="dxa"/>
            <w:shd w:val="clear" w:color="auto" w:fill="auto"/>
          </w:tcPr>
          <w:p w14:paraId="3062C22F" w14:textId="77777777" w:rsidR="001C2E4E" w:rsidRPr="009F2F01" w:rsidRDefault="001C2E4E" w:rsidP="00C257FB">
            <w:pPr>
              <w:rPr>
                <w:rFonts w:cs="Arial"/>
              </w:rPr>
            </w:pPr>
          </w:p>
        </w:tc>
      </w:tr>
      <w:tr w:rsidR="001C2E4E" w:rsidRPr="009F2F01" w14:paraId="5BA02BD4" w14:textId="77777777" w:rsidTr="00C257FB">
        <w:tc>
          <w:tcPr>
            <w:tcW w:w="1137" w:type="dxa"/>
            <w:shd w:val="clear" w:color="auto" w:fill="auto"/>
          </w:tcPr>
          <w:p w14:paraId="09878E60" w14:textId="77777777" w:rsidR="001C2E4E" w:rsidRPr="009F2F01" w:rsidRDefault="001C2E4E" w:rsidP="00C257FB">
            <w:pPr>
              <w:rPr>
                <w:rFonts w:cs="Arial"/>
              </w:rPr>
            </w:pPr>
          </w:p>
        </w:tc>
        <w:tc>
          <w:tcPr>
            <w:tcW w:w="1401" w:type="dxa"/>
            <w:shd w:val="clear" w:color="auto" w:fill="auto"/>
          </w:tcPr>
          <w:p w14:paraId="306DA16A" w14:textId="77777777" w:rsidR="001C2E4E" w:rsidRPr="009F2F01" w:rsidRDefault="001C2E4E" w:rsidP="00C257FB">
            <w:pPr>
              <w:rPr>
                <w:rFonts w:cs="Arial"/>
              </w:rPr>
            </w:pPr>
          </w:p>
        </w:tc>
        <w:tc>
          <w:tcPr>
            <w:tcW w:w="4104" w:type="dxa"/>
            <w:shd w:val="clear" w:color="auto" w:fill="auto"/>
          </w:tcPr>
          <w:p w14:paraId="78D61D3F" w14:textId="77777777" w:rsidR="001C2E4E" w:rsidRPr="009F2F01" w:rsidRDefault="001C2E4E" w:rsidP="00C257FB">
            <w:pPr>
              <w:rPr>
                <w:rFonts w:cs="Arial"/>
              </w:rPr>
            </w:pPr>
          </w:p>
        </w:tc>
        <w:tc>
          <w:tcPr>
            <w:tcW w:w="2214" w:type="dxa"/>
            <w:shd w:val="clear" w:color="auto" w:fill="auto"/>
          </w:tcPr>
          <w:p w14:paraId="492CED80" w14:textId="77777777" w:rsidR="001C2E4E" w:rsidRPr="009F2F01" w:rsidRDefault="001C2E4E" w:rsidP="00C257FB">
            <w:pPr>
              <w:rPr>
                <w:rFonts w:cs="Arial"/>
              </w:rPr>
            </w:pPr>
          </w:p>
        </w:tc>
      </w:tr>
      <w:tr w:rsidR="001C2E4E" w:rsidRPr="009F2F01" w14:paraId="21254D74" w14:textId="77777777" w:rsidTr="00C257FB">
        <w:tc>
          <w:tcPr>
            <w:tcW w:w="1137" w:type="dxa"/>
            <w:shd w:val="clear" w:color="auto" w:fill="auto"/>
          </w:tcPr>
          <w:p w14:paraId="2ABE462C" w14:textId="77777777" w:rsidR="001C2E4E" w:rsidRPr="009F2F01" w:rsidRDefault="001C2E4E" w:rsidP="00C257FB">
            <w:pPr>
              <w:rPr>
                <w:rFonts w:cs="Arial"/>
              </w:rPr>
            </w:pPr>
          </w:p>
        </w:tc>
        <w:tc>
          <w:tcPr>
            <w:tcW w:w="1401" w:type="dxa"/>
            <w:shd w:val="clear" w:color="auto" w:fill="auto"/>
          </w:tcPr>
          <w:p w14:paraId="6096DDE0" w14:textId="77777777" w:rsidR="001C2E4E" w:rsidRPr="009F2F01" w:rsidRDefault="001C2E4E" w:rsidP="00C257FB">
            <w:pPr>
              <w:rPr>
                <w:rFonts w:cs="Arial"/>
              </w:rPr>
            </w:pPr>
          </w:p>
        </w:tc>
        <w:tc>
          <w:tcPr>
            <w:tcW w:w="4104" w:type="dxa"/>
            <w:shd w:val="clear" w:color="auto" w:fill="auto"/>
          </w:tcPr>
          <w:p w14:paraId="16CAB6B1" w14:textId="77777777" w:rsidR="001C2E4E" w:rsidRPr="009F2F01" w:rsidRDefault="001C2E4E" w:rsidP="00C257FB">
            <w:pPr>
              <w:rPr>
                <w:rFonts w:cs="Arial"/>
              </w:rPr>
            </w:pPr>
          </w:p>
        </w:tc>
        <w:tc>
          <w:tcPr>
            <w:tcW w:w="2214" w:type="dxa"/>
            <w:shd w:val="clear" w:color="auto" w:fill="auto"/>
          </w:tcPr>
          <w:p w14:paraId="79CF4F62" w14:textId="77777777" w:rsidR="001C2E4E" w:rsidRPr="009F2F01" w:rsidRDefault="001C2E4E" w:rsidP="00C257FB">
            <w:pPr>
              <w:rPr>
                <w:rFonts w:cs="Arial"/>
              </w:rPr>
            </w:pPr>
          </w:p>
        </w:tc>
      </w:tr>
    </w:tbl>
    <w:p w14:paraId="2F190F84" w14:textId="77777777" w:rsidR="00925371" w:rsidRDefault="00925371" w:rsidP="00925371">
      <w:pPr>
        <w:rPr>
          <w:rFonts w:cs="Arial"/>
        </w:rPr>
      </w:pPr>
    </w:p>
    <w:p w14:paraId="6F751384" w14:textId="77777777" w:rsidR="00925371" w:rsidRDefault="00925371" w:rsidP="00925371">
      <w:pPr>
        <w:rPr>
          <w:rFonts w:cs="Arial"/>
        </w:rPr>
      </w:pPr>
    </w:p>
    <w:p w14:paraId="797AA39D" w14:textId="77777777" w:rsidR="00925371" w:rsidRPr="004E4CDA" w:rsidRDefault="00925371" w:rsidP="00925371">
      <w:pPr>
        <w:rPr>
          <w:rFonts w:cs="Arial"/>
          <w:b/>
        </w:rPr>
      </w:pPr>
      <w:r w:rsidRPr="004E4CDA">
        <w:rPr>
          <w:rFonts w:cs="Arial"/>
          <w:b/>
        </w:rPr>
        <w:t>References:</w:t>
      </w:r>
    </w:p>
    <w:p w14:paraId="70E3B731" w14:textId="77777777" w:rsidR="00925371" w:rsidRDefault="00925371" w:rsidP="00925371">
      <w:pPr>
        <w:rPr>
          <w:rFonts w:cs="Arial"/>
        </w:rPr>
      </w:pPr>
      <w:r w:rsidRPr="00D66F29">
        <w:rPr>
          <w:rFonts w:cs="Arial"/>
        </w:rPr>
        <w:t>COBIT EDM03.02, EDM03.07, APO13.07, APO14.10, DSS05.02, DSS05.07, MEA02.11</w:t>
      </w:r>
    </w:p>
    <w:p w14:paraId="6AF7C810" w14:textId="77777777" w:rsidR="00925371" w:rsidRPr="004E4CDA" w:rsidRDefault="00925371" w:rsidP="00925371">
      <w:pPr>
        <w:rPr>
          <w:rFonts w:cs="Arial"/>
        </w:rPr>
      </w:pPr>
      <w:r w:rsidRPr="004E4CDA">
        <w:rPr>
          <w:rFonts w:cs="Arial"/>
        </w:rPr>
        <w:t xml:space="preserve">GDPR Article </w:t>
      </w:r>
      <w:r>
        <w:rPr>
          <w:rFonts w:cs="Arial"/>
        </w:rPr>
        <w:t>25, 32</w:t>
      </w:r>
    </w:p>
    <w:p w14:paraId="3EC2F1FE" w14:textId="77777777" w:rsidR="00925371" w:rsidRPr="004E4CDA" w:rsidRDefault="00925371" w:rsidP="00925371">
      <w:pPr>
        <w:rPr>
          <w:rFonts w:cs="Arial"/>
        </w:rPr>
      </w:pPr>
      <w:r>
        <w:rPr>
          <w:rFonts w:cs="Arial"/>
        </w:rPr>
        <w:t xml:space="preserve">HIPAA </w:t>
      </w:r>
      <w:r w:rsidRPr="003B5239">
        <w:rPr>
          <w:rFonts w:cs="Arial"/>
        </w:rPr>
        <w:t>164.308(a)(1)(ii)(B), 164.308(a)(2), 164.308(a)(7)(ii)(E)</w:t>
      </w:r>
    </w:p>
    <w:p w14:paraId="57CA7191" w14:textId="77777777" w:rsidR="00925371" w:rsidRPr="004E4CDA" w:rsidRDefault="00925371" w:rsidP="00925371">
      <w:pPr>
        <w:rPr>
          <w:rFonts w:cs="Arial"/>
        </w:rPr>
      </w:pPr>
      <w:r>
        <w:rPr>
          <w:rFonts w:cs="Arial"/>
        </w:rPr>
        <w:t xml:space="preserve">ISO 27001:2013 </w:t>
      </w:r>
      <w:r w:rsidRPr="003B5239">
        <w:rPr>
          <w:rFonts w:cs="Arial"/>
        </w:rPr>
        <w:t>6.1.3, 8.3, A</w:t>
      </w:r>
      <w:r>
        <w:rPr>
          <w:rFonts w:cs="Arial"/>
        </w:rPr>
        <w:t>.</w:t>
      </w:r>
      <w:r w:rsidRPr="003B5239">
        <w:rPr>
          <w:rFonts w:cs="Arial"/>
        </w:rPr>
        <w:t>13.1.1, A</w:t>
      </w:r>
      <w:r>
        <w:rPr>
          <w:rFonts w:cs="Arial"/>
        </w:rPr>
        <w:t>.</w:t>
      </w:r>
      <w:r w:rsidRPr="003B5239">
        <w:rPr>
          <w:rFonts w:cs="Arial"/>
        </w:rPr>
        <w:t>14</w:t>
      </w:r>
    </w:p>
    <w:p w14:paraId="0C73AEC8" w14:textId="77777777" w:rsidR="00925371" w:rsidRPr="004E4CDA" w:rsidRDefault="00A64A65" w:rsidP="00925371">
      <w:pPr>
        <w:rPr>
          <w:rFonts w:cs="Arial"/>
        </w:rPr>
      </w:pPr>
      <w:r>
        <w:rPr>
          <w:rFonts w:cs="Arial"/>
        </w:rPr>
        <w:t>NIST SP 800-37</w:t>
      </w:r>
      <w:r w:rsidR="00925371">
        <w:rPr>
          <w:rFonts w:cs="Arial"/>
        </w:rPr>
        <w:t xml:space="preserve"> 3.3, 3.4</w:t>
      </w:r>
    </w:p>
    <w:p w14:paraId="4D04DFBC" w14:textId="77777777" w:rsidR="00925371" w:rsidRPr="004E4CDA" w:rsidRDefault="00925371" w:rsidP="00925371">
      <w:pPr>
        <w:rPr>
          <w:rFonts w:cs="Arial"/>
        </w:rPr>
      </w:pPr>
      <w:r>
        <w:rPr>
          <w:rFonts w:cs="Arial"/>
        </w:rPr>
        <w:t xml:space="preserve">NIST SP 800-53 </w:t>
      </w:r>
      <w:r w:rsidRPr="003B5239">
        <w:rPr>
          <w:rFonts w:cs="Arial"/>
        </w:rPr>
        <w:t>AC-3, AC-17-18, AC-20, PL-2, PL-7-8, SC-7-8, SC-10</w:t>
      </w:r>
    </w:p>
    <w:p w14:paraId="4F080829" w14:textId="77777777" w:rsidR="005D5C90" w:rsidRPr="004E4CDA" w:rsidRDefault="005D5C90" w:rsidP="005D5C90">
      <w:pPr>
        <w:rPr>
          <w:rFonts w:cs="Arial"/>
        </w:rPr>
      </w:pPr>
      <w:r>
        <w:rPr>
          <w:rFonts w:cs="Arial"/>
        </w:rPr>
        <w:t xml:space="preserve">NIST Cybersecurity Framework </w:t>
      </w:r>
      <w:r w:rsidRPr="003B5239">
        <w:rPr>
          <w:rFonts w:cs="Arial"/>
        </w:rPr>
        <w:t>ID.AM-6, ID.RM-1, PR.AC-5, PR.DS-1-2</w:t>
      </w:r>
      <w:r>
        <w:rPr>
          <w:rFonts w:cs="Arial"/>
        </w:rPr>
        <w:t xml:space="preserve">, </w:t>
      </w:r>
      <w:r w:rsidRPr="00960F7A">
        <w:rPr>
          <w:rFonts w:cs="Arial"/>
        </w:rPr>
        <w:t>DE.CM-1</w:t>
      </w:r>
    </w:p>
    <w:p w14:paraId="022DF712" w14:textId="77777777" w:rsidR="00925371" w:rsidRPr="000576EE" w:rsidRDefault="00925371" w:rsidP="00925371">
      <w:pPr>
        <w:rPr>
          <w:rFonts w:cs="Arial"/>
        </w:rPr>
      </w:pPr>
      <w:r>
        <w:rPr>
          <w:rFonts w:cs="Arial"/>
        </w:rPr>
        <w:t xml:space="preserve">PCI </w:t>
      </w:r>
      <w:r w:rsidRPr="003B5239">
        <w:rPr>
          <w:rFonts w:cs="Arial"/>
        </w:rPr>
        <w:t>2.1-3, 2.5-6, 4.1, 5.1</w:t>
      </w:r>
    </w:p>
    <w:p w14:paraId="386C2FC7" w14:textId="77777777" w:rsidR="005766C9" w:rsidRPr="000576EE" w:rsidRDefault="005766C9" w:rsidP="003A0C63">
      <w:pPr>
        <w:rPr>
          <w:rFonts w:cs="Arial"/>
        </w:rPr>
      </w:pPr>
    </w:p>
    <w:sectPr w:rsidR="005766C9"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2E1A1" w14:textId="77777777" w:rsidR="00586527" w:rsidRDefault="00586527">
      <w:r>
        <w:separator/>
      </w:r>
    </w:p>
  </w:endnote>
  <w:endnote w:type="continuationSeparator" w:id="0">
    <w:p w14:paraId="1D41E11F" w14:textId="77777777" w:rsidR="00586527" w:rsidRDefault="0058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B742C"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44730E"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8096C"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5D5C90">
      <w:rPr>
        <w:noProof/>
      </w:rPr>
      <w:t>3</w:t>
    </w:r>
    <w:r>
      <w:fldChar w:fldCharType="end"/>
    </w:r>
    <w:r>
      <w:t xml:space="preserve"> of </w:t>
    </w:r>
    <w:fldSimple w:instr=" NUMPAGES ">
      <w:r w:rsidR="005D5C90">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860CB" w14:textId="77777777" w:rsidR="00A64A65" w:rsidRDefault="00A64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73AED" w14:textId="77777777" w:rsidR="00586527" w:rsidRDefault="00586527">
      <w:r>
        <w:separator/>
      </w:r>
    </w:p>
  </w:footnote>
  <w:footnote w:type="continuationSeparator" w:id="0">
    <w:p w14:paraId="1D317934" w14:textId="77777777" w:rsidR="00586527" w:rsidRDefault="00586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18CAE" w14:textId="77777777" w:rsidR="00A64A65" w:rsidRDefault="00A64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36E1F" w14:textId="77777777" w:rsidR="008A427F" w:rsidRPr="00AB5876" w:rsidRDefault="008A427F" w:rsidP="00133095">
    <w:pPr>
      <w:pStyle w:val="Header"/>
      <w:tabs>
        <w:tab w:val="clear" w:pos="4320"/>
        <w:tab w:val="clear" w:pos="8640"/>
      </w:tabs>
      <w:rPr>
        <w:color w:val="365F91"/>
      </w:rPr>
    </w:pPr>
    <w:r w:rsidRPr="00AB5876">
      <w:rPr>
        <w:rFonts w:cs="Arial"/>
        <w:color w:val="365F91"/>
        <w:sz w:val="48"/>
        <w:szCs w:val="48"/>
      </w:rPr>
      <w:t>ABC Company</w:t>
    </w:r>
    <w:r w:rsidRPr="00AB5876">
      <w:rPr>
        <w:color w:val="365F91"/>
      </w:rPr>
      <w:tab/>
    </w:r>
    <w:r w:rsidRPr="00AB5876">
      <w:rPr>
        <w:color w:val="365F91"/>
      </w:rPr>
      <w:tab/>
    </w:r>
  </w:p>
  <w:p w14:paraId="54848848" w14:textId="77777777" w:rsidR="008A427F" w:rsidRPr="000C66B7" w:rsidRDefault="00E15B58">
    <w:pPr>
      <w:pStyle w:val="Header"/>
    </w:pPr>
    <w:r>
      <w:rPr>
        <w:noProof/>
      </w:rPr>
      <mc:AlternateContent>
        <mc:Choice Requires="wps">
          <w:drawing>
            <wp:anchor distT="0" distB="0" distL="114300" distR="114300" simplePos="0" relativeHeight="251657728" behindDoc="0" locked="0" layoutInCell="1" allowOverlap="1" wp14:anchorId="233F5954" wp14:editId="5052C308">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6E0F58"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0FD87" w14:textId="77777777" w:rsidR="00A64A65" w:rsidRDefault="00A64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9A2"/>
    <w:multiLevelType w:val="hybridMultilevel"/>
    <w:tmpl w:val="8F4AAF72"/>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D119B"/>
    <w:multiLevelType w:val="hybridMultilevel"/>
    <w:tmpl w:val="51E65C0A"/>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C4561"/>
    <w:multiLevelType w:val="hybridMultilevel"/>
    <w:tmpl w:val="B694F1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228EE"/>
    <w:multiLevelType w:val="hybridMultilevel"/>
    <w:tmpl w:val="E62E1452"/>
    <w:lvl w:ilvl="0" w:tplc="0AD6F7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3B59A2"/>
    <w:multiLevelType w:val="hybridMultilevel"/>
    <w:tmpl w:val="E6026C7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6"/>
  </w:num>
  <w:num w:numId="5">
    <w:abstractNumId w:val="27"/>
  </w:num>
  <w:num w:numId="6">
    <w:abstractNumId w:val="29"/>
  </w:num>
  <w:num w:numId="7">
    <w:abstractNumId w:val="21"/>
  </w:num>
  <w:num w:numId="8">
    <w:abstractNumId w:val="33"/>
  </w:num>
  <w:num w:numId="9">
    <w:abstractNumId w:val="9"/>
  </w:num>
  <w:num w:numId="10">
    <w:abstractNumId w:val="13"/>
  </w:num>
  <w:num w:numId="11">
    <w:abstractNumId w:val="18"/>
  </w:num>
  <w:num w:numId="12">
    <w:abstractNumId w:val="0"/>
  </w:num>
  <w:num w:numId="13">
    <w:abstractNumId w:val="8"/>
  </w:num>
  <w:num w:numId="14">
    <w:abstractNumId w:val="14"/>
  </w:num>
  <w:num w:numId="15">
    <w:abstractNumId w:val="20"/>
  </w:num>
  <w:num w:numId="16">
    <w:abstractNumId w:val="2"/>
  </w:num>
  <w:num w:numId="17">
    <w:abstractNumId w:val="34"/>
  </w:num>
  <w:num w:numId="18">
    <w:abstractNumId w:val="5"/>
  </w:num>
  <w:num w:numId="19">
    <w:abstractNumId w:val="23"/>
  </w:num>
  <w:num w:numId="20">
    <w:abstractNumId w:val="28"/>
  </w:num>
  <w:num w:numId="21">
    <w:abstractNumId w:val="12"/>
  </w:num>
  <w:num w:numId="22">
    <w:abstractNumId w:val="35"/>
  </w:num>
  <w:num w:numId="23">
    <w:abstractNumId w:val="30"/>
  </w:num>
  <w:num w:numId="24">
    <w:abstractNumId w:val="25"/>
  </w:num>
  <w:num w:numId="25">
    <w:abstractNumId w:val="7"/>
  </w:num>
  <w:num w:numId="26">
    <w:abstractNumId w:val="10"/>
  </w:num>
  <w:num w:numId="27">
    <w:abstractNumId w:val="22"/>
  </w:num>
  <w:num w:numId="28">
    <w:abstractNumId w:val="16"/>
  </w:num>
  <w:num w:numId="29">
    <w:abstractNumId w:val="15"/>
  </w:num>
  <w:num w:numId="30">
    <w:abstractNumId w:val="19"/>
  </w:num>
  <w:num w:numId="31">
    <w:abstractNumId w:val="6"/>
  </w:num>
  <w:num w:numId="32">
    <w:abstractNumId w:val="31"/>
  </w:num>
  <w:num w:numId="33">
    <w:abstractNumId w:val="32"/>
  </w:num>
  <w:num w:numId="34">
    <w:abstractNumId w:val="11"/>
  </w:num>
  <w:num w:numId="35">
    <w:abstractNumId w:val="1"/>
  </w:num>
  <w:num w:numId="36">
    <w:abstractNumId w:val="17"/>
  </w:num>
  <w:num w:numId="37">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40AC"/>
    <w:rsid w:val="00007991"/>
    <w:rsid w:val="00007C5A"/>
    <w:rsid w:val="000106E1"/>
    <w:rsid w:val="0001084E"/>
    <w:rsid w:val="0001194F"/>
    <w:rsid w:val="000128D1"/>
    <w:rsid w:val="00014083"/>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3C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1654"/>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2A23"/>
    <w:rsid w:val="001C2E4E"/>
    <w:rsid w:val="001C31DC"/>
    <w:rsid w:val="001C4E1D"/>
    <w:rsid w:val="001C4F1F"/>
    <w:rsid w:val="001C56C9"/>
    <w:rsid w:val="001C6213"/>
    <w:rsid w:val="001C78FA"/>
    <w:rsid w:val="001C7D99"/>
    <w:rsid w:val="001C7FDE"/>
    <w:rsid w:val="001D0DF6"/>
    <w:rsid w:val="001D117C"/>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4859"/>
    <w:rsid w:val="0021274B"/>
    <w:rsid w:val="00214F3C"/>
    <w:rsid w:val="00217520"/>
    <w:rsid w:val="00217ADA"/>
    <w:rsid w:val="00222552"/>
    <w:rsid w:val="002254F9"/>
    <w:rsid w:val="0022724A"/>
    <w:rsid w:val="00231CC8"/>
    <w:rsid w:val="002320E8"/>
    <w:rsid w:val="00234740"/>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11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3B6E"/>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0C63"/>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49FC"/>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0CA2"/>
    <w:rsid w:val="00491326"/>
    <w:rsid w:val="00491852"/>
    <w:rsid w:val="00492048"/>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222"/>
    <w:rsid w:val="004B7737"/>
    <w:rsid w:val="004C6263"/>
    <w:rsid w:val="004D10F1"/>
    <w:rsid w:val="004D2744"/>
    <w:rsid w:val="004D37A2"/>
    <w:rsid w:val="004D52E7"/>
    <w:rsid w:val="004D5460"/>
    <w:rsid w:val="004E0A1E"/>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111A"/>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3D07"/>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6527"/>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5C90"/>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18BD"/>
    <w:rsid w:val="006236F9"/>
    <w:rsid w:val="00627E2B"/>
    <w:rsid w:val="0063253F"/>
    <w:rsid w:val="00632E19"/>
    <w:rsid w:val="00633351"/>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A33E4"/>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0FC8"/>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4F0E"/>
    <w:rsid w:val="007A50E0"/>
    <w:rsid w:val="007A5F0A"/>
    <w:rsid w:val="007A620D"/>
    <w:rsid w:val="007A688E"/>
    <w:rsid w:val="007B03B2"/>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C0F"/>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2009"/>
    <w:rsid w:val="008034A7"/>
    <w:rsid w:val="00803828"/>
    <w:rsid w:val="00803E65"/>
    <w:rsid w:val="00806792"/>
    <w:rsid w:val="00806A80"/>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4165"/>
    <w:rsid w:val="00845826"/>
    <w:rsid w:val="00845B16"/>
    <w:rsid w:val="0084704C"/>
    <w:rsid w:val="008527BC"/>
    <w:rsid w:val="0085281B"/>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B7DF9"/>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5C6F"/>
    <w:rsid w:val="00907EBC"/>
    <w:rsid w:val="0091061A"/>
    <w:rsid w:val="00911963"/>
    <w:rsid w:val="00912801"/>
    <w:rsid w:val="0091365E"/>
    <w:rsid w:val="0091483D"/>
    <w:rsid w:val="00914DEA"/>
    <w:rsid w:val="00915199"/>
    <w:rsid w:val="009157CC"/>
    <w:rsid w:val="00916A07"/>
    <w:rsid w:val="00916BDD"/>
    <w:rsid w:val="0092027C"/>
    <w:rsid w:val="00920E66"/>
    <w:rsid w:val="00924D4D"/>
    <w:rsid w:val="00925371"/>
    <w:rsid w:val="00927089"/>
    <w:rsid w:val="00927E6F"/>
    <w:rsid w:val="00930CB5"/>
    <w:rsid w:val="00931C46"/>
    <w:rsid w:val="009329F5"/>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9D0"/>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96DA3"/>
    <w:rsid w:val="009A1F64"/>
    <w:rsid w:val="009A25AF"/>
    <w:rsid w:val="009A4D25"/>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1E8"/>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1AB7"/>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4FE6"/>
    <w:rsid w:val="00A45C03"/>
    <w:rsid w:val="00A46403"/>
    <w:rsid w:val="00A47041"/>
    <w:rsid w:val="00A50D75"/>
    <w:rsid w:val="00A52AE7"/>
    <w:rsid w:val="00A52ED2"/>
    <w:rsid w:val="00A5351A"/>
    <w:rsid w:val="00A535F2"/>
    <w:rsid w:val="00A617ED"/>
    <w:rsid w:val="00A64018"/>
    <w:rsid w:val="00A64A65"/>
    <w:rsid w:val="00A67371"/>
    <w:rsid w:val="00A71620"/>
    <w:rsid w:val="00A7568F"/>
    <w:rsid w:val="00A7613A"/>
    <w:rsid w:val="00A77451"/>
    <w:rsid w:val="00A8399F"/>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0951"/>
    <w:rsid w:val="00AD135F"/>
    <w:rsid w:val="00AD1A5A"/>
    <w:rsid w:val="00AD2010"/>
    <w:rsid w:val="00AD2AA8"/>
    <w:rsid w:val="00AD501B"/>
    <w:rsid w:val="00AD5371"/>
    <w:rsid w:val="00AD5C8D"/>
    <w:rsid w:val="00AD5F09"/>
    <w:rsid w:val="00AD62CC"/>
    <w:rsid w:val="00AD699E"/>
    <w:rsid w:val="00AD6D18"/>
    <w:rsid w:val="00AD75C3"/>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04A"/>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6FBE"/>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48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6115"/>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7FB"/>
    <w:rsid w:val="00C25DB7"/>
    <w:rsid w:val="00C26D28"/>
    <w:rsid w:val="00C31285"/>
    <w:rsid w:val="00C351F3"/>
    <w:rsid w:val="00C35F33"/>
    <w:rsid w:val="00C37447"/>
    <w:rsid w:val="00C37837"/>
    <w:rsid w:val="00C4089C"/>
    <w:rsid w:val="00C41F90"/>
    <w:rsid w:val="00C422E7"/>
    <w:rsid w:val="00C42775"/>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77930"/>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76A5"/>
    <w:rsid w:val="00CA7E55"/>
    <w:rsid w:val="00CB0125"/>
    <w:rsid w:val="00CB24E4"/>
    <w:rsid w:val="00CB2B2E"/>
    <w:rsid w:val="00CB46AE"/>
    <w:rsid w:val="00CB59E6"/>
    <w:rsid w:val="00CB78F0"/>
    <w:rsid w:val="00CC09CA"/>
    <w:rsid w:val="00CC2391"/>
    <w:rsid w:val="00CC24AD"/>
    <w:rsid w:val="00CC425D"/>
    <w:rsid w:val="00CC4B55"/>
    <w:rsid w:val="00CC5FB6"/>
    <w:rsid w:val="00CC651B"/>
    <w:rsid w:val="00CC6BB7"/>
    <w:rsid w:val="00CC6CC7"/>
    <w:rsid w:val="00CD2B7B"/>
    <w:rsid w:val="00CD305B"/>
    <w:rsid w:val="00CD72BD"/>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0B1"/>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5B58"/>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3664"/>
    <w:rsid w:val="00E446A4"/>
    <w:rsid w:val="00E449E6"/>
    <w:rsid w:val="00E464DA"/>
    <w:rsid w:val="00E4666F"/>
    <w:rsid w:val="00E46F4A"/>
    <w:rsid w:val="00E50512"/>
    <w:rsid w:val="00E52C5B"/>
    <w:rsid w:val="00E53A12"/>
    <w:rsid w:val="00E545F5"/>
    <w:rsid w:val="00E54900"/>
    <w:rsid w:val="00E54EFD"/>
    <w:rsid w:val="00E56429"/>
    <w:rsid w:val="00E57179"/>
    <w:rsid w:val="00E577BE"/>
    <w:rsid w:val="00E60912"/>
    <w:rsid w:val="00E6142E"/>
    <w:rsid w:val="00E61C23"/>
    <w:rsid w:val="00E62B5B"/>
    <w:rsid w:val="00E652C6"/>
    <w:rsid w:val="00E67252"/>
    <w:rsid w:val="00E721F2"/>
    <w:rsid w:val="00E72DA7"/>
    <w:rsid w:val="00E73D63"/>
    <w:rsid w:val="00E75303"/>
    <w:rsid w:val="00E76D97"/>
    <w:rsid w:val="00E81D0E"/>
    <w:rsid w:val="00E83FA4"/>
    <w:rsid w:val="00E85997"/>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69A2"/>
    <w:rsid w:val="00F06CD4"/>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10D6"/>
    <w:rsid w:val="00F534BD"/>
    <w:rsid w:val="00F61AA9"/>
    <w:rsid w:val="00F61F7B"/>
    <w:rsid w:val="00F62CB4"/>
    <w:rsid w:val="00F65132"/>
    <w:rsid w:val="00F67954"/>
    <w:rsid w:val="00F7217F"/>
    <w:rsid w:val="00F7505A"/>
    <w:rsid w:val="00F77D5D"/>
    <w:rsid w:val="00F81D37"/>
    <w:rsid w:val="00F81DC3"/>
    <w:rsid w:val="00F82FA1"/>
    <w:rsid w:val="00F84460"/>
    <w:rsid w:val="00F84FBE"/>
    <w:rsid w:val="00F8539F"/>
    <w:rsid w:val="00F85611"/>
    <w:rsid w:val="00F86396"/>
    <w:rsid w:val="00F86C92"/>
    <w:rsid w:val="00F87CF0"/>
    <w:rsid w:val="00F87E01"/>
    <w:rsid w:val="00F87FA7"/>
    <w:rsid w:val="00F9004C"/>
    <w:rsid w:val="00F91258"/>
    <w:rsid w:val="00F9292C"/>
    <w:rsid w:val="00F93C48"/>
    <w:rsid w:val="00F93D46"/>
    <w:rsid w:val="00F9402D"/>
    <w:rsid w:val="00F94AD0"/>
    <w:rsid w:val="00F955C6"/>
    <w:rsid w:val="00FA0F9F"/>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3DDB7"/>
  <w15:docId w15:val="{1C7E0DFE-30EC-41DF-B548-95AE44AB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048"/>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3A0C63"/>
    <w:rPr>
      <w:rFonts w:ascii="Arial Bold" w:hAnsi="Arial Bold"/>
      <w:b/>
      <w:bCs/>
      <w:caps w:val="0"/>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Server Hardening Procedure</vt:lpstr>
    </vt:vector>
  </TitlesOfParts>
  <Company>Altius IT</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Hardening Procedure</dc:title>
  <dc:creator>Altius IT</dc:creator>
  <cp:lastModifiedBy>Altius IT</cp:lastModifiedBy>
  <cp:revision>2</cp:revision>
  <cp:lastPrinted>2012-07-23T23:36:00Z</cp:lastPrinted>
  <dcterms:created xsi:type="dcterms:W3CDTF">2020-08-18T15:49:00Z</dcterms:created>
  <dcterms:modified xsi:type="dcterms:W3CDTF">2020-08-18T15:49:00Z</dcterms:modified>
</cp:coreProperties>
</file>