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77BA" w14:textId="77777777" w:rsidR="001C2E4E" w:rsidRPr="00B176F3" w:rsidRDefault="00A2129D" w:rsidP="001C2E4E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Workstation</w:t>
      </w:r>
      <w:r w:rsidR="00D550B1">
        <w:rPr>
          <w:rStyle w:val="Emphasis"/>
          <w:b w:val="0"/>
          <w:i w:val="0"/>
          <w:spacing w:val="0"/>
        </w:rPr>
        <w:t xml:space="preserve"> Hardening Procedure</w:t>
      </w:r>
    </w:p>
    <w:p w14:paraId="23A80DE3" w14:textId="77777777" w:rsidR="001C2E4E" w:rsidRPr="000576EE" w:rsidRDefault="001C2E4E" w:rsidP="001C2E4E">
      <w:pPr>
        <w:jc w:val="center"/>
        <w:rPr>
          <w:rFonts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1C2E4E" w:rsidRPr="009F2F01" w14:paraId="7F4C8E97" w14:textId="77777777" w:rsidTr="00C257FB">
        <w:tc>
          <w:tcPr>
            <w:tcW w:w="1998" w:type="dxa"/>
            <w:shd w:val="clear" w:color="auto" w:fill="C0C0C0"/>
          </w:tcPr>
          <w:p w14:paraId="012985DA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31009B24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IT Policy Library</w:t>
            </w:r>
          </w:p>
        </w:tc>
      </w:tr>
      <w:tr w:rsidR="001C2E4E" w:rsidRPr="009F2F01" w14:paraId="5B283909" w14:textId="77777777" w:rsidTr="00C257FB">
        <w:tc>
          <w:tcPr>
            <w:tcW w:w="1998" w:type="dxa"/>
            <w:shd w:val="clear" w:color="auto" w:fill="C0C0C0"/>
          </w:tcPr>
          <w:p w14:paraId="37072C62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Date</w:t>
            </w:r>
          </w:p>
        </w:tc>
        <w:tc>
          <w:tcPr>
            <w:tcW w:w="6858" w:type="dxa"/>
            <w:shd w:val="clear" w:color="auto" w:fill="auto"/>
          </w:tcPr>
          <w:p w14:paraId="293E6EAA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December 31, 20XX</w:t>
            </w:r>
          </w:p>
        </w:tc>
      </w:tr>
      <w:tr w:rsidR="001C2E4E" w:rsidRPr="009F2F01" w14:paraId="13AFF6C8" w14:textId="77777777" w:rsidTr="00C257FB">
        <w:tc>
          <w:tcPr>
            <w:tcW w:w="1998" w:type="dxa"/>
            <w:shd w:val="clear" w:color="auto" w:fill="C0C0C0"/>
          </w:tcPr>
          <w:p w14:paraId="312100D6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5A29E12A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Policy Committee </w:t>
            </w:r>
          </w:p>
        </w:tc>
      </w:tr>
      <w:tr w:rsidR="001C2E4E" w:rsidRPr="009F2F01" w14:paraId="3621A60E" w14:textId="77777777" w:rsidTr="00C257FB">
        <w:tc>
          <w:tcPr>
            <w:tcW w:w="1998" w:type="dxa"/>
            <w:shd w:val="clear" w:color="auto" w:fill="C0C0C0"/>
          </w:tcPr>
          <w:p w14:paraId="609B070F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366AB154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January 1, 20XX</w:t>
            </w:r>
          </w:p>
        </w:tc>
      </w:tr>
      <w:tr w:rsidR="001C2E4E" w:rsidRPr="009F2F01" w14:paraId="15109752" w14:textId="77777777" w:rsidTr="00C257FB">
        <w:tc>
          <w:tcPr>
            <w:tcW w:w="1998" w:type="dxa"/>
            <w:shd w:val="clear" w:color="auto" w:fill="C0C0C0"/>
          </w:tcPr>
          <w:p w14:paraId="43EC25F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5578C45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</w:tr>
    </w:tbl>
    <w:p w14:paraId="3889DF3C" w14:textId="77777777" w:rsidR="001C2E4E" w:rsidRPr="000576EE" w:rsidRDefault="001C2E4E" w:rsidP="001C2E4E">
      <w:pPr>
        <w:rPr>
          <w:rFonts w:cs="Arial"/>
        </w:rPr>
      </w:pPr>
    </w:p>
    <w:p w14:paraId="1C45CE5A" w14:textId="77777777" w:rsidR="001C2E4E" w:rsidRPr="003E5988" w:rsidRDefault="001C2E4E" w:rsidP="001C2E4E">
      <w:pPr>
        <w:pStyle w:val="Heading1"/>
      </w:pPr>
      <w:r w:rsidRPr="003E5988">
        <w:t>I. Overview</w:t>
      </w:r>
    </w:p>
    <w:p w14:paraId="3D0A0619" w14:textId="77777777" w:rsidR="001C2E4E" w:rsidRPr="000576EE" w:rsidRDefault="00A2129D" w:rsidP="001D117C">
      <w:pPr>
        <w:rPr>
          <w:rFonts w:cs="Arial"/>
        </w:rPr>
      </w:pPr>
      <w:r>
        <w:rPr>
          <w:rFonts w:cs="Arial"/>
        </w:rPr>
        <w:t>Po</w:t>
      </w:r>
      <w:r w:rsidR="001D117C" w:rsidRPr="001D117C">
        <w:rPr>
          <w:rFonts w:cs="Arial"/>
        </w:rPr>
        <w:t xml:space="preserve">licies provide management direction and guidance </w:t>
      </w:r>
      <w:r w:rsidR="00F06CD4">
        <w:rPr>
          <w:rFonts w:cs="Arial"/>
        </w:rPr>
        <w:t>to ensure systems and data are properly protected.</w:t>
      </w:r>
      <w:r w:rsidR="001D117C">
        <w:rPr>
          <w:rFonts w:cs="Arial"/>
        </w:rPr>
        <w:t xml:space="preserve"> Procedures d</w:t>
      </w:r>
      <w:r w:rsidR="001D117C" w:rsidRPr="001D117C">
        <w:rPr>
          <w:rFonts w:cs="Arial"/>
        </w:rPr>
        <w:t xml:space="preserve">ocument a detailed description of the steps necessary to perform specific operations </w:t>
      </w:r>
      <w:r w:rsidR="001D117C">
        <w:rPr>
          <w:rFonts w:cs="Arial"/>
        </w:rPr>
        <w:t>that comply with ABC Company’s</w:t>
      </w:r>
      <w:r w:rsidR="001D117C" w:rsidRPr="001D117C">
        <w:rPr>
          <w:rFonts w:cs="Arial"/>
        </w:rPr>
        <w:t xml:space="preserve"> </w:t>
      </w:r>
      <w:r w:rsidR="001D117C">
        <w:rPr>
          <w:rFonts w:cs="Arial"/>
        </w:rPr>
        <w:t>policies</w:t>
      </w:r>
      <w:r w:rsidR="001D117C" w:rsidRPr="001D117C">
        <w:rPr>
          <w:rFonts w:cs="Arial"/>
        </w:rPr>
        <w:t xml:space="preserve">. </w:t>
      </w:r>
    </w:p>
    <w:p w14:paraId="4498B7C9" w14:textId="77777777" w:rsidR="001C2E4E" w:rsidRPr="00557ACD" w:rsidRDefault="001C2E4E" w:rsidP="001C2E4E">
      <w:pPr>
        <w:pStyle w:val="Heading1"/>
      </w:pPr>
      <w:r w:rsidRPr="00557ACD">
        <w:t>II. Purpose</w:t>
      </w:r>
    </w:p>
    <w:p w14:paraId="31CF7788" w14:textId="77777777" w:rsidR="001D117C" w:rsidRPr="001D117C" w:rsidRDefault="00C42775" w:rsidP="001D117C">
      <w:pPr>
        <w:rPr>
          <w:rFonts w:cs="Arial"/>
        </w:rPr>
      </w:pPr>
      <w:r>
        <w:rPr>
          <w:rFonts w:cs="Arial"/>
        </w:rPr>
        <w:t>The purpose of this p</w:t>
      </w:r>
      <w:r w:rsidR="001D117C" w:rsidRPr="001D117C">
        <w:rPr>
          <w:rFonts w:cs="Arial"/>
        </w:rPr>
        <w:t>rocedure is to formally document the series of steps taken to meet the requirem</w:t>
      </w:r>
      <w:r w:rsidR="00996DA3">
        <w:rPr>
          <w:rFonts w:cs="Arial"/>
        </w:rPr>
        <w:t xml:space="preserve">ents specified in ABC Company's </w:t>
      </w:r>
      <w:r w:rsidR="00A2129D">
        <w:rPr>
          <w:rFonts w:cs="Arial"/>
        </w:rPr>
        <w:t>Workstation</w:t>
      </w:r>
      <w:r w:rsidR="000A1654">
        <w:rPr>
          <w:rFonts w:cs="Arial"/>
        </w:rPr>
        <w:t xml:space="preserve"> Hardening</w:t>
      </w:r>
      <w:r w:rsidR="00996DA3">
        <w:rPr>
          <w:rFonts w:cs="Arial"/>
        </w:rPr>
        <w:t xml:space="preserve"> Policy.</w:t>
      </w:r>
    </w:p>
    <w:p w14:paraId="7F296A41" w14:textId="77777777" w:rsidR="001C2E4E" w:rsidRPr="000576EE" w:rsidRDefault="001C2E4E" w:rsidP="001C2E4E">
      <w:pPr>
        <w:pStyle w:val="Heading1"/>
      </w:pPr>
      <w:r w:rsidRPr="000576EE">
        <w:t>III. Scope</w:t>
      </w:r>
    </w:p>
    <w:p w14:paraId="72DE353F" w14:textId="77777777" w:rsidR="001C2E4E" w:rsidRPr="000576EE" w:rsidRDefault="001C2E4E" w:rsidP="001C2E4E">
      <w:pPr>
        <w:rPr>
          <w:rFonts w:cs="Arial"/>
        </w:rPr>
      </w:pPr>
      <w:r>
        <w:rPr>
          <w:rFonts w:cs="Arial"/>
        </w:rPr>
        <w:t xml:space="preserve">This </w:t>
      </w:r>
      <w:r w:rsidR="00C42775">
        <w:rPr>
          <w:rFonts w:cs="Arial"/>
        </w:rPr>
        <w:t>procedure</w:t>
      </w:r>
      <w:r w:rsidRPr="00D1463B">
        <w:rPr>
          <w:rFonts w:cs="Arial"/>
        </w:rPr>
        <w:t xml:space="preserve"> applies </w:t>
      </w:r>
      <w:r>
        <w:rPr>
          <w:rFonts w:cs="Arial"/>
        </w:rPr>
        <w:t>to</w:t>
      </w:r>
      <w:r w:rsidRPr="00F14198">
        <w:rPr>
          <w:rFonts w:cs="Arial"/>
        </w:rPr>
        <w:t xml:space="preserve"> </w:t>
      </w:r>
      <w:r w:rsidR="00B46FBE">
        <w:rPr>
          <w:rFonts w:cs="Arial"/>
        </w:rPr>
        <w:t xml:space="preserve">IT Department Staff who administer </w:t>
      </w:r>
      <w:r w:rsidR="00A2129D">
        <w:rPr>
          <w:rFonts w:cs="Arial"/>
        </w:rPr>
        <w:t>workstations</w:t>
      </w:r>
      <w:r w:rsidR="00B46FBE">
        <w:rPr>
          <w:rFonts w:cs="Arial"/>
        </w:rPr>
        <w:t>.</w:t>
      </w:r>
    </w:p>
    <w:p w14:paraId="51ADB8FB" w14:textId="77777777" w:rsidR="001C2E4E" w:rsidRPr="000576EE" w:rsidRDefault="00905C6F" w:rsidP="001C2E4E">
      <w:pPr>
        <w:pStyle w:val="Heading1"/>
      </w:pPr>
      <w:r>
        <w:t>IV. Procedure</w:t>
      </w:r>
    </w:p>
    <w:p w14:paraId="109E6235" w14:textId="77777777" w:rsidR="00996DA3" w:rsidRPr="00492048" w:rsidRDefault="00996DA3" w:rsidP="00492048">
      <w:pPr>
        <w:jc w:val="left"/>
      </w:pPr>
      <w:r w:rsidRPr="00492048">
        <w:t xml:space="preserve">Physical security.  Ensure </w:t>
      </w:r>
      <w:r w:rsidR="00F820AD">
        <w:t>workstations are</w:t>
      </w:r>
      <w:r w:rsidRPr="00492048">
        <w:t xml:space="preserve"> placed in physical location</w:t>
      </w:r>
      <w:r w:rsidR="00F820AD">
        <w:t>s</w:t>
      </w:r>
      <w:r w:rsidRPr="00492048">
        <w:t xml:space="preserve"> that restrict acc</w:t>
      </w:r>
      <w:r w:rsidR="00F820AD">
        <w:t>ess to authorized individuals.</w:t>
      </w:r>
      <w:r w:rsidR="00F76EF0">
        <w:t xml:space="preserve">  L</w:t>
      </w:r>
      <w:r w:rsidR="00F76EF0" w:rsidRPr="00F76EF0">
        <w:t xml:space="preserve">aptops </w:t>
      </w:r>
      <w:r w:rsidR="00F76EF0">
        <w:t xml:space="preserve">and other mobile devices </w:t>
      </w:r>
      <w:r w:rsidR="00F76EF0" w:rsidRPr="00F76EF0">
        <w:t>shall be secured through the use of cable locks or locki</w:t>
      </w:r>
      <w:r w:rsidR="00F76EF0">
        <w:t>ng the devices in drawers or cabinets when not in use.</w:t>
      </w:r>
    </w:p>
    <w:p w14:paraId="272A49BF" w14:textId="77777777" w:rsidR="00996DA3" w:rsidRPr="00492048" w:rsidRDefault="00996DA3" w:rsidP="00492048">
      <w:pPr>
        <w:jc w:val="left"/>
      </w:pPr>
    </w:p>
    <w:p w14:paraId="1C5BEA99" w14:textId="77777777" w:rsidR="0088775A" w:rsidRDefault="0088775A" w:rsidP="0088775A">
      <w:pPr>
        <w:jc w:val="left"/>
      </w:pPr>
      <w:r>
        <w:t xml:space="preserve">Accounts.  </w:t>
      </w:r>
      <w:r w:rsidR="00D576DD">
        <w:t xml:space="preserve">Delete </w:t>
      </w:r>
      <w:r>
        <w:t>unneeded user accounts.</w:t>
      </w:r>
    </w:p>
    <w:p w14:paraId="0D43AAA1" w14:textId="77777777" w:rsidR="0088775A" w:rsidRDefault="0088775A" w:rsidP="0088775A">
      <w:pPr>
        <w:jc w:val="left"/>
      </w:pPr>
    </w:p>
    <w:p w14:paraId="77F59B0E" w14:textId="77777777" w:rsidR="0088775A" w:rsidRDefault="0088775A" w:rsidP="0088775A">
      <w:pPr>
        <w:jc w:val="left"/>
      </w:pPr>
      <w:r>
        <w:t>Applications.  Remove unneeded programs, applications, and services.</w:t>
      </w:r>
    </w:p>
    <w:p w14:paraId="244A6D9C" w14:textId="77777777" w:rsidR="0088775A" w:rsidRDefault="0088775A" w:rsidP="0088775A">
      <w:pPr>
        <w:jc w:val="left"/>
      </w:pPr>
    </w:p>
    <w:p w14:paraId="565BC785" w14:textId="77777777" w:rsidR="00996DA3" w:rsidRPr="00492048" w:rsidRDefault="00996DA3" w:rsidP="00492048">
      <w:pPr>
        <w:jc w:val="left"/>
      </w:pPr>
      <w:r w:rsidRPr="00492048">
        <w:t>Alerts, advisories, an</w:t>
      </w:r>
      <w:r w:rsidR="00704E0D">
        <w:t>d vulnerability announcements.  M</w:t>
      </w:r>
      <w:r w:rsidRPr="00492048">
        <w:t>onitor manufacturer alerts, advisories, and vulnerability announcements.  Ensure patches and updates a</w:t>
      </w:r>
      <w:r w:rsidR="00F06CD4">
        <w:t xml:space="preserve">re installed </w:t>
      </w:r>
      <w:r w:rsidR="00802009">
        <w:t xml:space="preserve">at the time a new </w:t>
      </w:r>
      <w:r w:rsidR="00704E0D">
        <w:t>workstation</w:t>
      </w:r>
      <w:r w:rsidR="00802009">
        <w:t xml:space="preserve"> is placed into production and on-going per the Patch Management Policy.</w:t>
      </w:r>
    </w:p>
    <w:p w14:paraId="1A022EF5" w14:textId="77777777" w:rsidR="00704E0D" w:rsidRDefault="00704E0D" w:rsidP="00492048">
      <w:pPr>
        <w:jc w:val="left"/>
      </w:pPr>
    </w:p>
    <w:p w14:paraId="60D02739" w14:textId="77777777" w:rsidR="00996DA3" w:rsidRDefault="00F87FA7" w:rsidP="00492048">
      <w:pPr>
        <w:jc w:val="left"/>
      </w:pPr>
      <w:r>
        <w:t xml:space="preserve">Passwords.  </w:t>
      </w:r>
      <w:r w:rsidR="0088775A">
        <w:t xml:space="preserve">Educate users to choose </w:t>
      </w:r>
      <w:r w:rsidR="00996DA3" w:rsidRPr="00492048">
        <w:t xml:space="preserve">a long and complex memorized secret (i.e. password) </w:t>
      </w:r>
      <w:r w:rsidR="0088775A">
        <w:t>that</w:t>
      </w:r>
      <w:r w:rsidR="007B08E2">
        <w:t xml:space="preserve"> </w:t>
      </w:r>
      <w:r>
        <w:t>complies with the Password Policy</w:t>
      </w:r>
      <w:r w:rsidR="00492048" w:rsidRPr="00492048">
        <w:t>.</w:t>
      </w:r>
      <w:r>
        <w:t xml:space="preserve">  </w:t>
      </w:r>
      <w:r w:rsidR="007B08E2">
        <w:t>When changing a password, educate users not to choose a recent prior password (password history).  See the Password Policy for more information.</w:t>
      </w:r>
    </w:p>
    <w:p w14:paraId="2C7D94B8" w14:textId="77777777" w:rsidR="0088775A" w:rsidRDefault="0088775A" w:rsidP="00492048">
      <w:pPr>
        <w:jc w:val="left"/>
      </w:pPr>
    </w:p>
    <w:p w14:paraId="68BF169B" w14:textId="77777777" w:rsidR="0088775A" w:rsidRDefault="0088775A" w:rsidP="00492048">
      <w:pPr>
        <w:jc w:val="left"/>
      </w:pPr>
      <w:r>
        <w:t>Groups.  Where possible, assign the user/account to a group.  Review and maintain group access rights on a regular basis.</w:t>
      </w:r>
    </w:p>
    <w:p w14:paraId="05D32841" w14:textId="77777777" w:rsidR="001C2A23" w:rsidRDefault="001C2A23" w:rsidP="001C2A23">
      <w:pPr>
        <w:jc w:val="left"/>
      </w:pPr>
    </w:p>
    <w:p w14:paraId="10BC0754" w14:textId="77777777" w:rsidR="00AD0951" w:rsidRDefault="00AD0951" w:rsidP="007B03B2">
      <w:pPr>
        <w:jc w:val="left"/>
      </w:pPr>
      <w:r>
        <w:t xml:space="preserve">Firewall.  As a general rule, </w:t>
      </w:r>
      <w:r w:rsidR="009809D0">
        <w:t xml:space="preserve">each </w:t>
      </w:r>
      <w:r w:rsidR="007B08E2">
        <w:t>workstation</w:t>
      </w:r>
      <w:r>
        <w:t xml:space="preserve"> should have a software firewall activated on the device.</w:t>
      </w:r>
      <w:r w:rsidR="009809D0">
        <w:t xml:space="preserve">  The software firewall helps protect against network based attacks.</w:t>
      </w:r>
    </w:p>
    <w:p w14:paraId="1871E075" w14:textId="77777777" w:rsidR="007B03B2" w:rsidRDefault="007B03B2" w:rsidP="007B03B2">
      <w:pPr>
        <w:jc w:val="left"/>
      </w:pPr>
    </w:p>
    <w:p w14:paraId="63BCB228" w14:textId="77777777" w:rsidR="007B08E2" w:rsidRPr="00492048" w:rsidRDefault="007B08E2" w:rsidP="007B08E2">
      <w:pPr>
        <w:jc w:val="left"/>
      </w:pPr>
      <w:r>
        <w:t>Anti-Malware.  Ensure the device is protected from malicious software such as viruses, worms, Trojan Horse programs, etc.  Ensure the Malware software and definitions are updated in a timely manner.  Refer to the Anti-Malware Policy for more information.</w:t>
      </w:r>
    </w:p>
    <w:p w14:paraId="590B9793" w14:textId="77777777" w:rsidR="007B08E2" w:rsidRDefault="007B08E2" w:rsidP="00492048">
      <w:pPr>
        <w:jc w:val="left"/>
      </w:pPr>
    </w:p>
    <w:p w14:paraId="2CC2C396" w14:textId="77777777" w:rsidR="0088775A" w:rsidRDefault="0088775A" w:rsidP="00492048">
      <w:pPr>
        <w:jc w:val="left"/>
      </w:pPr>
      <w:r>
        <w:t>Sharing.  Where possible, disable file and printer s</w:t>
      </w:r>
      <w:r w:rsidRPr="0088775A">
        <w:t>haring service</w:t>
      </w:r>
      <w:r>
        <w:t>s</w:t>
      </w:r>
      <w:r w:rsidRPr="0088775A">
        <w:t>.</w:t>
      </w:r>
    </w:p>
    <w:p w14:paraId="46D61B85" w14:textId="77777777" w:rsidR="0088775A" w:rsidRDefault="0088775A" w:rsidP="00492048">
      <w:pPr>
        <w:jc w:val="left"/>
      </w:pPr>
    </w:p>
    <w:p w14:paraId="1EEAA8D7" w14:textId="77777777" w:rsidR="0088775A" w:rsidRDefault="0088775A" w:rsidP="00492048">
      <w:pPr>
        <w:jc w:val="left"/>
      </w:pPr>
      <w:r>
        <w:t xml:space="preserve">Monitors.  Configure workstations to have </w:t>
      </w:r>
      <w:r w:rsidRPr="0088775A">
        <w:t>a password protected screen saver activated within a short timeout period</w:t>
      </w:r>
      <w:r w:rsidR="001568A7">
        <w:t xml:space="preserve">.  This </w:t>
      </w:r>
      <w:r w:rsidRPr="0088775A">
        <w:t>ensure</w:t>
      </w:r>
      <w:r w:rsidR="001568A7">
        <w:t>s</w:t>
      </w:r>
      <w:r w:rsidRPr="0088775A">
        <w:t xml:space="preserve"> that workstations that were left unsecured are protected</w:t>
      </w:r>
      <w:r>
        <w:t xml:space="preserve">.  </w:t>
      </w:r>
      <w:r w:rsidR="001568A7">
        <w:t>Position monitors so that only authorized personnel can read the information on the screen.</w:t>
      </w:r>
    </w:p>
    <w:p w14:paraId="2B5C0CAF" w14:textId="77777777" w:rsidR="00F76EF0" w:rsidRDefault="00F76EF0" w:rsidP="00492048">
      <w:pPr>
        <w:jc w:val="left"/>
      </w:pPr>
    </w:p>
    <w:p w14:paraId="055F617B" w14:textId="77777777" w:rsidR="00F76EF0" w:rsidRDefault="00F76EF0" w:rsidP="00492048">
      <w:pPr>
        <w:jc w:val="left"/>
      </w:pPr>
      <w:r>
        <w:t>Data.  Where possible, configure the Workstation so a</w:t>
      </w:r>
      <w:r w:rsidRPr="00F76EF0">
        <w:t xml:space="preserve">ll </w:t>
      </w:r>
      <w:r>
        <w:t>Sensitive I</w:t>
      </w:r>
      <w:r w:rsidRPr="00F76EF0">
        <w:t xml:space="preserve">nformation </w:t>
      </w:r>
      <w:r>
        <w:t>is</w:t>
      </w:r>
      <w:r w:rsidRPr="00F76EF0">
        <w:t xml:space="preserve"> stored on</w:t>
      </w:r>
      <w:r>
        <w:t xml:space="preserve"> network servers.  Sensitive I</w:t>
      </w:r>
      <w:r w:rsidRPr="00F76EF0">
        <w:t>nformation shall be encrypted and comply with ABC Company’s Encrypti</w:t>
      </w:r>
      <w:r>
        <w:t>on Policy.  Laptops containing Sensitive I</w:t>
      </w:r>
      <w:r w:rsidRPr="00F76EF0">
        <w:t>nformation shall hav</w:t>
      </w:r>
      <w:r>
        <w:t>e the hard drives encrypted.</w:t>
      </w:r>
    </w:p>
    <w:p w14:paraId="372B5F3C" w14:textId="77777777" w:rsidR="0088775A" w:rsidRPr="00492048" w:rsidRDefault="0088775A" w:rsidP="00492048">
      <w:pPr>
        <w:jc w:val="left"/>
      </w:pPr>
    </w:p>
    <w:p w14:paraId="15F15971" w14:textId="77777777" w:rsidR="00633351" w:rsidRDefault="00633351" w:rsidP="00492048">
      <w:pPr>
        <w:jc w:val="left"/>
      </w:pPr>
      <w:r>
        <w:t xml:space="preserve">Testing.  Where possible, the </w:t>
      </w:r>
      <w:r w:rsidR="0088775A">
        <w:t>device</w:t>
      </w:r>
      <w:r>
        <w:t xml:space="preserve"> should be tested prior to installing the device in a production environment.  </w:t>
      </w:r>
    </w:p>
    <w:p w14:paraId="6700F2F4" w14:textId="77777777" w:rsidR="00633351" w:rsidRPr="00492048" w:rsidRDefault="00633351" w:rsidP="00492048">
      <w:pPr>
        <w:jc w:val="left"/>
      </w:pPr>
    </w:p>
    <w:p w14:paraId="2A756F9B" w14:textId="77777777" w:rsidR="00996DA3" w:rsidRPr="00492048" w:rsidRDefault="00996DA3" w:rsidP="00492048">
      <w:pPr>
        <w:jc w:val="left"/>
      </w:pPr>
      <w:r w:rsidRPr="00492048">
        <w:t xml:space="preserve">Management sessions.  Administrators should not connect to the device </w:t>
      </w:r>
      <w:r w:rsidR="00CB2B2E">
        <w:t xml:space="preserve">using unsecure services </w:t>
      </w:r>
      <w:r w:rsidR="0091061A">
        <w:t>where</w:t>
      </w:r>
      <w:r w:rsidRPr="00492048">
        <w:t xml:space="preserve"> communications are not encrypted.</w:t>
      </w:r>
      <w:r w:rsidR="00E43664">
        <w:t xml:space="preserve">  Ensure only authorized personnel are allowed to access and administer the device.</w:t>
      </w:r>
    </w:p>
    <w:p w14:paraId="76475589" w14:textId="77777777" w:rsidR="00E577BE" w:rsidRPr="00492048" w:rsidRDefault="00E577BE" w:rsidP="00492048">
      <w:pPr>
        <w:jc w:val="left"/>
      </w:pPr>
    </w:p>
    <w:p w14:paraId="29A96CDF" w14:textId="77777777" w:rsidR="00996DA3" w:rsidRPr="00492048" w:rsidRDefault="00492048" w:rsidP="00492048">
      <w:pPr>
        <w:jc w:val="left"/>
      </w:pPr>
      <w:r w:rsidRPr="00492048">
        <w:t xml:space="preserve">Manufacturer </w:t>
      </w:r>
      <w:r w:rsidR="00996DA3" w:rsidRPr="00492048">
        <w:t>resources.  Refer to manufacturer resources for additional guidance on hardening</w:t>
      </w:r>
      <w:r w:rsidRPr="00492048">
        <w:t xml:space="preserve"> </w:t>
      </w:r>
      <w:r w:rsidR="00A23806">
        <w:t>workstations</w:t>
      </w:r>
      <w:r w:rsidRPr="00492048">
        <w:t xml:space="preserve"> and specific security functionality.  </w:t>
      </w:r>
    </w:p>
    <w:p w14:paraId="63C2637A" w14:textId="77777777" w:rsidR="001C2E4E" w:rsidRPr="000576EE" w:rsidRDefault="00492048" w:rsidP="00492048">
      <w:pPr>
        <w:pStyle w:val="Heading1"/>
        <w:tabs>
          <w:tab w:val="left" w:pos="5023"/>
        </w:tabs>
      </w:pPr>
      <w:r>
        <w:t xml:space="preserve">V. Enforcement </w:t>
      </w:r>
    </w:p>
    <w:p w14:paraId="336F2F90" w14:textId="77777777" w:rsidR="001C2E4E" w:rsidRPr="000576EE" w:rsidRDefault="001C2E4E" w:rsidP="001C2E4E">
      <w:pPr>
        <w:rPr>
          <w:rFonts w:cs="Arial"/>
        </w:rPr>
      </w:pPr>
      <w:r w:rsidRPr="000576EE">
        <w:rPr>
          <w:rFonts w:cs="Arial"/>
        </w:rPr>
        <w:t xml:space="preserve">Any Staff member found to have violated this </w:t>
      </w:r>
      <w:r w:rsidR="00C42775">
        <w:rPr>
          <w:rFonts w:cs="Arial"/>
        </w:rPr>
        <w:t>procedure</w:t>
      </w:r>
      <w:r w:rsidRPr="000576EE">
        <w:rPr>
          <w:rFonts w:cs="Arial"/>
        </w:rPr>
        <w:t xml:space="preserve"> may be subject to disciplinary action, up to and including termination.</w:t>
      </w:r>
    </w:p>
    <w:p w14:paraId="4B8084E6" w14:textId="77777777" w:rsidR="001C2E4E" w:rsidRPr="000576EE" w:rsidRDefault="001C2E4E" w:rsidP="001C2E4E">
      <w:pPr>
        <w:pStyle w:val="Heading1"/>
      </w:pPr>
      <w:r w:rsidRPr="000576EE">
        <w:t>VI. Distribution</w:t>
      </w:r>
    </w:p>
    <w:p w14:paraId="1C774060" w14:textId="3E27ABC3" w:rsidR="001C2E4E" w:rsidRPr="000576EE" w:rsidRDefault="00B46FBE" w:rsidP="001C2E4E">
      <w:pPr>
        <w:rPr>
          <w:rFonts w:cs="Arial"/>
        </w:rPr>
      </w:pPr>
      <w:r w:rsidRPr="00583EBD">
        <w:rPr>
          <w:rFonts w:cs="Arial"/>
        </w:rPr>
        <w:t xml:space="preserve">This </w:t>
      </w:r>
      <w:r w:rsidR="00EB6B14" w:rsidRPr="00583EBD">
        <w:rPr>
          <w:rFonts w:cs="Arial"/>
        </w:rPr>
        <w:t>p</w:t>
      </w:r>
      <w:r w:rsidR="00EB6B14">
        <w:rPr>
          <w:rFonts w:cs="Arial"/>
        </w:rPr>
        <w:t>rocedure</w:t>
      </w:r>
      <w:r w:rsidRPr="00583EBD">
        <w:rPr>
          <w:rFonts w:cs="Arial"/>
        </w:rPr>
        <w:t xml:space="preserve"> is to be distributed to </w:t>
      </w:r>
      <w:r>
        <w:rPr>
          <w:rFonts w:cs="Arial"/>
        </w:rPr>
        <w:t xml:space="preserve">IT Department Staff who administer </w:t>
      </w:r>
      <w:r w:rsidR="00A23806">
        <w:rPr>
          <w:rFonts w:cs="Arial"/>
        </w:rPr>
        <w:t>workstations</w:t>
      </w:r>
      <w:r>
        <w:rPr>
          <w:rFonts w:cs="Arial"/>
        </w:rPr>
        <w:t xml:space="preserve"> and the Chief Security Officer.</w:t>
      </w:r>
    </w:p>
    <w:p w14:paraId="25ED6E08" w14:textId="77777777" w:rsidR="001C2E4E" w:rsidRPr="000576EE" w:rsidRDefault="001C2E4E" w:rsidP="001C2E4E">
      <w:pPr>
        <w:rPr>
          <w:rFonts w:cs="Arial"/>
        </w:rPr>
      </w:pPr>
    </w:p>
    <w:p w14:paraId="20A2E381" w14:textId="77777777" w:rsidR="001C2E4E" w:rsidRPr="000576EE" w:rsidRDefault="001C2E4E" w:rsidP="001C2E4E">
      <w:pPr>
        <w:rPr>
          <w:rFonts w:cs="Arial"/>
          <w:b/>
        </w:rPr>
      </w:pPr>
      <w:r>
        <w:rPr>
          <w:rFonts w:cs="Arial"/>
          <w:b/>
        </w:rPr>
        <w:t>Procedure</w:t>
      </w:r>
      <w:r w:rsidRPr="000576EE">
        <w:rPr>
          <w:rFonts w:cs="Arial"/>
          <w:b/>
        </w:rPr>
        <w:t xml:space="preserve"> History</w:t>
      </w:r>
    </w:p>
    <w:p w14:paraId="23FE80FD" w14:textId="77777777" w:rsidR="001C2E4E" w:rsidRDefault="001C2E4E" w:rsidP="001C2E4E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1C2E4E" w:rsidRPr="009F2F01" w14:paraId="60ADE661" w14:textId="77777777" w:rsidTr="00C257FB">
        <w:tc>
          <w:tcPr>
            <w:tcW w:w="1137" w:type="dxa"/>
            <w:shd w:val="clear" w:color="auto" w:fill="C0C0C0"/>
          </w:tcPr>
          <w:p w14:paraId="75A73B6E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2B9FDCC7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2EE594D6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388BA7B7" w14:textId="77777777" w:rsidR="001C2E4E" w:rsidRPr="009F2F01" w:rsidRDefault="001C2E4E" w:rsidP="00C257FB">
            <w:pPr>
              <w:jc w:val="center"/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</w:tr>
      <w:tr w:rsidR="001C2E4E" w:rsidRPr="009F2F01" w14:paraId="290C2D65" w14:textId="77777777" w:rsidTr="00C257FB">
        <w:tc>
          <w:tcPr>
            <w:tcW w:w="1137" w:type="dxa"/>
            <w:shd w:val="clear" w:color="auto" w:fill="auto"/>
          </w:tcPr>
          <w:p w14:paraId="0A6BFB59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6B962C38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7B2B4498" w14:textId="77777777" w:rsidR="001C2E4E" w:rsidRPr="009F2F01" w:rsidRDefault="001C2E4E" w:rsidP="001C2E4E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Initial </w:t>
            </w:r>
            <w:r>
              <w:rPr>
                <w:rFonts w:cs="Arial"/>
              </w:rPr>
              <w:t>procedure</w:t>
            </w:r>
            <w:r w:rsidRPr="009F2F01">
              <w:rPr>
                <w:rFonts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45F37CEB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6A031BDC" w14:textId="77777777" w:rsidTr="00C257FB">
        <w:tc>
          <w:tcPr>
            <w:tcW w:w="1137" w:type="dxa"/>
            <w:shd w:val="clear" w:color="auto" w:fill="auto"/>
          </w:tcPr>
          <w:p w14:paraId="5336565B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69BB2A7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E21A973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C6E997C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06C29B76" w14:textId="77777777" w:rsidTr="00C257FB">
        <w:tc>
          <w:tcPr>
            <w:tcW w:w="1137" w:type="dxa"/>
            <w:shd w:val="clear" w:color="auto" w:fill="auto"/>
          </w:tcPr>
          <w:p w14:paraId="1450C3D5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9756DFC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90951D0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5945660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4404FE52" w14:textId="77777777" w:rsidTr="00C257FB">
        <w:tc>
          <w:tcPr>
            <w:tcW w:w="1137" w:type="dxa"/>
            <w:shd w:val="clear" w:color="auto" w:fill="auto"/>
          </w:tcPr>
          <w:p w14:paraId="72D2B7A2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8DBC3C8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1F281EF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0F6F8319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6B519E6C" w14:textId="77777777" w:rsidTr="00C257FB">
        <w:tc>
          <w:tcPr>
            <w:tcW w:w="1137" w:type="dxa"/>
            <w:shd w:val="clear" w:color="auto" w:fill="auto"/>
          </w:tcPr>
          <w:p w14:paraId="0E9D5806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546958D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FE424FA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E6B7419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</w:tbl>
    <w:p w14:paraId="3537900B" w14:textId="77777777" w:rsidR="005D10FA" w:rsidRDefault="005D10FA" w:rsidP="005D10FA">
      <w:pPr>
        <w:rPr>
          <w:rFonts w:cs="Arial"/>
        </w:rPr>
      </w:pPr>
    </w:p>
    <w:p w14:paraId="2F9DC4BF" w14:textId="77777777" w:rsidR="005D10FA" w:rsidRDefault="005D10FA" w:rsidP="005D10FA">
      <w:pPr>
        <w:rPr>
          <w:rFonts w:cs="Arial"/>
        </w:rPr>
      </w:pPr>
    </w:p>
    <w:p w14:paraId="5291A98E" w14:textId="77777777" w:rsidR="005D10FA" w:rsidRPr="004E4CDA" w:rsidRDefault="005D10FA" w:rsidP="005D10FA">
      <w:pPr>
        <w:rPr>
          <w:rFonts w:cs="Arial"/>
          <w:b/>
        </w:rPr>
      </w:pPr>
      <w:r w:rsidRPr="004E4CDA">
        <w:rPr>
          <w:rFonts w:cs="Arial"/>
          <w:b/>
        </w:rPr>
        <w:t>References:</w:t>
      </w:r>
    </w:p>
    <w:p w14:paraId="39228214" w14:textId="77777777" w:rsidR="005D10FA" w:rsidRDefault="005D10FA" w:rsidP="005D10FA">
      <w:pPr>
        <w:rPr>
          <w:rFonts w:cs="Arial"/>
        </w:rPr>
      </w:pPr>
      <w:r w:rsidRPr="00D66F29">
        <w:rPr>
          <w:rFonts w:cs="Arial"/>
        </w:rPr>
        <w:t>COBIT EDM03.02, EDM03.07, APO13.07, APO14.10, DSS05.02, DSS05.07, MEA02.11</w:t>
      </w:r>
    </w:p>
    <w:p w14:paraId="7BE51CC4" w14:textId="77777777" w:rsidR="005D10FA" w:rsidRPr="004E4CDA" w:rsidRDefault="005D10FA" w:rsidP="005D10FA">
      <w:pPr>
        <w:rPr>
          <w:rFonts w:cs="Arial"/>
        </w:rPr>
      </w:pPr>
      <w:r w:rsidRPr="004E4CDA">
        <w:rPr>
          <w:rFonts w:cs="Arial"/>
        </w:rPr>
        <w:t xml:space="preserve">GDPR Article </w:t>
      </w:r>
      <w:r>
        <w:rPr>
          <w:rFonts w:cs="Arial"/>
        </w:rPr>
        <w:t>25, 32</w:t>
      </w:r>
    </w:p>
    <w:p w14:paraId="1F8D93CD" w14:textId="77777777" w:rsidR="005D10FA" w:rsidRPr="004E4CDA" w:rsidRDefault="005D10FA" w:rsidP="005D10FA">
      <w:pPr>
        <w:rPr>
          <w:rFonts w:cs="Arial"/>
        </w:rPr>
      </w:pPr>
      <w:r>
        <w:rPr>
          <w:rFonts w:cs="Arial"/>
        </w:rPr>
        <w:lastRenderedPageBreak/>
        <w:t xml:space="preserve">HIPAA </w:t>
      </w:r>
      <w:r w:rsidRPr="003B5239">
        <w:rPr>
          <w:rFonts w:cs="Arial"/>
        </w:rPr>
        <w:t>164.308(a)(1)(ii)(B), 164.308(a)(2), 164.308(a)(7)(ii)(E)</w:t>
      </w:r>
    </w:p>
    <w:p w14:paraId="156BD80C" w14:textId="77777777" w:rsidR="005D10FA" w:rsidRPr="004E4CDA" w:rsidRDefault="005D10FA" w:rsidP="005D10FA">
      <w:pPr>
        <w:rPr>
          <w:rFonts w:cs="Arial"/>
        </w:rPr>
      </w:pPr>
      <w:r>
        <w:rPr>
          <w:rFonts w:cs="Arial"/>
        </w:rPr>
        <w:t xml:space="preserve">ISO 27001:2013 </w:t>
      </w:r>
      <w:r w:rsidRPr="003B5239">
        <w:rPr>
          <w:rFonts w:cs="Arial"/>
        </w:rPr>
        <w:t>6.1.3, 8.3, A</w:t>
      </w:r>
      <w:r>
        <w:rPr>
          <w:rFonts w:cs="Arial"/>
        </w:rPr>
        <w:t>.</w:t>
      </w:r>
      <w:r w:rsidRPr="003B5239">
        <w:rPr>
          <w:rFonts w:cs="Arial"/>
        </w:rPr>
        <w:t>13.1.1, A</w:t>
      </w:r>
      <w:r>
        <w:rPr>
          <w:rFonts w:cs="Arial"/>
        </w:rPr>
        <w:t>.</w:t>
      </w:r>
      <w:r w:rsidRPr="003B5239">
        <w:rPr>
          <w:rFonts w:cs="Arial"/>
        </w:rPr>
        <w:t>14</w:t>
      </w:r>
    </w:p>
    <w:p w14:paraId="654BFD27" w14:textId="77777777" w:rsidR="005D10FA" w:rsidRPr="004E4CDA" w:rsidRDefault="00F56F88" w:rsidP="005D10FA">
      <w:pPr>
        <w:rPr>
          <w:rFonts w:cs="Arial"/>
        </w:rPr>
      </w:pPr>
      <w:r>
        <w:rPr>
          <w:rFonts w:cs="Arial"/>
        </w:rPr>
        <w:t>NIST SP 800-37</w:t>
      </w:r>
      <w:r w:rsidR="005D10FA">
        <w:rPr>
          <w:rFonts w:cs="Arial"/>
        </w:rPr>
        <w:t xml:space="preserve"> 3.3, 3.4</w:t>
      </w:r>
    </w:p>
    <w:p w14:paraId="2F3BB53C" w14:textId="77777777" w:rsidR="005D10FA" w:rsidRPr="004E4CDA" w:rsidRDefault="005D10FA" w:rsidP="005D10FA">
      <w:pPr>
        <w:rPr>
          <w:rFonts w:cs="Arial"/>
        </w:rPr>
      </w:pPr>
      <w:r>
        <w:rPr>
          <w:rFonts w:cs="Arial"/>
        </w:rPr>
        <w:t xml:space="preserve">NIST SP 800-53 </w:t>
      </w:r>
      <w:r w:rsidRPr="003B5239">
        <w:rPr>
          <w:rFonts w:cs="Arial"/>
        </w:rPr>
        <w:t>AC-3, AC-17-18, AC-20, PL-2, PL-7-8, SC-7-8, SC-10</w:t>
      </w:r>
    </w:p>
    <w:p w14:paraId="20A48023" w14:textId="77777777" w:rsidR="00D44564" w:rsidRPr="004E4CDA" w:rsidRDefault="00D44564" w:rsidP="00D44564">
      <w:pPr>
        <w:rPr>
          <w:rFonts w:cs="Arial"/>
        </w:rPr>
      </w:pPr>
      <w:r>
        <w:rPr>
          <w:rFonts w:cs="Arial"/>
        </w:rPr>
        <w:t xml:space="preserve">NIST Cybersecurity Framework </w:t>
      </w:r>
      <w:r w:rsidRPr="003B5239">
        <w:rPr>
          <w:rFonts w:cs="Arial"/>
        </w:rPr>
        <w:t>ID.AM-6, ID.RM-1, PR.AC-5, PR.DS-1-2</w:t>
      </w:r>
      <w:r>
        <w:rPr>
          <w:rFonts w:cs="Arial"/>
        </w:rPr>
        <w:t xml:space="preserve">, </w:t>
      </w:r>
      <w:r w:rsidRPr="00960F7A">
        <w:rPr>
          <w:rFonts w:cs="Arial"/>
        </w:rPr>
        <w:t>DE.CM-1</w:t>
      </w:r>
    </w:p>
    <w:p w14:paraId="61D4812D" w14:textId="77777777" w:rsidR="005D10FA" w:rsidRPr="000576EE" w:rsidRDefault="005D10FA" w:rsidP="005D10FA">
      <w:pPr>
        <w:rPr>
          <w:rFonts w:cs="Arial"/>
        </w:rPr>
      </w:pPr>
      <w:r>
        <w:rPr>
          <w:rFonts w:cs="Arial"/>
        </w:rPr>
        <w:t xml:space="preserve">PCI </w:t>
      </w:r>
      <w:r w:rsidRPr="003B5239">
        <w:rPr>
          <w:rFonts w:cs="Arial"/>
        </w:rPr>
        <w:t>2.1-3, 2.5-6, 4.1, 5.1</w:t>
      </w:r>
    </w:p>
    <w:p w14:paraId="306C799C" w14:textId="77777777" w:rsidR="005766C9" w:rsidRPr="000576EE" w:rsidRDefault="005766C9" w:rsidP="003A0C63">
      <w:pPr>
        <w:rPr>
          <w:rFonts w:cs="Arial"/>
        </w:rPr>
      </w:pPr>
    </w:p>
    <w:sectPr w:rsidR="005766C9" w:rsidRPr="000576EE" w:rsidSect="00AC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A8B6" w14:textId="77777777" w:rsidR="00C11544" w:rsidRDefault="00C11544">
      <w:r>
        <w:separator/>
      </w:r>
    </w:p>
  </w:endnote>
  <w:endnote w:type="continuationSeparator" w:id="0">
    <w:p w14:paraId="644781D8" w14:textId="77777777" w:rsidR="00C11544" w:rsidRDefault="00C1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D8833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2F0025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B1D11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44564">
      <w:rPr>
        <w:noProof/>
      </w:rPr>
      <w:t>3</w:t>
    </w:r>
    <w:r>
      <w:fldChar w:fldCharType="end"/>
    </w:r>
    <w:r>
      <w:t xml:space="preserve"> of </w:t>
    </w:r>
    <w:fldSimple w:instr=" NUMPAGES ">
      <w:r w:rsidR="00D44564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C1C8F" w14:textId="77777777" w:rsidR="00F56F88" w:rsidRDefault="00F56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71F5D" w14:textId="77777777" w:rsidR="00C11544" w:rsidRDefault="00C11544">
      <w:r>
        <w:separator/>
      </w:r>
    </w:p>
  </w:footnote>
  <w:footnote w:type="continuationSeparator" w:id="0">
    <w:p w14:paraId="6EDFD0D9" w14:textId="77777777" w:rsidR="00C11544" w:rsidRDefault="00C11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2D2A" w14:textId="77777777" w:rsidR="00F56F88" w:rsidRDefault="00F56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7D102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2C1A0BB3" w14:textId="77777777" w:rsidR="008A427F" w:rsidRPr="000C66B7" w:rsidRDefault="00D03F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B1641D" wp14:editId="5F5A9BA7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35E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F9A60" w14:textId="77777777" w:rsidR="00F56F88" w:rsidRDefault="00F56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4E77"/>
    <w:multiLevelType w:val="hybridMultilevel"/>
    <w:tmpl w:val="C2D28F8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9A2"/>
    <w:multiLevelType w:val="hybridMultilevel"/>
    <w:tmpl w:val="8F4AAF72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65DE"/>
    <w:multiLevelType w:val="hybridMultilevel"/>
    <w:tmpl w:val="8AF08FF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7A84"/>
    <w:multiLevelType w:val="hybridMultilevel"/>
    <w:tmpl w:val="C06EC18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39D1"/>
    <w:multiLevelType w:val="hybridMultilevel"/>
    <w:tmpl w:val="9E16638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0899"/>
    <w:multiLevelType w:val="hybridMultilevel"/>
    <w:tmpl w:val="13CA7B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446EC"/>
    <w:multiLevelType w:val="hybridMultilevel"/>
    <w:tmpl w:val="550ADA04"/>
    <w:lvl w:ilvl="0" w:tplc="B8DED2E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693"/>
    <w:multiLevelType w:val="hybridMultilevel"/>
    <w:tmpl w:val="606A1B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62A47"/>
    <w:multiLevelType w:val="hybridMultilevel"/>
    <w:tmpl w:val="AE4E7CD0"/>
    <w:lvl w:ilvl="0" w:tplc="0484997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C2353"/>
    <w:multiLevelType w:val="hybridMultilevel"/>
    <w:tmpl w:val="A1EC7C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119B"/>
    <w:multiLevelType w:val="hybridMultilevel"/>
    <w:tmpl w:val="51E65C0A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0178A"/>
    <w:multiLevelType w:val="hybridMultilevel"/>
    <w:tmpl w:val="13F27A14"/>
    <w:lvl w:ilvl="0" w:tplc="DCAEA62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A1952"/>
    <w:multiLevelType w:val="hybridMultilevel"/>
    <w:tmpl w:val="4EFEC9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F77C1"/>
    <w:multiLevelType w:val="hybridMultilevel"/>
    <w:tmpl w:val="CFC8B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70755"/>
    <w:multiLevelType w:val="hybridMultilevel"/>
    <w:tmpl w:val="FB76900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8578C"/>
    <w:multiLevelType w:val="hybridMultilevel"/>
    <w:tmpl w:val="CB1C7DF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C4561"/>
    <w:multiLevelType w:val="hybridMultilevel"/>
    <w:tmpl w:val="B694F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7EEF"/>
    <w:multiLevelType w:val="hybridMultilevel"/>
    <w:tmpl w:val="D54095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C633F"/>
    <w:multiLevelType w:val="hybridMultilevel"/>
    <w:tmpl w:val="7DC0A390"/>
    <w:lvl w:ilvl="0" w:tplc="0A1AC3FE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E33B4"/>
    <w:multiLevelType w:val="hybridMultilevel"/>
    <w:tmpl w:val="949C9D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E286E"/>
    <w:multiLevelType w:val="hybridMultilevel"/>
    <w:tmpl w:val="433EF742"/>
    <w:lvl w:ilvl="0" w:tplc="DE04C4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E1E82"/>
    <w:multiLevelType w:val="hybridMultilevel"/>
    <w:tmpl w:val="BA945B5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54E25"/>
    <w:multiLevelType w:val="hybridMultilevel"/>
    <w:tmpl w:val="B644F1D2"/>
    <w:lvl w:ilvl="0" w:tplc="EBC0C3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02ABC"/>
    <w:multiLevelType w:val="hybridMultilevel"/>
    <w:tmpl w:val="6250159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709DD"/>
    <w:multiLevelType w:val="hybridMultilevel"/>
    <w:tmpl w:val="0562F3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923E0"/>
    <w:multiLevelType w:val="hybridMultilevel"/>
    <w:tmpl w:val="0C3EE7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135"/>
    <w:multiLevelType w:val="hybridMultilevel"/>
    <w:tmpl w:val="C0BEB1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A29C0"/>
    <w:multiLevelType w:val="hybridMultilevel"/>
    <w:tmpl w:val="E176FC3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94D02"/>
    <w:multiLevelType w:val="hybridMultilevel"/>
    <w:tmpl w:val="0CD4745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D4F77"/>
    <w:multiLevelType w:val="hybridMultilevel"/>
    <w:tmpl w:val="BD167CD4"/>
    <w:lvl w:ilvl="0" w:tplc="34A29F7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B71E1"/>
    <w:multiLevelType w:val="hybridMultilevel"/>
    <w:tmpl w:val="97C01106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228EE"/>
    <w:multiLevelType w:val="hybridMultilevel"/>
    <w:tmpl w:val="E62E1452"/>
    <w:lvl w:ilvl="0" w:tplc="0AD6F7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E3A66"/>
    <w:multiLevelType w:val="hybridMultilevel"/>
    <w:tmpl w:val="B240E7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B1EF43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540CF"/>
    <w:multiLevelType w:val="hybridMultilevel"/>
    <w:tmpl w:val="24CCFBA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C3AD6"/>
    <w:multiLevelType w:val="hybridMultilevel"/>
    <w:tmpl w:val="D2FA512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B59A2"/>
    <w:multiLevelType w:val="hybridMultilevel"/>
    <w:tmpl w:val="E6026C7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"/>
  </w:num>
  <w:num w:numId="4">
    <w:abstractNumId w:val="26"/>
  </w:num>
  <w:num w:numId="5">
    <w:abstractNumId w:val="27"/>
  </w:num>
  <w:num w:numId="6">
    <w:abstractNumId w:val="29"/>
  </w:num>
  <w:num w:numId="7">
    <w:abstractNumId w:val="21"/>
  </w:num>
  <w:num w:numId="8">
    <w:abstractNumId w:val="33"/>
  </w:num>
  <w:num w:numId="9">
    <w:abstractNumId w:val="9"/>
  </w:num>
  <w:num w:numId="10">
    <w:abstractNumId w:val="13"/>
  </w:num>
  <w:num w:numId="11">
    <w:abstractNumId w:val="18"/>
  </w:num>
  <w:num w:numId="12">
    <w:abstractNumId w:val="0"/>
  </w:num>
  <w:num w:numId="13">
    <w:abstractNumId w:val="8"/>
  </w:num>
  <w:num w:numId="14">
    <w:abstractNumId w:val="14"/>
  </w:num>
  <w:num w:numId="15">
    <w:abstractNumId w:val="20"/>
  </w:num>
  <w:num w:numId="16">
    <w:abstractNumId w:val="2"/>
  </w:num>
  <w:num w:numId="17">
    <w:abstractNumId w:val="34"/>
  </w:num>
  <w:num w:numId="18">
    <w:abstractNumId w:val="5"/>
  </w:num>
  <w:num w:numId="19">
    <w:abstractNumId w:val="23"/>
  </w:num>
  <w:num w:numId="20">
    <w:abstractNumId w:val="28"/>
  </w:num>
  <w:num w:numId="21">
    <w:abstractNumId w:val="12"/>
  </w:num>
  <w:num w:numId="22">
    <w:abstractNumId w:val="35"/>
  </w:num>
  <w:num w:numId="23">
    <w:abstractNumId w:val="30"/>
  </w:num>
  <w:num w:numId="24">
    <w:abstractNumId w:val="25"/>
  </w:num>
  <w:num w:numId="25">
    <w:abstractNumId w:val="7"/>
  </w:num>
  <w:num w:numId="26">
    <w:abstractNumId w:val="10"/>
  </w:num>
  <w:num w:numId="27">
    <w:abstractNumId w:val="22"/>
  </w:num>
  <w:num w:numId="28">
    <w:abstractNumId w:val="16"/>
  </w:num>
  <w:num w:numId="29">
    <w:abstractNumId w:val="15"/>
  </w:num>
  <w:num w:numId="30">
    <w:abstractNumId w:val="19"/>
  </w:num>
  <w:num w:numId="31">
    <w:abstractNumId w:val="6"/>
  </w:num>
  <w:num w:numId="32">
    <w:abstractNumId w:val="31"/>
  </w:num>
  <w:num w:numId="33">
    <w:abstractNumId w:val="32"/>
  </w:num>
  <w:num w:numId="34">
    <w:abstractNumId w:val="11"/>
  </w:num>
  <w:num w:numId="35">
    <w:abstractNumId w:val="1"/>
  </w:num>
  <w:num w:numId="36">
    <w:abstractNumId w:val="17"/>
  </w:num>
  <w:num w:numId="37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07C5A"/>
    <w:rsid w:val="000106E1"/>
    <w:rsid w:val="0001084E"/>
    <w:rsid w:val="0001194F"/>
    <w:rsid w:val="000128D1"/>
    <w:rsid w:val="00014083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3C7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6A57"/>
    <w:rsid w:val="0009793A"/>
    <w:rsid w:val="000A1654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68A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2A23"/>
    <w:rsid w:val="001C2E4E"/>
    <w:rsid w:val="001C31DC"/>
    <w:rsid w:val="001C4E1D"/>
    <w:rsid w:val="001C4F1F"/>
    <w:rsid w:val="001C56C9"/>
    <w:rsid w:val="001C6213"/>
    <w:rsid w:val="001C78FA"/>
    <w:rsid w:val="001C7D99"/>
    <w:rsid w:val="001C7FDE"/>
    <w:rsid w:val="001D0DF6"/>
    <w:rsid w:val="001D117C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04859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740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50C0"/>
    <w:rsid w:val="00255923"/>
    <w:rsid w:val="0026098D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3B6E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0C63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0CA2"/>
    <w:rsid w:val="00491326"/>
    <w:rsid w:val="00491852"/>
    <w:rsid w:val="00492048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3EE8"/>
    <w:rsid w:val="004B57E8"/>
    <w:rsid w:val="004B6A88"/>
    <w:rsid w:val="004B7737"/>
    <w:rsid w:val="004C6263"/>
    <w:rsid w:val="004D10F1"/>
    <w:rsid w:val="004D2744"/>
    <w:rsid w:val="004D52E7"/>
    <w:rsid w:val="004D5460"/>
    <w:rsid w:val="004E0A1E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111A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10FA"/>
    <w:rsid w:val="005D2227"/>
    <w:rsid w:val="005D3CFE"/>
    <w:rsid w:val="005D4B29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562E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17B0B"/>
    <w:rsid w:val="006218BD"/>
    <w:rsid w:val="006236F9"/>
    <w:rsid w:val="00627E2B"/>
    <w:rsid w:val="0063253F"/>
    <w:rsid w:val="00632E19"/>
    <w:rsid w:val="00633351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2BC2"/>
    <w:rsid w:val="006A33E4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0FC8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4E0D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3B2"/>
    <w:rsid w:val="007B077E"/>
    <w:rsid w:val="007B08E2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C0F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2009"/>
    <w:rsid w:val="008034A7"/>
    <w:rsid w:val="00803828"/>
    <w:rsid w:val="00803E65"/>
    <w:rsid w:val="00806792"/>
    <w:rsid w:val="00806A80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1B"/>
    <w:rsid w:val="008528A1"/>
    <w:rsid w:val="0085505D"/>
    <w:rsid w:val="008572A5"/>
    <w:rsid w:val="00857A03"/>
    <w:rsid w:val="00860263"/>
    <w:rsid w:val="00860B70"/>
    <w:rsid w:val="008645F3"/>
    <w:rsid w:val="008647CF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8775A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B7DF9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5C6F"/>
    <w:rsid w:val="00907EBC"/>
    <w:rsid w:val="0091061A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29F5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9D0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96DA3"/>
    <w:rsid w:val="009A1F64"/>
    <w:rsid w:val="009A25AF"/>
    <w:rsid w:val="009A4D25"/>
    <w:rsid w:val="009A7CB5"/>
    <w:rsid w:val="009B0563"/>
    <w:rsid w:val="009B109E"/>
    <w:rsid w:val="009B1444"/>
    <w:rsid w:val="009B30E9"/>
    <w:rsid w:val="009B37EB"/>
    <w:rsid w:val="009B5642"/>
    <w:rsid w:val="009B5ED6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1E8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1AB7"/>
    <w:rsid w:val="00A13C74"/>
    <w:rsid w:val="00A1498B"/>
    <w:rsid w:val="00A14FE6"/>
    <w:rsid w:val="00A17628"/>
    <w:rsid w:val="00A2079B"/>
    <w:rsid w:val="00A20A2B"/>
    <w:rsid w:val="00A2129D"/>
    <w:rsid w:val="00A23589"/>
    <w:rsid w:val="00A23806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0D75"/>
    <w:rsid w:val="00A52AE7"/>
    <w:rsid w:val="00A52DCD"/>
    <w:rsid w:val="00A52ED2"/>
    <w:rsid w:val="00A5351A"/>
    <w:rsid w:val="00A535F2"/>
    <w:rsid w:val="00A617ED"/>
    <w:rsid w:val="00A64018"/>
    <w:rsid w:val="00A67371"/>
    <w:rsid w:val="00A71620"/>
    <w:rsid w:val="00A7568F"/>
    <w:rsid w:val="00A7613A"/>
    <w:rsid w:val="00A77451"/>
    <w:rsid w:val="00A8399F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0951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D75C3"/>
    <w:rsid w:val="00AE0056"/>
    <w:rsid w:val="00AE4518"/>
    <w:rsid w:val="00AE64EE"/>
    <w:rsid w:val="00AE7024"/>
    <w:rsid w:val="00AE7420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104A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6FBE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48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1544"/>
    <w:rsid w:val="00C13488"/>
    <w:rsid w:val="00C17FF1"/>
    <w:rsid w:val="00C20526"/>
    <w:rsid w:val="00C253D8"/>
    <w:rsid w:val="00C257FB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2775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77930"/>
    <w:rsid w:val="00C80301"/>
    <w:rsid w:val="00C814C3"/>
    <w:rsid w:val="00C81A9C"/>
    <w:rsid w:val="00C8489B"/>
    <w:rsid w:val="00C87265"/>
    <w:rsid w:val="00C873CD"/>
    <w:rsid w:val="00C87939"/>
    <w:rsid w:val="00C87F3C"/>
    <w:rsid w:val="00C87F7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2B2E"/>
    <w:rsid w:val="00CB46AE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2BD"/>
    <w:rsid w:val="00CD7DE9"/>
    <w:rsid w:val="00CE124B"/>
    <w:rsid w:val="00CE19F7"/>
    <w:rsid w:val="00CE4132"/>
    <w:rsid w:val="00CE4750"/>
    <w:rsid w:val="00CF5612"/>
    <w:rsid w:val="00CF77AF"/>
    <w:rsid w:val="00D03F49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564"/>
    <w:rsid w:val="00D44993"/>
    <w:rsid w:val="00D45479"/>
    <w:rsid w:val="00D45B16"/>
    <w:rsid w:val="00D466AF"/>
    <w:rsid w:val="00D5080A"/>
    <w:rsid w:val="00D53BF3"/>
    <w:rsid w:val="00D53D22"/>
    <w:rsid w:val="00D550B1"/>
    <w:rsid w:val="00D5523B"/>
    <w:rsid w:val="00D55BE8"/>
    <w:rsid w:val="00D56F28"/>
    <w:rsid w:val="00D576DD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3664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577BE"/>
    <w:rsid w:val="00E60912"/>
    <w:rsid w:val="00E6142E"/>
    <w:rsid w:val="00E61C23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85997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B6B14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92D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6CD4"/>
    <w:rsid w:val="00F07D6B"/>
    <w:rsid w:val="00F11304"/>
    <w:rsid w:val="00F121FC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6F88"/>
    <w:rsid w:val="00F61AA9"/>
    <w:rsid w:val="00F61F7B"/>
    <w:rsid w:val="00F62CB4"/>
    <w:rsid w:val="00F65132"/>
    <w:rsid w:val="00F67954"/>
    <w:rsid w:val="00F7505A"/>
    <w:rsid w:val="00F76EF0"/>
    <w:rsid w:val="00F77D5D"/>
    <w:rsid w:val="00F81D37"/>
    <w:rsid w:val="00F81DC3"/>
    <w:rsid w:val="00F820AD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87FA7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6C3D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4712"/>
  <w15:docId w15:val="{54A0D13A-8DC3-484F-9E2F-E33DDE65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048"/>
    <w:pPr>
      <w:spacing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3A0C63"/>
    <w:rPr>
      <w:rFonts w:ascii="Arial Bold" w:hAnsi="Arial Bold"/>
      <w:b/>
      <w:bCs/>
      <w:caps w:val="0"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Workstation Hardening Procedure</vt:lpstr>
    </vt:vector>
  </TitlesOfParts>
  <Company>Altius IT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Workstation Hardening Procedure</dc:title>
  <dc:creator>Altius IT</dc:creator>
  <cp:lastModifiedBy>Altius IT</cp:lastModifiedBy>
  <cp:revision>3</cp:revision>
  <cp:lastPrinted>2012-07-23T23:36:00Z</cp:lastPrinted>
  <dcterms:created xsi:type="dcterms:W3CDTF">2020-08-18T15:50:00Z</dcterms:created>
  <dcterms:modified xsi:type="dcterms:W3CDTF">2020-08-25T16:17:00Z</dcterms:modified>
</cp:coreProperties>
</file>