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b w:val="0"/>
          <w:color w:val="63B7D3"/>
          <w:sz w:val="18"/>
          <w:spacing w:val="40"/>
        </w:rPr>
        <w:t>ERICKSON COACHING INTERNATIONAL</w:t>
      </w:r>
    </w:p>
    <w:p>
      <w:pPr>
        <w:spacing w:before="0" w:after="120"/>
      </w:pPr>
      <w:r>
        <w:rPr>
          <w:b w:val="0"/>
          <w:color w:val="514E4D"/>
          <w:sz w:val="22"/>
        </w:rPr>
        <w:t>27.10.2026</w:t>
      </w:r>
    </w:p>
    <w:p>
      <w:pPr>
        <w:spacing w:before="0" w:after="0"/>
      </w:pPr>
      <w:r>
        <w:rPr>
          <w:b w:val="0"/>
          <w:color w:val="514E4D"/>
          <w:sz w:val="22"/>
        </w:rPr>
        <w:t>Кому: ТОО «Учебный партнёр», Айгуль Примерова, HR-директор</w:t>
      </w:r>
    </w:p>
    <w:p>
      <w:pPr>
        <w:spacing w:before="320" w:after="120"/>
      </w:pPr>
      <w:r>
        <w:rPr>
          <w:b/>
          <w:color w:val="073F52"/>
          <w:sz w:val="28"/>
        </w:rPr>
        <w:t>Что предлагаем</w:t>
      </w:r>
    </w:p>
    <w:p>
      <w:pPr>
        <w:spacing w:before="0" w:after="120"/>
      </w:pPr>
      <w:r>
        <w:rPr>
          <w:b w:val="0"/>
          <w:color w:val="514E4D"/>
          <w:sz w:val="22"/>
        </w:rPr>
        <w:t>Корпоративное обучение по программе «Наука и искусство коучинга», Level 1, для 10 руководителей ТОО «Учебный партнёр». Обучение построено на методологии solution-focused coaching и 8 компетенциях ICF. 70% учебного времени занимает практика в парах и тройках.</w:t>
      </w:r>
    </w:p>
    <w:p>
      <w:pPr>
        <w:spacing w:before="320" w:after="120"/>
      </w:pPr>
      <w:r>
        <w:rPr>
          <w:b/>
          <w:color w:val="073F52"/>
          <w:sz w:val="28"/>
        </w:rPr>
        <w:t>Формат и сроки</w:t>
      </w:r>
    </w:p>
    <w:p>
      <w:pPr>
        <w:spacing w:before="0" w:after="120"/>
      </w:pPr>
      <w:r>
        <w:rPr>
          <w:b w:val="0"/>
          <w:color w:val="514E4D"/>
          <w:sz w:val="22"/>
        </w:rPr>
        <w:t>Формат онлайн: вебинары 19:00–22:15 по времени Алматы. Старт 11 февраля 2027, модули идут в феврале–апреле 2027, менторинги в мае–сентябре 2027.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rPr>
                <w:b/>
                <w:color w:val="073F52"/>
              </w:rPr>
              <w:t>Позиция</w:t>
            </w:r>
          </w:p>
        </w:tc>
        <w:tc>
          <w:tcPr>
            <w:tcW w:type="dxa" w:w="2076"/>
          </w:tcPr>
          <w:p>
            <w:r>
              <w:rPr>
                <w:b/>
                <w:color w:val="073F52"/>
              </w:rPr>
              <w:t>Участников</w:t>
            </w:r>
          </w:p>
        </w:tc>
        <w:tc>
          <w:tcPr>
            <w:tcW w:type="dxa" w:w="2076"/>
          </w:tcPr>
          <w:p>
            <w:r>
              <w:rPr>
                <w:b/>
                <w:color w:val="073F52"/>
              </w:rPr>
              <w:t>Цена за участника</w:t>
            </w:r>
          </w:p>
        </w:tc>
        <w:tc>
          <w:tcPr>
            <w:tcW w:type="dxa" w:w="2076"/>
          </w:tcPr>
          <w:p>
            <w:r>
              <w:rPr>
                <w:b/>
                <w:color w:val="073F52"/>
              </w:rPr>
              <w:t>Сумма</w:t>
            </w:r>
          </w:p>
        </w:tc>
      </w:tr>
      <w:tr>
        <w:tc>
          <w:tcPr>
            <w:tcW w:type="dxa" w:w="2076"/>
          </w:tcPr>
          <w:p>
            <w:r>
              <w:t>Level 1 онлайн</w:t>
            </w:r>
          </w:p>
        </w:tc>
        <w:tc>
          <w:tcPr>
            <w:tcW w:type="dxa" w:w="2076"/>
          </w:tcPr>
          <w:p>
            <w:r>
              <w:t>10</w:t>
            </w:r>
          </w:p>
        </w:tc>
        <w:tc>
          <w:tcPr>
            <w:tcW w:type="dxa" w:w="2076"/>
          </w:tcPr>
          <w:p>
            <w:r>
              <w:t>2 600 000</w:t>
            </w:r>
          </w:p>
        </w:tc>
        <w:tc>
          <w:tcPr>
            <w:tcW w:type="dxa" w:w="2076"/>
          </w:tcPr>
          <w:p>
            <w:r>
              <w:t>26 000 000</w:t>
            </w:r>
          </w:p>
        </w:tc>
      </w:tr>
      <w:tr>
        <w:tc>
          <w:tcPr>
            <w:tcW w:type="dxa" w:w="2076"/>
          </w:tcPr>
          <w:p>
            <w:r>
              <w:t>Скидка для группы 10%</w:t>
            </w:r>
          </w:p>
        </w:tc>
        <w:tc>
          <w:tcPr>
            <w:tcW w:type="dxa" w:w="2076"/>
          </w:tcPr>
          <w:p>
            <w:r/>
          </w:p>
        </w:tc>
        <w:tc>
          <w:tcPr>
            <w:tcW w:type="dxa" w:w="2076"/>
          </w:tcPr>
          <w:p>
            <w:r/>
          </w:p>
        </w:tc>
        <w:tc>
          <w:tcPr>
            <w:tcW w:type="dxa" w:w="2076"/>
          </w:tcPr>
          <w:p>
            <w:r>
              <w:t>−2 600 000</w:t>
            </w:r>
          </w:p>
        </w:tc>
      </w:tr>
      <w:tr>
        <w:tc>
          <w:tcPr>
            <w:tcW w:type="dxa" w:w="2076"/>
          </w:tcPr>
          <w:p>
            <w:r>
              <w:rPr>
                <w:b/>
              </w:rPr>
              <w:t>Итого к оплате</w:t>
            </w:r>
          </w:p>
        </w:tc>
        <w:tc>
          <w:tcPr>
            <w:tcW w:type="dxa" w:w="2076"/>
          </w:tcPr>
          <w:p>
            <w:r/>
          </w:p>
        </w:tc>
        <w:tc>
          <w:tcPr>
            <w:tcW w:type="dxa" w:w="2076"/>
          </w:tcPr>
          <w:p>
            <w:r/>
          </w:p>
        </w:tc>
        <w:tc>
          <w:tcPr>
            <w:tcW w:type="dxa" w:w="2076"/>
          </w:tcPr>
          <w:p>
            <w:r>
              <w:rPr>
                <w:b/>
              </w:rPr>
              <w:t>23 400 000</w:t>
            </w:r>
          </w:p>
        </w:tc>
      </w:tr>
    </w:tbl>
    <w:p>
      <w:pPr>
        <w:spacing w:before="320" w:after="120"/>
      </w:pPr>
      <w:r>
        <w:rPr>
          <w:b/>
          <w:color w:val="073F52"/>
          <w:sz w:val="28"/>
        </w:rPr>
        <w:t>Условия</w:t>
      </w:r>
    </w:p>
    <w:p>
      <w:pPr>
        <w:spacing w:before="0" w:after="120"/>
      </w:pPr>
      <w:r>
        <w:rPr>
          <w:b w:val="0"/>
          <w:color w:val="514E4D"/>
          <w:sz w:val="22"/>
        </w:rPr>
        <w:t>Оплата по счёту. При оплате юрлицом добавляется НДС 16%. Предложение действует до 20 ноября 2026.</w:t>
      </w:r>
    </w:p>
    <w:p>
      <w:pPr>
        <w:spacing w:before="320" w:after="120"/>
      </w:pPr>
      <w:r>
        <w:rPr>
          <w:b/>
          <w:color w:val="073F52"/>
          <w:sz w:val="28"/>
        </w:rPr>
        <w:t>Контакты</w:t>
      </w:r>
    </w:p>
    <w:p>
      <w:pPr>
        <w:spacing w:before="0" w:after="0"/>
      </w:pPr>
      <w:r>
        <w:rPr>
          <w:b w:val="0"/>
          <w:color w:val="514E4D"/>
          <w:sz w:val="22"/>
        </w:rPr>
        <w:t>info@erickson.asia, +7 707 158 6116</w:t>
      </w:r>
    </w:p>
    <w:p>
      <w:pPr>
        <w:spacing w:before="480" w:after="0"/>
      </w:pPr>
      <w:r>
        <w:rPr>
          <w:b w:val="0"/>
          <w:color w:val="8A8785"/>
          <w:sz w:val="16"/>
        </w:rPr>
        <w:t>Учебный образец для обучения работе с Claude. Цены и скидка условные.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color w:val="514E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