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CC394" w14:textId="6774B2A5" w:rsidR="00741C23" w:rsidRDefault="00741C23" w:rsidP="004D595E">
      <w:pPr>
        <w:jc w:val="center"/>
        <w:rPr>
          <w:rFonts w:ascii="Times New Roman" w:hAnsi="Times New Roman" w:cs="Times New Roman"/>
          <w:b/>
          <w:sz w:val="52"/>
          <w:szCs w:val="52"/>
        </w:rPr>
      </w:pPr>
      <w:r w:rsidRPr="00741C23">
        <w:rPr>
          <w:rFonts w:ascii="Times New Roman" w:hAnsi="Times New Roman" w:cs="Times New Roman"/>
          <w:b/>
          <w:sz w:val="52"/>
          <w:szCs w:val="52"/>
          <w:highlight w:val="cyan"/>
        </w:rPr>
        <w:t>ИНВЕНТАРЬ</w:t>
      </w:r>
    </w:p>
    <w:p w14:paraId="064318A1" w14:textId="0D693DA3" w:rsidR="002B2D4E" w:rsidRPr="002B2D4E" w:rsidRDefault="002B2D4E" w:rsidP="004D595E">
      <w:pPr>
        <w:jc w:val="center"/>
        <w:rPr>
          <w:rFonts w:ascii="Times New Roman" w:hAnsi="Times New Roman" w:cs="Times New Roman"/>
          <w:b/>
          <w:i/>
          <w:sz w:val="44"/>
          <w:szCs w:val="44"/>
          <w:u w:val="single"/>
        </w:rPr>
      </w:pPr>
      <w:r w:rsidRPr="002B2D4E">
        <w:rPr>
          <w:rFonts w:ascii="Times New Roman" w:hAnsi="Times New Roman" w:cs="Times New Roman"/>
          <w:b/>
          <w:i/>
          <w:sz w:val="44"/>
          <w:szCs w:val="44"/>
          <w:u w:val="single"/>
        </w:rPr>
        <w:t>Теги</w:t>
      </w:r>
    </w:p>
    <w:p w14:paraId="40229CFD" w14:textId="0086BCC8" w:rsidR="00741C23" w:rsidRPr="00741C23" w:rsidRDefault="00741C23" w:rsidP="00741C23">
      <w:pPr>
        <w:jc w:val="both"/>
        <w:rPr>
          <w:rFonts w:ascii="Times New Roman" w:hAnsi="Times New Roman" w:cs="Times New Roman"/>
          <w:sz w:val="40"/>
          <w:szCs w:val="40"/>
        </w:rPr>
      </w:pPr>
      <w:r>
        <w:rPr>
          <w:rFonts w:ascii="Times New Roman" w:hAnsi="Times New Roman" w:cs="Times New Roman"/>
          <w:sz w:val="40"/>
          <w:szCs w:val="40"/>
        </w:rPr>
        <w:tab/>
      </w:r>
      <w:r w:rsidRPr="00741C23">
        <w:rPr>
          <w:rFonts w:ascii="Times New Roman" w:hAnsi="Times New Roman" w:cs="Times New Roman"/>
          <w:b/>
          <w:sz w:val="40"/>
          <w:szCs w:val="40"/>
        </w:rPr>
        <w:t>Броня</w:t>
      </w:r>
      <w:r>
        <w:rPr>
          <w:rFonts w:ascii="Times New Roman" w:hAnsi="Times New Roman" w:cs="Times New Roman"/>
          <w:b/>
          <w:sz w:val="40"/>
          <w:szCs w:val="40"/>
        </w:rPr>
        <w:t> -</w:t>
      </w:r>
      <w:r>
        <w:rPr>
          <w:rFonts w:ascii="Times New Roman" w:hAnsi="Times New Roman" w:cs="Times New Roman"/>
          <w:sz w:val="40"/>
          <w:szCs w:val="40"/>
        </w:rPr>
        <w:t> </w:t>
      </w:r>
      <w:r>
        <w:rPr>
          <w:rFonts w:ascii="Times New Roman" w:hAnsi="Times New Roman" w:cs="Times New Roman"/>
          <w:sz w:val="40"/>
          <w:szCs w:val="40"/>
        </w:rPr>
        <w:t>самый высший приоритет</w:t>
      </w:r>
      <w:r w:rsidR="00FB2D05">
        <w:rPr>
          <w:rFonts w:ascii="Times New Roman" w:hAnsi="Times New Roman" w:cs="Times New Roman"/>
          <w:sz w:val="40"/>
          <w:szCs w:val="40"/>
        </w:rPr>
        <w:t xml:space="preserve"> 1 </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Оружие – </w:t>
      </w:r>
      <w:r>
        <w:rPr>
          <w:rFonts w:ascii="Times New Roman" w:hAnsi="Times New Roman" w:cs="Times New Roman"/>
          <w:sz w:val="40"/>
          <w:szCs w:val="40"/>
        </w:rPr>
        <w:t>самый высший </w:t>
      </w:r>
      <w:r w:rsidR="00FB2D05">
        <w:rPr>
          <w:rFonts w:ascii="Times New Roman" w:hAnsi="Times New Roman" w:cs="Times New Roman"/>
          <w:sz w:val="40"/>
          <w:szCs w:val="40"/>
        </w:rPr>
        <w:t>приоритет 1</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 xml:space="preserve">Расходники – </w:t>
      </w:r>
      <w:r>
        <w:rPr>
          <w:rFonts w:ascii="Times New Roman" w:hAnsi="Times New Roman" w:cs="Times New Roman"/>
          <w:sz w:val="40"/>
          <w:szCs w:val="40"/>
        </w:rPr>
        <w:t xml:space="preserve">пред высший приоритет </w:t>
      </w:r>
      <w:r w:rsidR="00FB2D05">
        <w:rPr>
          <w:rFonts w:ascii="Times New Roman" w:hAnsi="Times New Roman" w:cs="Times New Roman"/>
          <w:sz w:val="40"/>
          <w:szCs w:val="40"/>
        </w:rPr>
        <w:t xml:space="preserve">                            2</w:t>
      </w:r>
    </w:p>
    <w:p w14:paraId="0ED3A5E4" w14:textId="77777777" w:rsidR="00741C23" w:rsidRDefault="00741C23" w:rsidP="00741C23">
      <w:pPr>
        <w:jc w:val="both"/>
        <w:rPr>
          <w:rFonts w:ascii="Times New Roman" w:hAnsi="Times New Roman" w:cs="Times New Roman"/>
          <w:b/>
          <w:sz w:val="40"/>
          <w:szCs w:val="40"/>
        </w:rPr>
      </w:pPr>
    </w:p>
    <w:p w14:paraId="7069D0FF" w14:textId="3C25D648" w:rsidR="00741C23" w:rsidRPr="00741C23" w:rsidRDefault="00741C23" w:rsidP="00741C23">
      <w:pPr>
        <w:jc w:val="both"/>
        <w:rPr>
          <w:rFonts w:ascii="Times New Roman" w:hAnsi="Times New Roman" w:cs="Times New Roman"/>
          <w:sz w:val="40"/>
          <w:szCs w:val="40"/>
        </w:rPr>
      </w:pPr>
      <w:r>
        <w:rPr>
          <w:rFonts w:ascii="Times New Roman" w:hAnsi="Times New Roman" w:cs="Times New Roman"/>
          <w:b/>
          <w:sz w:val="40"/>
          <w:szCs w:val="40"/>
        </w:rPr>
        <w:tab/>
        <w:t xml:space="preserve">Компоненты – </w:t>
      </w:r>
      <w:r>
        <w:rPr>
          <w:rFonts w:ascii="Times New Roman" w:hAnsi="Times New Roman" w:cs="Times New Roman"/>
          <w:sz w:val="40"/>
          <w:szCs w:val="40"/>
        </w:rPr>
        <w:t xml:space="preserve">пред низший приоритет </w:t>
      </w:r>
      <w:r w:rsidR="00FB2D05">
        <w:rPr>
          <w:rFonts w:ascii="Times New Roman" w:hAnsi="Times New Roman" w:cs="Times New Roman"/>
          <w:sz w:val="40"/>
          <w:szCs w:val="40"/>
        </w:rPr>
        <w:t xml:space="preserve">                           3</w:t>
      </w:r>
    </w:p>
    <w:p w14:paraId="7343F418" w14:textId="77777777" w:rsidR="00741C23" w:rsidRDefault="00741C23" w:rsidP="00741C23">
      <w:pPr>
        <w:jc w:val="both"/>
        <w:rPr>
          <w:rFonts w:ascii="Times New Roman" w:hAnsi="Times New Roman" w:cs="Times New Roman"/>
          <w:b/>
          <w:sz w:val="40"/>
          <w:szCs w:val="40"/>
        </w:rPr>
      </w:pPr>
    </w:p>
    <w:p w14:paraId="5F97E98B" w14:textId="6A14C6A0" w:rsidR="00741C23" w:rsidRDefault="00741C23" w:rsidP="00FB2D05">
      <w:pPr>
        <w:jc w:val="both"/>
        <w:rPr>
          <w:rFonts w:ascii="Times New Roman" w:hAnsi="Times New Roman" w:cs="Times New Roman"/>
          <w:sz w:val="40"/>
          <w:szCs w:val="40"/>
        </w:rPr>
      </w:pPr>
      <w:r>
        <w:rPr>
          <w:rFonts w:ascii="Times New Roman" w:hAnsi="Times New Roman" w:cs="Times New Roman"/>
          <w:b/>
          <w:sz w:val="40"/>
          <w:szCs w:val="40"/>
        </w:rPr>
        <w:tab/>
        <w:t xml:space="preserve">Предметы Для Заданий – </w:t>
      </w:r>
      <w:r>
        <w:rPr>
          <w:rFonts w:ascii="Times New Roman" w:hAnsi="Times New Roman" w:cs="Times New Roman"/>
          <w:sz w:val="40"/>
          <w:szCs w:val="40"/>
        </w:rPr>
        <w:t xml:space="preserve">самый низший приоритет </w:t>
      </w:r>
      <w:r w:rsidR="00FB2D05">
        <w:rPr>
          <w:rFonts w:ascii="Times New Roman" w:hAnsi="Times New Roman" w:cs="Times New Roman"/>
          <w:sz w:val="40"/>
          <w:szCs w:val="40"/>
        </w:rPr>
        <w:t xml:space="preserve">   4 </w:t>
      </w:r>
    </w:p>
    <w:p w14:paraId="39C11A23" w14:textId="77777777" w:rsidR="002B2D4E" w:rsidRDefault="002B2D4E" w:rsidP="00FB2D05">
      <w:pPr>
        <w:jc w:val="both"/>
        <w:rPr>
          <w:rFonts w:ascii="Times New Roman" w:hAnsi="Times New Roman" w:cs="Times New Roman"/>
          <w:sz w:val="40"/>
          <w:szCs w:val="40"/>
        </w:rPr>
      </w:pPr>
    </w:p>
    <w:p w14:paraId="40147E0B" w14:textId="6D3430DA" w:rsidR="002B2D4E" w:rsidRDefault="002B2D4E" w:rsidP="00FB2D05">
      <w:pPr>
        <w:jc w:val="both"/>
        <w:rPr>
          <w:rFonts w:ascii="Times New Roman" w:hAnsi="Times New Roman" w:cs="Times New Roman"/>
          <w:sz w:val="40"/>
          <w:szCs w:val="40"/>
          <w:u w:val="single"/>
        </w:rPr>
      </w:pPr>
      <w:r w:rsidRPr="002B2D4E">
        <w:rPr>
          <w:rFonts w:ascii="Times New Roman" w:hAnsi="Times New Roman" w:cs="Times New Roman"/>
          <w:sz w:val="40"/>
          <w:szCs w:val="40"/>
          <w:u w:val="single"/>
        </w:rPr>
        <w:t>Максимум два тега на предмет</w:t>
      </w:r>
    </w:p>
    <w:p w14:paraId="5118F106" w14:textId="7EC9AF14" w:rsidR="00CA0A4A" w:rsidRPr="00CA0A4A" w:rsidRDefault="00CA0A4A" w:rsidP="00FB2D05">
      <w:pPr>
        <w:jc w:val="both"/>
        <w:rPr>
          <w:rFonts w:ascii="Times New Roman" w:hAnsi="Times New Roman" w:cs="Times New Roman"/>
          <w:i/>
          <w:sz w:val="40"/>
          <w:szCs w:val="40"/>
        </w:rPr>
      </w:pPr>
      <w:r w:rsidRPr="00CA0A4A">
        <w:rPr>
          <w:rFonts w:ascii="Times New Roman" w:hAnsi="Times New Roman" w:cs="Times New Roman"/>
          <w:i/>
          <w:sz w:val="40"/>
          <w:szCs w:val="40"/>
        </w:rPr>
        <w:t xml:space="preserve">При создании предметов одинаковых тегов необходимо давать </w:t>
      </w:r>
      <w:r w:rsidRPr="00CA0A4A">
        <w:rPr>
          <w:rFonts w:ascii="Times New Roman" w:hAnsi="Times New Roman" w:cs="Times New Roman"/>
          <w:i/>
          <w:sz w:val="40"/>
          <w:szCs w:val="40"/>
          <w:lang w:val="en-US"/>
        </w:rPr>
        <w:t>ID</w:t>
      </w:r>
      <w:r w:rsidRPr="00CA0A4A">
        <w:rPr>
          <w:rFonts w:ascii="Times New Roman" w:hAnsi="Times New Roman" w:cs="Times New Roman"/>
          <w:i/>
          <w:sz w:val="40"/>
          <w:szCs w:val="40"/>
        </w:rPr>
        <w:t xml:space="preserve"> в одном диапазоне.</w:t>
      </w:r>
      <w:r>
        <w:rPr>
          <w:rFonts w:ascii="Times New Roman" w:hAnsi="Times New Roman" w:cs="Times New Roman"/>
          <w:i/>
          <w:sz w:val="40"/>
          <w:szCs w:val="40"/>
        </w:rPr>
        <w:t xml:space="preserve"> (Пример</w:t>
      </w:r>
      <w:r w:rsidRPr="00CA0A4A">
        <w:rPr>
          <w:rFonts w:ascii="Times New Roman" w:hAnsi="Times New Roman" w:cs="Times New Roman"/>
          <w:i/>
          <w:sz w:val="40"/>
          <w:szCs w:val="40"/>
        </w:rPr>
        <w:t>:</w:t>
      </w:r>
      <w:r>
        <w:rPr>
          <w:rFonts w:ascii="Times New Roman" w:hAnsi="Times New Roman" w:cs="Times New Roman"/>
          <w:i/>
          <w:sz w:val="40"/>
          <w:szCs w:val="40"/>
        </w:rPr>
        <w:t xml:space="preserve"> броня с</w:t>
      </w:r>
      <w:r w:rsidR="00B46DE2">
        <w:rPr>
          <w:rFonts w:ascii="Times New Roman" w:hAnsi="Times New Roman" w:cs="Times New Roman"/>
          <w:i/>
          <w:sz w:val="40"/>
          <w:szCs w:val="40"/>
        </w:rPr>
        <w:t xml:space="preserve"> 1 до 500, оружие с 501 до 1000</w:t>
      </w:r>
    </w:p>
    <w:p w14:paraId="61E75F19" w14:textId="1DE6E27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4C16B33C" w14:textId="77777777" w:rsidR="00FB2D05" w:rsidRPr="00FB2D05" w:rsidRDefault="00FB2D05" w:rsidP="004D595E">
      <w:pPr>
        <w:jc w:val="center"/>
        <w:rPr>
          <w:rFonts w:ascii="Times New Roman" w:hAnsi="Times New Roman" w:cs="Times New Roman"/>
          <w:b/>
          <w:sz w:val="72"/>
          <w:szCs w:val="72"/>
          <w:highlight w:val="yellow"/>
        </w:rPr>
      </w:pPr>
    </w:p>
    <w:p w14:paraId="0438279D" w14:textId="3A14D40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79546A3A" w14:textId="77777777" w:rsidR="00741C23" w:rsidRDefault="00741C23" w:rsidP="004D595E">
      <w:pPr>
        <w:jc w:val="center"/>
        <w:rPr>
          <w:rFonts w:ascii="Times New Roman" w:hAnsi="Times New Roman" w:cs="Times New Roman"/>
          <w:b/>
          <w:sz w:val="72"/>
          <w:szCs w:val="72"/>
          <w:highlight w:val="yellow"/>
        </w:rPr>
      </w:pPr>
    </w:p>
    <w:p w14:paraId="18148D12" w14:textId="77777777" w:rsidR="00741C23" w:rsidRDefault="00741C23" w:rsidP="00FB2D05">
      <w:pPr>
        <w:rPr>
          <w:rFonts w:ascii="Times New Roman" w:hAnsi="Times New Roman" w:cs="Times New Roman"/>
          <w:b/>
          <w:sz w:val="72"/>
          <w:szCs w:val="72"/>
          <w:highlight w:val="yellow"/>
        </w:rPr>
      </w:pPr>
    </w:p>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lastRenderedPageBreak/>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3BA5C0B8" w:rsidR="00050E2D" w:rsidRPr="00C6545B" w:rsidRDefault="001965AC" w:rsidP="00C6545B">
      <w:pPr>
        <w:jc w:val="center"/>
        <w:rPr>
          <w:rFonts w:ascii="Times New Roman" w:hAnsi="Times New Roman" w:cs="Times New Roman"/>
          <w:b/>
          <w:sz w:val="52"/>
          <w:szCs w:val="52"/>
        </w:rPr>
      </w:pPr>
      <w:r w:rsidRPr="00C6545B">
        <w:rPr>
          <w:rFonts w:ascii="Times New Roman" w:hAnsi="Times New Roman" w:cs="Times New Roman"/>
          <w:b/>
          <w:sz w:val="52"/>
          <w:szCs w:val="52"/>
          <w:highlight w:val="cyan"/>
        </w:rPr>
        <w:t>Ресурсы</w:t>
      </w:r>
      <w:r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 xml:space="preserve">Ресурс необходимый для некоторых крафтов. (Потом можно будет прописать с кого падает, но это пока НАХЕР не </w:t>
      </w:r>
      <w:bookmarkStart w:id="0" w:name="_GoBack"/>
      <w:bookmarkEnd w:id="0"/>
      <w:r>
        <w:rPr>
          <w:rFonts w:ascii="Times New Roman" w:hAnsi="Times New Roman" w:cs="Times New Roman"/>
          <w:sz w:val="40"/>
          <w:szCs w:val="40"/>
        </w:rPr>
        <w:t>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lastRenderedPageBreak/>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lastRenderedPageBreak/>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50E2D"/>
    <w:rsid w:val="001965AC"/>
    <w:rsid w:val="002B2D4E"/>
    <w:rsid w:val="00403993"/>
    <w:rsid w:val="004D595E"/>
    <w:rsid w:val="00741C23"/>
    <w:rsid w:val="00831EFA"/>
    <w:rsid w:val="009811D3"/>
    <w:rsid w:val="009E721A"/>
    <w:rsid w:val="00B46DE2"/>
    <w:rsid w:val="00B6345D"/>
    <w:rsid w:val="00BE34C7"/>
    <w:rsid w:val="00C6545B"/>
    <w:rsid w:val="00CA0A4A"/>
    <w:rsid w:val="00CC3A31"/>
    <w:rsid w:val="00DC6A43"/>
    <w:rsid w:val="00F02A9D"/>
    <w:rsid w:val="00F17DFD"/>
    <w:rsid w:val="00FB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331</Words>
  <Characters>1893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2020-01-23T13:58:00Z</dcterms:created>
  <dcterms:modified xsi:type="dcterms:W3CDTF">2020-06-05T20:29:00Z</dcterms:modified>
</cp:coreProperties>
</file>