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1280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ogo_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39B54A"/>
          <w:sz w:val="60"/>
        </w:rPr>
        <w:t>SI.G.VA.C.H.</w:t>
      </w:r>
    </w:p>
    <w:p>
      <w:pPr>
        <w:jc w:val="center"/>
      </w:pPr>
      <w:r>
        <w:rPr>
          <w:b w:val="0"/>
          <w:color w:val="555555"/>
          <w:sz w:val="26"/>
        </w:rPr>
        <w:t>Sistema de Gestión de Variables para Cultivos Hidropónicos</w:t>
      </w:r>
    </w:p>
    <w:p/>
    <w:p/>
    <w:p>
      <w:pPr>
        <w:jc w:val="center"/>
      </w:pPr>
      <w:r>
        <w:rPr>
          <w:b/>
          <w:color w:val="2E7D32"/>
          <w:sz w:val="40"/>
        </w:rPr>
        <w:t>BITACORA DOMINGO 2026-09-27</w:t>
      </w:r>
    </w:p>
    <w:p>
      <w:pPr>
        <w:jc w:val="center"/>
      </w:pPr>
      <w:r>
        <w:rPr>
          <w:b w:val="0"/>
          <w:color w:val="555555"/>
          <w:sz w:val="26"/>
        </w:rPr>
        <w:t>27 de septiembre de 2026</w:t>
      </w:r>
    </w:p>
    <w:p>
      <w:r>
        <w:br w:type="page"/>
      </w:r>
    </w:p>
    <w:p>
      <w:pPr>
        <w:pStyle w:val="Title"/>
      </w:pPr>
      <w:r>
        <w:t>📓 Bitácora — Sesión del domingo 27 de septiembre de 2026</w:t>
      </w:r>
    </w:p>
    <w:p>
      <w:r>
        <w:rPr>
          <w:b w:val="0"/>
          <w:sz w:val="22"/>
        </w:rPr>
        <w:t>Proyecto: SIGVACH — Sistema de Gestión de Variables para Cultivos Hidropónicos</w:t>
      </w:r>
    </w:p>
    <w:p>
      <w:r>
        <w:rPr>
          <w:b w:val="0"/>
          <w:sz w:val="22"/>
        </w:rPr>
        <w:t>Grupo: 3 · Entrega E2: sábado 26/09 (entregada) · Defensa: martes 13/10 a las 17:00</w:t>
      </w:r>
    </w:p>
    <w:p>
      <w:r>
        <w:rPr>
          <w:b w:val="0"/>
          <w:sz w:val="22"/>
        </w:rPr>
        <w:t>Objetivo de la sesión: cerrar los flecos de la entrega del E2, verificar que lo</w:t>
      </w:r>
    </w:p>
    <w:p>
      <w:r>
        <w:rPr>
          <w:b w:val="0"/>
          <w:sz w:val="22"/>
        </w:rPr>
        <w:t>publicado funciona de verdad y volver a poner en marcha el módulo de adquisición.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1. Punto de partida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Pieza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Estado al comenzar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Entregable E2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Entregado el sábado 26 a las 00:52, 23 horas antes del cierre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Cuestionario Q2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Completado el mismo día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Aplicación publicada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En línea, pero con dudas sobre qué versión estaba sirviendo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Módulo de adquisición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Apagado desde el 25/09 a las 04:45, sin publicar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Electrodo de pH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Guardado seco, sin medir desde las prácticas con Arduino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Repositorio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125 confirmaciones en 13 días distintos</w:t>
            </w:r>
          </w:p>
        </w:tc>
      </w:tr>
    </w:tbl>
    <w:p/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2. El fallo del despliegue: la aplicación publicada apuntaba al equipo local</w:t>
      </w:r>
    </w:p>
    <w:p>
      <w:pPr>
        <w:pStyle w:val="Heading2"/>
      </w:pPr>
      <w:r>
        <w:t>2.1 El síntoma</w:t>
      </w:r>
    </w:p>
    <w:p>
      <w:r>
        <w:rPr>
          <w:b w:val="0"/>
          <w:sz w:val="22"/>
        </w:rPr>
        <w:t>Abriendo la dirección publicada, la aplicación mostraba «No se pudo conectar con el</w:t>
      </w:r>
    </w:p>
    <w:p>
      <w:r>
        <w:rPr>
          <w:b w:val="0"/>
          <w:sz w:val="22"/>
        </w:rPr>
        <w:t>servidor», mientras que el servicio respondía con normalidad y desde el mismo equipo se</w:t>
      </w:r>
    </w:p>
    <w:p>
      <w:r>
        <w:rPr>
          <w:b w:val="0"/>
          <w:sz w:val="22"/>
        </w:rPr>
        <w:t>podía abrir https://sigvach-api.onrender.com/api/v1/salud y obtener</w:t>
      </w:r>
    </w:p>
    <w:p>
      <w:r>
        <w:rPr>
          <w:b w:val="0"/>
          <w:sz w:val="22"/>
        </w:rPr>
        <w:t>{"estado":"ok",...}.</w:t>
      </w:r>
    </w:p>
    <w:p>
      <w:pPr>
        <w:pStyle w:val="Heading2"/>
      </w:pPr>
      <w:r>
        <w:t>2.2 Cómo se encontró la causa</w:t>
      </w:r>
    </w:p>
    <w:p>
      <w:r>
        <w:rPr>
          <w:b w:val="0"/>
          <w:sz w:val="22"/>
        </w:rPr>
        <w:t>Se comparó el paquete que sirve Firebase con el que había en el equipo: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Archivo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Tamaño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Huella SHA-256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build/web/main.dart.js (local)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3.128.379 bytes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5A26E5E5…C603DA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main.dart.js (publicado)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3.128.379 bytes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5A26E5E5…C603DA</w:t>
            </w:r>
          </w:p>
        </w:tc>
      </w:tr>
    </w:tbl>
    <w:p/>
    <w:p>
      <w:r>
        <w:rPr>
          <w:b w:val="0"/>
          <w:sz w:val="22"/>
        </w:rPr>
        <w:t>Eran el mismo archivo. Y dentro de él: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Dirección buscada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Apariciones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sigvach-api.onrender.com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127.0.0.1:8011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1</w:t>
            </w:r>
          </w:p>
        </w:tc>
      </w:tr>
    </w:tbl>
    <w:p/>
    <w:p>
      <w:r>
        <w:rPr>
          <w:b w:val="0"/>
          <w:sz w:val="22"/>
        </w:rPr>
        <w:t>La aplicación publicada le pedía los datos a 127.0.0.1, que significa «este equipo»: el</w:t>
      </w:r>
    </w:p>
    <w:p>
      <w:r>
        <w:rPr>
          <w:b w:val="0"/>
          <w:sz w:val="22"/>
        </w:rPr>
        <w:t>de quien esté mirando la página. En el equipo del autor funcionaba si la API local estaba</w:t>
      </w:r>
    </w:p>
    <w:p>
      <w:r>
        <w:rPr>
          <w:b w:val="0"/>
          <w:sz w:val="22"/>
        </w:rPr>
        <w:t>levantada; en el de cualquier otra persona, no.</w:t>
      </w:r>
    </w:p>
    <w:p>
      <w:pPr>
        <w:pStyle w:val="Heading2"/>
      </w:pPr>
      <w:r>
        <w:t>2.3 La causa de fondo</w:t>
      </w:r>
    </w:p>
    <w:p>
      <w:r>
        <w:rPr>
          <w:b w:val="0"/>
          <w:sz w:val="22"/>
        </w:rPr>
        <w:t>La dirección del servicio no se elige al ejecutar la aplicación, sino al compilarla:</w:t>
      </w:r>
    </w:p>
    <w:p>
      <w:pPr>
        <w:ind w:left="360"/>
        <w:shd w:val="clear" w:fill="F2F2F2"/>
      </w:pPr>
      <w:r>
        <w:rPr>
          <w:rFonts w:ascii="Consolas" w:hAnsi="Consolas"/>
          <w:b w:val="0"/>
          <w:color w:val="1F3B73"/>
          <w:sz w:val="18"/>
        </w:rPr>
        <w:t>flutter build web --release --dart-define=API_BASE_URL=https://sigvach-api.onrender.com</w:t>
      </w:r>
    </w:p>
    <w:p/>
    <w:p>
      <w:r>
        <w:rPr>
          <w:b w:val="0"/>
          <w:sz w:val="22"/>
        </w:rPr>
        <w:t>Se había compilado para probar en local —sin ese parámetro— y se publicó **esa misma</w:t>
      </w:r>
    </w:p>
    <w:p>
      <w:r>
        <w:rPr>
          <w:b w:val="0"/>
          <w:sz w:val="22"/>
        </w:rPr>
        <w:t>carpeta** build/web. El error no estaba en el código ni en el navegador: estaba en</w:t>
      </w:r>
    </w:p>
    <w:p>
      <w:r>
        <w:rPr>
          <w:b w:val="0"/>
          <w:sz w:val="22"/>
        </w:rPr>
        <w:t>publicar la compilación equivocada.</w:t>
      </w:r>
    </w:p>
    <w:p>
      <w:pPr>
        <w:pStyle w:val="Heading2"/>
      </w:pPr>
      <w:r>
        <w:t>2.4 El arreglo</w:t>
      </w:r>
    </w:p>
    <w:p>
      <w:pPr>
        <w:pStyle w:val="ListNumber"/>
      </w:pPr>
      <w:r>
        <w:rPr>
          <w:b w:val="0"/>
          <w:sz w:val="22"/>
        </w:rPr>
        <w:t>Recompilar con la dirección pública y volver a publicar. El paquete publicado pasó a</w:t>
      </w:r>
    </w:p>
    <w:p>
      <w:r>
        <w:rPr>
          <w:b w:val="0"/>
          <w:sz w:val="22"/>
        </w:rPr>
        <w:t>tener la huella C7A10F2C…C5F1 y a contener la dirección del servicio.</w:t>
      </w:r>
    </w:p>
    <w:p>
      <w:pPr>
        <w:pStyle w:val="ListNumber"/>
      </w:pPr>
      <w:r>
        <w:rPr>
          <w:b w:val="0"/>
          <w:sz w:val="22"/>
        </w:rPr>
        <w:t>Publicar sin caché los archivos que deciden qué versión se carga, en</w:t>
      </w:r>
    </w:p>
    <w:p>
      <w:r>
        <w:rPr>
          <w:b w:val="0"/>
          <w:sz w:val="22"/>
        </w:rPr>
        <w:t>firebase.json: index.html, flutter_bootstrap.js, flutter_service_worker.js y</w:t>
      </w:r>
    </w:p>
    <w:p>
      <w:r>
        <w:rPr>
          <w:b w:val="0"/>
          <w:sz w:val="22"/>
        </w:rPr>
        <w:t>main.dart.js. Antes se servían con max-age=3600, de modo que un navegador podía</w:t>
      </w:r>
    </w:p>
    <w:p>
      <w:r>
        <w:rPr>
          <w:b w:val="0"/>
          <w:sz w:val="22"/>
        </w:rPr>
        <w:t>seguir usando la versión vieja hasta una hora después de publicar.</w:t>
      </w:r>
    </w:p>
    <w:p>
      <w:pPr>
        <w:pStyle w:val="ListNumber"/>
      </w:pPr>
      <w:r>
        <w:rPr>
          <w:b w:val="0"/>
          <w:sz w:val="22"/>
        </w:rPr>
        <w:t>Añadir scripts/verificar_despliegue.py, que comprueba en cinco segundos las cuatro</w:t>
      </w:r>
    </w:p>
    <w:p>
      <w:r>
        <w:rPr>
          <w:b w:val="0"/>
          <w:sz w:val="22"/>
        </w:rPr>
        <w:t>cosas que se rompen en silencio: que el paquete publicado lleve la dirección pública,</w:t>
      </w:r>
    </w:p>
    <w:p>
      <w:r>
        <w:rPr>
          <w:b w:val="0"/>
          <w:sz w:val="22"/>
        </w:rPr>
        <w:t>que coincida con build/web, que /api/v1/salud responda y que el origen de la</w:t>
      </w:r>
    </w:p>
    <w:p>
      <w:r>
        <w:rPr>
          <w:b w:val="0"/>
          <w:sz w:val="22"/>
        </w:rPr>
        <w:t>aplicación esté autorizado, incluido el examen previo que hace el navegador antes</w:t>
      </w:r>
    </w:p>
    <w:p>
      <w:r>
        <w:rPr>
          <w:b w:val="0"/>
          <w:sz w:val="22"/>
        </w:rPr>
        <w:t>de las peticiones con token.</w:t>
      </w:r>
    </w:p>
    <w:p>
      <w:pPr>
        <w:pStyle w:val="Heading2"/>
      </w:pPr>
      <w:r>
        <w:t>2.5 Cómo se explica el error</w:t>
      </w:r>
    </w:p>
    <w:p>
      <w:r>
        <w:rPr>
          <w:b w:val="0"/>
          <w:sz w:val="22"/>
        </w:rPr>
        <w:t>Se dibujó la lámina Figuras/20-error-del-despliegue.png, que resume el fallo en cuatro</w:t>
      </w:r>
    </w:p>
    <w:p>
      <w:r>
        <w:rPr>
          <w:b w:val="0"/>
          <w:sz w:val="22"/>
        </w:rPr>
        <w:t>bandas: los dos caminos desde el mismo código, qué significa 127.0.0.1, que el navegador</w:t>
      </w:r>
    </w:p>
    <w:p>
      <w:r>
        <w:rPr>
          <w:b w:val="0"/>
          <w:sz w:val="22"/>
        </w:rPr>
        <w:t>no se rompió (solo obedecía lo que decía la página) y la regla final: **se puede levantar</w:t>
      </w:r>
    </w:p>
    <w:p>
      <w:r>
        <w:rPr>
          <w:b w:val="0"/>
          <w:sz w:val="22"/>
        </w:rPr>
        <w:t>la API en local; lo que no se puede es publicar la carpeta compilada para local**.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3. Revisión final del entregable E2</w:t>
      </w:r>
    </w:p>
    <w:p>
      <w:r>
        <w:rPr>
          <w:b w:val="0"/>
          <w:sz w:val="22"/>
        </w:rPr>
        <w:t>Antes de la entrega se revisó el documento apartado por apartado. Lo que se encontró y se</w:t>
      </w:r>
    </w:p>
    <w:p>
      <w:r>
        <w:rPr>
          <w:b w:val="0"/>
          <w:sz w:val="22"/>
        </w:rPr>
        <w:t>corrigió: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Hallazgo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Corrección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La figura de casos de uso medía 16,99 × 14,43 cm y estaba estirada un 12 %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Se le devolvió la escala uniforme: 14,40 × 10,95 cm. Es un grupo flotante de Word, no una imagen suelta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La figura del segundo wireframe estaba comprimida un 13 %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Se corrigió a 6,76 × 9,68 cm, conservando su proporción real (880 × 1260 px)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El párrafo con estilo de apartado antes de «2.4.4» aparecía como título vacío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No se borró: es el párrafo que lleva el salto de sección. Se le quitó solo el estilo de apartado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Faltaba puntuación en la línea del tablero (apartado 2.2)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Se cerró la frase antes de «Enlace» y se añadió el punto final</w:t>
            </w:r>
          </w:p>
        </w:tc>
      </w:tr>
    </w:tbl>
    <w:p/>
    <w:p>
      <w:r>
        <w:rPr>
          <w:b w:val="0"/>
          <w:sz w:val="22"/>
        </w:rPr>
        <w:t>Verificación posterior: 48 páginas, 8.697 palabras, 19 tablas, seis figuras con su</w:t>
      </w:r>
    </w:p>
    <w:p>
      <w:r>
        <w:rPr>
          <w:b w:val="0"/>
          <w:sz w:val="22"/>
        </w:rPr>
        <w:t>proporción exacta, tres secciones con sus márgenes intactos y sin restos de plantilla.</w:t>
      </w:r>
    </w:p>
    <w:p>
      <w:r>
        <w:rPr>
          <w:b w:val="0"/>
          <w:sz w:val="22"/>
        </w:rPr>
        <w:t>Un dato que se comprobó y conviene recordar: *ensanchar el segundo wireframe* para</w:t>
      </w:r>
    </w:p>
    <w:p>
      <w:r>
        <w:rPr>
          <w:b w:val="0"/>
          <w:sz w:val="22"/>
        </w:rPr>
        <w:t>igualar su altura con el primero llevaba el documento de 48 a 50 páginas.** Se midió cada</w:t>
      </w:r>
    </w:p>
    <w:p>
      <w:r>
        <w:rPr>
          <w:b w:val="0"/>
          <w:sz w:val="22"/>
        </w:rPr>
        <w:t>cambio por separado para aislar el efecto y se optó por conservar la proporción.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4. El módulo de adquisición vuelve a publicar</w:t>
      </w:r>
    </w:p>
    <w:p>
      <w:pPr>
        <w:pStyle w:val="Heading2"/>
      </w:pPr>
      <w:r>
        <w:t>4.1 Estaba apagado</w:t>
      </w:r>
    </w:p>
    <w:p>
      <w:r>
        <w:rPr>
          <w:b w:val="0"/>
          <w:sz w:val="22"/>
        </w:rPr>
        <w:t>La última lectura del módulo era del 25/09 a las 04:45. Al encenderlo, publicó su</w:t>
      </w:r>
    </w:p>
    <w:p>
      <w:r>
        <w:rPr>
          <w:b w:val="0"/>
          <w:sz w:val="22"/>
        </w:rPr>
        <w:t>primer ciclo en veinte segundos: el bucle mide y publica al arrancar, y después cada cinco</w:t>
      </w:r>
    </w:p>
    <w:p>
      <w:r>
        <w:rPr>
          <w:b w:val="0"/>
          <w:sz w:val="22"/>
        </w:rPr>
        <w:t>minutos.</w:t>
      </w:r>
    </w:p>
    <w:p>
      <w:pPr>
        <w:pStyle w:val="Heading2"/>
      </w:pPr>
      <w:r>
        <w:t>4.2 Un fallo de conexión que se pudo ver en el Monitor Serie</w:t>
      </w:r>
    </w:p>
    <w:p>
      <w:r>
        <w:rPr>
          <w:b w:val="0"/>
          <w:sz w:val="22"/>
        </w:rPr>
        <w:t>Publicaba tres de las cinco variables. Faltaban temp_ambiental y humedad, y el</w:t>
      </w:r>
    </w:p>
    <w:p>
      <w:r>
        <w:rPr>
          <w:b w:val="0"/>
          <w:sz w:val="22"/>
        </w:rPr>
        <w:t>registro explicaba por qué:</w:t>
      </w:r>
    </w:p>
    <w:p>
      <w:pPr>
        <w:ind w:left="360"/>
        <w:shd w:val="clear" w:fill="F2F2F2"/>
      </w:pPr>
      <w:r>
        <w:rPr>
          <w:rFonts w:ascii="Consolas" w:hAnsi="Consolas"/>
          <w:b w:val="0"/>
          <w:color w:val="1F3B73"/>
          <w:sz w:val="18"/>
        </w:rPr>
        <w:t>I (4614) SENSORES: Buscando el sensor de ambiente (primero en P33)...</w:t>
        <w:br/>
        <w:t>E (4734) dht: Initialization error, problem in phase 'B'</w:t>
        <w:br/>
        <w:t>W (9174) SENSORES: ENCONTRADO: AM2302 / DHT22 en GPIO 33</w:t>
        <w:br/>
        <w:t>...</w:t>
        <w:br/>
        <w:t>E (17864) dht: Initialization error, problem in phase 'B'</w:t>
        <w:br/>
        <w:t>W (17864) SIGVACH: Ambiente -&gt; sin respuesta (ESP_ERR_TIMEOUT)</w:t>
        <w:br/>
        <w:t>W (18704) SIGVACH:   temp_ambiental  sin dato: no se publica</w:t>
        <w:br/>
        <w:t>W (18704) SIGVACH:   humedad         sin dato: no se publica</w:t>
      </w:r>
    </w:p>
    <w:p/>
    <w:p>
      <w:r>
        <w:rPr>
          <w:b w:val="0"/>
          <w:sz w:val="22"/>
        </w:rPr>
        <w:t>El propio firmware documenta qué significa ese error: *«la línea se quedó en alto: el</w:t>
      </w:r>
    </w:p>
    <w:p>
      <w:r>
        <w:rPr>
          <w:b w:val="0"/>
          <w:sz w:val="22"/>
        </w:rPr>
        <w:t>pull-up la sostiene y nadie del otro lado la baja, o sea que el sensor no está conectado a</w:t>
      </w:r>
    </w:p>
    <w:p>
      <w:r>
        <w:rPr>
          <w:b w:val="0"/>
          <w:sz w:val="22"/>
        </w:rPr>
        <w:t>ESE pin, o no está alimentado». El síntoma era elocuente: *respondía al arrancar y</w:t>
      </w:r>
    </w:p>
    <w:p>
      <w:r>
        <w:rPr>
          <w:b w:val="0"/>
          <w:sz w:val="22"/>
        </w:rPr>
        <w:t>fallaba en todos los ciclos**, que es la firma de un contacto flojo.</w:t>
      </w:r>
    </w:p>
    <w:p>
      <w:r>
        <w:rPr>
          <w:b w:val="0"/>
          <w:sz w:val="22"/>
        </w:rPr>
        <w:t>La solución fue desconectar y volver a conectar el cable de datos del sensor. Desde</w:t>
      </w:r>
    </w:p>
    <w:p>
      <w:r>
        <w:rPr>
          <w:b w:val="0"/>
          <w:sz w:val="22"/>
        </w:rPr>
        <w:t>las 22:54 el módulo publica las cinco variables en el mismo ciclo:</w:t>
      </w:r>
    </w:p>
    <w:p>
      <w:pPr>
        <w:ind w:left="360"/>
        <w:shd w:val="clear" w:fill="F2F2F2"/>
      </w:pPr>
      <w:r>
        <w:rPr>
          <w:rFonts w:ascii="Consolas" w:hAnsi="Consolas"/>
          <w:b w:val="0"/>
          <w:color w:val="1F3B73"/>
          <w:sz w:val="18"/>
        </w:rPr>
        <w:t>22:54:01  temp_ambiental   26,3 °C</w:t>
        <w:br/>
        <w:t>22:54:05  humedad          33,1 %</w:t>
        <w:br/>
        <w:t>22:54:08  temp_solucion    24,56 °C</w:t>
        <w:br/>
        <w:t>22:54:11  tds            239,31 ppm</w:t>
        <w:br/>
        <w:t>22:54:15  ec               0,48 mS/cm</w:t>
      </w:r>
    </w:p>
    <w:p/>
    <w:p>
      <w:pPr>
        <w:pStyle w:val="Heading2"/>
      </w:pPr>
      <w:r>
        <w:t>4.3 Lo que el arranque confirmó del resto del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Estado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Memoria no volátil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Lista, con la cola de pendientes vacía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Convertidor analógico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Calibración de fábrica desde el eFuse, con los 4 s de asentamiento cumplidos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DS18B20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Detectado con su ROM y 12 bits: Solucion -&gt; 24.81 C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WiFi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Conectado, con la hora tomada del servicio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HTTPS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Certificate validated en cada envío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Entrada del pH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142 mV con dispersión 0: igual que un pin al aire, es decir, el módulo de pH aún no está conectado</w:t>
            </w:r>
          </w:p>
        </w:tc>
      </w:tr>
    </w:tbl>
    <w:p/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5. El electrodo de pH: diagnóstico y plan</w:t>
      </w:r>
    </w:p>
    <w:p>
      <w:r>
        <w:rPr>
          <w:b w:val="0"/>
          <w:sz w:val="22"/>
        </w:rPr>
        <w:t>El historial confirmado por el autor: se usó dos o tres veces durante las prácticas con</w:t>
      </w:r>
    </w:p>
    <w:p>
      <w:r>
        <w:rPr>
          <w:b w:val="0"/>
          <w:sz w:val="22"/>
        </w:rPr>
        <w:t>Arduino y después se guardó seco, dentro de su caja, sin solución de almacenamiento. Al</w:t>
      </w:r>
    </w:p>
    <w:p>
      <w:r>
        <w:rPr>
          <w:b w:val="0"/>
          <w:sz w:val="22"/>
        </w:rPr>
        <w:t>retomar el trabajo con ESP-IDF ya no respondía. La caja del proveedor no incluye solución</w:t>
      </w:r>
    </w:p>
    <w:p>
      <w:r>
        <w:rPr>
          <w:b w:val="0"/>
          <w:sz w:val="22"/>
        </w:rPr>
        <w:t>de almacenamiento, y la costra blanca que se ve dentro del tapón es el KCl de esa solución</w:t>
      </w:r>
    </w:p>
    <w:p>
      <w:r>
        <w:rPr>
          <w:b w:val="0"/>
          <w:sz w:val="22"/>
        </w:rPr>
        <w:t>que se evaporó.</w:t>
      </w:r>
    </w:p>
    <w:p>
      <w:r>
        <w:rPr>
          <w:b w:val="0"/>
          <w:sz w:val="22"/>
        </w:rPr>
        <w:t>Lo que se vio en las fotos: el bulbo está presente y entero dentro de su jaula</w:t>
      </w:r>
    </w:p>
    <w:p>
      <w:r>
        <w:rPr>
          <w:b w:val="0"/>
          <w:sz w:val="22"/>
        </w:rPr>
        <w:t>protectora, sin grietas ni depósitos oscuros; el conector BNC está limpio. El pronóstico es</w:t>
      </w:r>
    </w:p>
    <w:p>
      <w:r>
        <w:rPr>
          <w:b w:val="0"/>
          <w:sz w:val="22"/>
        </w:rPr>
        <w:t>bueno, porque no hay desgaste de uso, solo sequedad.</w:t>
      </w:r>
    </w:p>
    <w:p>
      <w:r>
        <w:rPr>
          <w:b w:val="0"/>
          <w:sz w:val="22"/>
        </w:rPr>
        <w:t>El plan de recuperación (documentado en 18_PLAN_DE_LA_SEMANA.md y en la guía</w:t>
      </w:r>
    </w:p>
    <w:p>
      <w:r>
        <w:rPr>
          <w:b w:val="0"/>
          <w:sz w:val="22"/>
        </w:rPr>
        <w:t>19_GUIA_DEL_SENSOR_DE_PH.md): remojo del bulbo en KCl 3 M durante 24 a 48 horas, con</w:t>
      </w:r>
    </w:p>
    <w:p>
      <w:r>
        <w:rPr>
          <w:b w:val="0"/>
          <w:sz w:val="22"/>
        </w:rPr>
        <w:t>los criterios de descarte escritos, y la decisión de comprar o no el miércoles, para</w:t>
      </w:r>
    </w:p>
    <w:p>
      <w:r>
        <w:rPr>
          <w:b w:val="0"/>
          <w:sz w:val="22"/>
        </w:rPr>
        <w:t>que quede margen.</w:t>
      </w:r>
    </w:p>
    <w:p>
      <w:r>
        <w:rPr>
          <w:b w:val="0"/>
          <w:sz w:val="22"/>
        </w:rPr>
        <w:t>Dato útil para el firmware: la clave del dispositivo que exige el servicio está en el</w:t>
      </w:r>
    </w:p>
    <w:p>
      <w:r>
        <w:rPr>
          <w:b w:val="0"/>
          <w:sz w:val="22"/>
        </w:rPr>
        <w:t>.env del proyecto, y se comprobó contra el servicio publicado que es válida (respondió</w:t>
      </w:r>
    </w:p>
    <w:p>
      <w:r>
        <w:rPr>
          <w:b w:val="0"/>
          <w:sz w:val="22"/>
        </w:rPr>
        <w:t>422 ante una variable desconocida, no 401). Con ella se rehizo el archivo</w:t>
      </w:r>
    </w:p>
    <w:p>
      <w:r>
        <w:rPr>
          <w:b w:val="0"/>
          <w:sz w:val="22"/>
        </w:rPr>
        <w:t>hardware/firmware/main/configuracion.h, que faltaba, dejando pendiente solo el nombre y</w:t>
      </w:r>
    </w:p>
    <w:p>
      <w:r>
        <w:rPr>
          <w:b w:val="0"/>
          <w:sz w:val="22"/>
        </w:rPr>
        <w:t>la clave del WiFi.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6. Estado del repositorio y del tablero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Antes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Ahora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T-29 (entregable E2)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En curso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Hecho (26/09)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Tareas terminadas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31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Tareas en curso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1 (T-28, la maqueta)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Confirmaciones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125 en 13 días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128 en 14 días</w:t>
            </w:r>
          </w:p>
        </w:tc>
      </w:tr>
    </w:tbl>
    <w:p/>
    <w:p>
      <w:r>
        <w:rPr>
          <w:b w:val="0"/>
          <w:sz w:val="22"/>
        </w:rPr>
        <w:t>Se añadieron al repositorio el plan de la semana, la guía del sensor de pH, el verificador</w:t>
      </w:r>
    </w:p>
    <w:p>
      <w:r>
        <w:rPr>
          <w:b w:val="0"/>
          <w:sz w:val="22"/>
        </w:rPr>
        <w:t>de despliegue y la nota correspondiente en 10_DESPLIEGUE.md. La figura del tablero dentro</w:t>
      </w:r>
    </w:p>
    <w:p>
      <w:r>
        <w:rPr>
          <w:b w:val="0"/>
          <w:sz w:val="22"/>
        </w:rPr>
        <w:t>del E2 entregado retrata el estado al 25/09 (30/2/4), de modo que hay una diferencia</w:t>
      </w:r>
    </w:p>
    <w:p>
      <w:r>
        <w:rPr>
          <w:b w:val="0"/>
          <w:sz w:val="22"/>
        </w:rPr>
        <w:t>deliberada y explicable con el tablero actual.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7. Lo que queda para la semana</w:t>
      </w:r>
    </w:p>
    <w:p>
      <w:pPr>
        <w:pStyle w:val="ListNumber"/>
      </w:pPr>
      <w:r>
        <w:rPr>
          <w:b w:val="0"/>
          <w:sz w:val="22"/>
        </w:rPr>
        <w:t>Lunes: comprar KCl 3 M y los patrones de pH 4,00 y 6,86; preguntar por el</w:t>
      </w:r>
    </w:p>
    <w:p>
      <w:r>
        <w:rPr>
          <w:b w:val="0"/>
          <w:sz w:val="22"/>
        </w:rPr>
        <w:t>patrón de 707 ppm y por la sonda de pH sola. Arrancar el remojo del electrodo.</w:t>
      </w:r>
    </w:p>
    <w:p>
      <w:pPr>
        <w:pStyle w:val="ListNumber"/>
      </w:pPr>
      <w:r>
        <w:rPr>
          <w:b w:val="0"/>
          <w:sz w:val="22"/>
        </w:rPr>
        <w:t>Miércoles: decisión sobre el electrodo. Si no revive, comprar ese mismo día.</w:t>
      </w:r>
    </w:p>
    <w:p>
      <w:pPr>
        <w:pStyle w:val="ListNumber"/>
      </w:pPr>
      <w:r>
        <w:rPr>
          <w:b w:val="0"/>
          <w:sz w:val="22"/>
        </w:rPr>
        <w:t>Semana: montar el divisor ÷2 del pH con dos resistencias de 4,7 kΩ, calibrar el pH y</w:t>
      </w:r>
    </w:p>
    <w:p>
      <w:r>
        <w:rPr>
          <w:b w:val="0"/>
          <w:sz w:val="22"/>
        </w:rPr>
        <w:t>el TDS, y añadir al firmware la conversión y la publicación de la variable ph.</w:t>
      </w:r>
    </w:p>
    <w:p>
      <w:pPr>
        <w:pStyle w:val="ListNumber"/>
      </w:pPr>
      <w:r>
        <w:rPr>
          <w:b w:val="0"/>
          <w:sz w:val="22"/>
        </w:rPr>
        <w:t>Viernes: maqueta terminada, evidencias fotográficas y capturas de adaptabilidad.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8. Lo que se aprendió</w:t>
      </w:r>
    </w:p>
    <w:p>
      <w:pPr>
        <w:pStyle w:val="ListNumber"/>
      </w:pPr>
      <w:r>
        <w:rPr>
          <w:b w:val="0"/>
          <w:sz w:val="22"/>
        </w:rPr>
        <w:t>La dirección del servicio viaja dentro del paquete compilado. Publicar la carpeta</w:t>
      </w:r>
    </w:p>
    <w:p>
      <w:r>
        <w:rPr>
          <w:b w:val="0"/>
          <w:sz w:val="22"/>
        </w:rPr>
        <w:t>del modo local deja a la aplicación pidiendo datos al equipo de quien la mira. Se</w:t>
      </w:r>
    </w:p>
    <w:p>
      <w:r>
        <w:rPr>
          <w:b w:val="0"/>
          <w:sz w:val="22"/>
        </w:rPr>
        <w:t>detecta en cinco segundos con el verificador.</w:t>
      </w:r>
    </w:p>
    <w:p>
      <w:pPr>
        <w:pStyle w:val="ListNumber"/>
      </w:pPr>
      <w:r>
        <w:rPr>
          <w:b w:val="0"/>
          <w:sz w:val="22"/>
        </w:rPr>
        <w:t>Un fallo de contacto se disfraza de fallo de sensor. Responder al arrancar y fallar</w:t>
      </w:r>
    </w:p>
    <w:p>
      <w:r>
        <w:rPr>
          <w:b w:val="0"/>
          <w:sz w:val="22"/>
        </w:rPr>
        <w:t>después no es un sensor agotado: es un cable a medio meter.</w:t>
      </w:r>
    </w:p>
    <w:p>
      <w:pPr>
        <w:pStyle w:val="ListNumber"/>
      </w:pPr>
      <w:r>
        <w:rPr>
          <w:b w:val="0"/>
          <w:sz w:val="22"/>
        </w:rPr>
        <w:t>El firmware hace bien en no publicar un valor inválido. Las dos variables ausentes</w:t>
      </w:r>
    </w:p>
    <w:p>
      <w:r>
        <w:rPr>
          <w:b w:val="0"/>
          <w:sz w:val="22"/>
        </w:rPr>
        <w:t>no eran un error del sistema, sino la consecuencia de una lectura que no se pudo hacer.</w:t>
      </w:r>
    </w:p>
    <w:p>
      <w:pPr>
        <w:pStyle w:val="ListNumber"/>
      </w:pPr>
      <w:r>
        <w:rPr>
          <w:b w:val="0"/>
          <w:sz w:val="22"/>
        </w:rPr>
        <w:t>Los instrumentos tienen requisitos de conservación. El electrodo de pH se guarda</w:t>
      </w:r>
    </w:p>
    <w:p>
      <w:r>
        <w:rPr>
          <w:b w:val="0"/>
          <w:sz w:val="22"/>
        </w:rPr>
        <w:t>húmedo, en KCl, con el tapón lleno; en seco pierde la referencia por más que apenas se</w:t>
      </w:r>
    </w:p>
    <w:p>
      <w:r>
        <w:rPr>
          <w:b w:val="0"/>
          <w:sz w:val="22"/>
        </w:rPr>
        <w:t>haya usado.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D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D32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