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Hallazgo de interfaz: el módulo nuevo no aparecía en el panel. Al registrar un módulo desde la pantalla de módulos, la lista del panel de inicio no se actualizaba: cada controlador conserva la suya, de modo que el módulo recién creado solo aparecía en el selector del panel después de reiniciar la aplicación. Se incorporó un aviso al panel después de cada operación sobre módulos —registrar, modificar y eliminar—, conservando el módulo vigente cuando sigue existiendo.</w:t>
      </w:r>
    </w:p>
    <w:p>
      <w:r>
        <w:rPr>
          <w:b w:val="0"/>
          <w:sz w:val="22"/>
        </w:rPr>
        <w:t>Hallazgo de interfaz: la pantalla de rangos no dejaba elegir el cultivo. Los rangos de referencia pertenecen a un cultivo, pero la pantalla los listaba todos juntos. Como solo el cultivo predefinido tenía rangos cargados, la pantalla parecía indicar que el sistema admitía un único cultivo, y no había forma de ver —ni de advertir— que un cultivo recién creado no tiene rangos: sus lecturas no se evalúan y no generan alertas, que es justamente lo que el usuario observaba sin explicación. Se incorporó el selector de cultivo, el filtro de la lista por cultivo y un aviso que indica, para el cultivo sin rangos, dónde se definen.</w:t>
      </w:r>
    </w:p>
    <w:p>
      <w:r>
        <w:rPr>
          <w:b w:val="0"/>
          <w:sz w:val="22"/>
        </w:rPr>
        <w:t>Hallazgo de coherencia: alertas e historial no estaban acotados al módulo. El panel y la pantalla de variables trabajan sobre el módulo vigente, pero las pantallas de alertas y de historial consultaban el servicio sin filtrar por módulo, de modo que mezclaban datos de módulos con cultivos y rangos distintos —y el resumen del periodo no correspondía a ningún módulo en particular—. Se acotaron ambas consultas al módulo vigente, se rehacen si el usuario cambia de módulo, y las cuatro pantallas muestran ahora el mismo detalle del módulo mediante un componente compartido.</w:t>
      </w:r>
    </w:p>
    <w:p>
      <w:r>
        <w:rPr>
          <w:b w:val="0"/>
          <w:sz w:val="22"/>
        </w:rPr>
        <w:t>Hallazgo de interfaz: un módulo nuevo no podía recibir su primera medición. El razonamiento del autor durante la prueba fue el que permitió encontrarlo: si un módulo recién creado no tiene lecturas, el panel muestra su estado vacío; y la acción de registrar una medición existía únicamente en el estado con datos. El resultado era que un módulo nuevo no podía poblarse nunca desde la aplicación: quedaba vacío de forma permanente y daba la impresión de que crear módulos no aportaba nada. El estado vacío ofrece ahora la acción de registrar la primera medición, además del selector de módulo y la recarga.</w:t>
      </w:r>
    </w:p>
    <w:p>
      <w:r>
        <w:rPr>
          <w:b w:val="0"/>
          <w:sz w:val="22"/>
        </w:rPr>
        <w:t>&gt; Los tres hallazgos anteriores provienen de usar la aplicación publicada, no de revisar el código: crear un módulo, verlo en el panel y registrar sus mediciones son las operaciones que un usuario real hace en los primeros minutos. Quedan como ejemplo de por qué la prueba en el entorno desplegado —y no solo en el equipo de desarrollo— forma parte del trabajo de construcción.</w:t>
      </w:r>
    </w:p>
    <w:p>
      <w:r>
        <w:rPr>
          <w:b w:val="0"/>
          <w:sz w:val="22"/>
        </w:rPr>
        <w:t>Reglas de seguridad publicadas y verificadas.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 Publicadas las reglas, se verificó su efecto contra la base de datos real: consultando la API REST sin credenciales, las cinco colecciones del dominio responden 403, y con la cuenta de servicio responden 200. La comprobación quedó implementada como programa (scripts/verificar_acceso_directo.py) para poder repetirla tras cualquier cambio, y documentada en docs/12_VERIFICACION_SEGURIDAD.md.</w:t>
      </w:r>
    </w:p>
    <w:p>
      <w:r>
        <w:rPr>
          <w:b w:val="0"/>
          <w:sz w:val="22"/>
        </w:rPr>
        <w:t>Archivo instalable de Android. Se compiló el archivo instalable en modo de publicación, apuntando al servicio desplegado, con una opción propia en el panel de control. El archivo resultante ocupa 53,8 MB y se instala en Android 8.0 o superior. La compilación descartó los recursos no utilizados —el paquete de iconos se redujo un 99,4 %— y dejó dos constancias: los complementos firebase_auth y firebase_core aplican hoy el complemento Gradle de Kotlin de forma directa, migración que una versión próxima de Flutter pedirá, y el archivo se firma con la clave de depuración, de modo que la firma con un almacén propio queda como tarea previa a cualquier distribución fuera del ámbito académico.</w:t>
      </w:r>
    </w:p>
    <w:p>
      <w:r>
        <w:rPr>
          <w:b w:val="0"/>
          <w:sz w:val="22"/>
        </w:rPr>
        <w:t>Verificación de tipos antes de publicar. Durante la jornada la compilación web falló por un error de tipos —una función usada sin su importación, retirada antes por estar sin uso—, y ese episodio fijó una rutina: analizar antes de publicar. El analizador informa «No issues found» en pocos segundos y evita perder minutos en una compilación que no puede terminar. Queda también como constancia de que la verificación estructural del repositorio —que comprueba la forma del código— no sustituye a la verificación de tipos.</w:t>
      </w:r>
    </w:p>
    <w:p>
      <w:r>
        <w:rPr>
          <w:b w:val="0"/>
          <w:sz w:val="22"/>
        </w:rPr>
        <w:t>Validación de los datos del contexto. Los tres puntos críticos del apartado 1.2 —registro manual y esporádico, ausencia de trazabilidad de la medición y detección tardía de los valores fuera de rango— y la tabla que los respalda se sometieron a quien realizó el seguimiento previo del cultivo, que es la fuente citada, y confirmó que describen lo que efectivamente se hacía. La constancia importa porque esos datos no provienen de una medición propia: se redactaron como hechos observables del proceso, sin cifras que no pudieran respaldarse, y se validaron con la fuente antes de sostenerlos en el documento. Con esta validación, el entregable queda sin datos del contexto pendientes de confirmar.</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y del jueves 17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